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w w:val="90"/>
          <w:sz w:val="44"/>
          <w:szCs w:val="44"/>
        </w:rPr>
      </w:pPr>
    </w:p>
    <w:p>
      <w:pPr>
        <w:jc w:val="center"/>
        <w:rPr>
          <w:rFonts w:hint="eastAsia" w:ascii="仿宋" w:hAnsi="仿宋" w:eastAsia="仿宋" w:cs="仿宋"/>
          <w:b/>
          <w:color w:val="auto"/>
          <w:w w:val="90"/>
          <w:sz w:val="44"/>
          <w:szCs w:val="44"/>
        </w:rPr>
      </w:pPr>
      <w:bookmarkStart w:id="0" w:name="_Hlk107324724"/>
      <w:r>
        <w:rPr>
          <w:rFonts w:hint="eastAsia" w:ascii="仿宋" w:hAnsi="仿宋" w:eastAsia="仿宋" w:cs="仿宋"/>
          <w:b/>
          <w:color w:val="auto"/>
          <w:w w:val="90"/>
          <w:sz w:val="44"/>
          <w:szCs w:val="44"/>
        </w:rPr>
        <w:t>国家级非物质遗产代表性传承人记录工作项目</w:t>
      </w:r>
    </w:p>
    <w:bookmarkEnd w:id="0"/>
    <w:p>
      <w:pPr>
        <w:spacing w:line="360" w:lineRule="auto"/>
        <w:rPr>
          <w:rFonts w:ascii="仿宋" w:hAnsi="仿宋" w:eastAsia="仿宋" w:cs="仿宋"/>
          <w:b/>
          <w:color w:val="auto"/>
          <w:sz w:val="36"/>
          <w:szCs w:val="36"/>
        </w:rPr>
      </w:pPr>
    </w:p>
    <w:p>
      <w:pPr>
        <w:spacing w:line="360" w:lineRule="auto"/>
        <w:ind w:firstLine="1789" w:firstLineChars="495"/>
        <w:rPr>
          <w:rFonts w:ascii="仿宋" w:hAnsi="仿宋" w:eastAsia="仿宋" w:cs="仿宋"/>
          <w:b/>
          <w:color w:val="auto"/>
          <w:sz w:val="36"/>
          <w:szCs w:val="36"/>
        </w:rPr>
      </w:pPr>
    </w:p>
    <w:p>
      <w:pPr>
        <w:spacing w:line="360" w:lineRule="auto"/>
        <w:rPr>
          <w:rFonts w:ascii="仿宋" w:hAnsi="仿宋" w:eastAsia="仿宋" w:cs="仿宋"/>
          <w:color w:val="auto"/>
          <w:szCs w:val="21"/>
        </w:rPr>
      </w:pPr>
    </w:p>
    <w:p>
      <w:pPr>
        <w:pStyle w:val="2"/>
        <w:rPr>
          <w:rFonts w:ascii="仿宋" w:hAnsi="仿宋" w:eastAsia="仿宋" w:cs="仿宋"/>
          <w:color w:val="auto"/>
          <w:szCs w:val="21"/>
        </w:rPr>
      </w:pPr>
    </w:p>
    <w:p>
      <w:pPr>
        <w:pStyle w:val="2"/>
        <w:rPr>
          <w:rFonts w:ascii="仿宋" w:hAnsi="仿宋" w:eastAsia="仿宋" w:cs="仿宋"/>
          <w:color w:val="auto"/>
          <w:szCs w:val="21"/>
        </w:rPr>
      </w:pPr>
    </w:p>
    <w:p>
      <w:pPr>
        <w:spacing w:line="360" w:lineRule="auto"/>
        <w:jc w:val="center"/>
        <w:rPr>
          <w:rFonts w:ascii="仿宋" w:hAnsi="仿宋" w:eastAsia="仿宋" w:cs="仿宋"/>
          <w:b/>
          <w:color w:val="auto"/>
          <w:sz w:val="72"/>
          <w:szCs w:val="72"/>
        </w:rPr>
      </w:pPr>
      <w:r>
        <w:rPr>
          <w:rFonts w:hint="eastAsia" w:ascii="仿宋" w:hAnsi="仿宋" w:eastAsia="仿宋" w:cs="仿宋"/>
          <w:b/>
          <w:color w:val="auto"/>
          <w:sz w:val="72"/>
          <w:szCs w:val="72"/>
        </w:rPr>
        <w:t>竞争性磋商文件</w:t>
      </w:r>
    </w:p>
    <w:p>
      <w:pPr>
        <w:snapToGrid w:val="0"/>
        <w:spacing w:line="360" w:lineRule="auto"/>
        <w:ind w:firstLine="1807" w:firstLineChars="500"/>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00</w:t>
      </w:r>
      <w:r>
        <w:rPr>
          <w:rFonts w:hint="eastAsia" w:ascii="仿宋" w:hAnsi="仿宋" w:eastAsia="仿宋" w:cs="仿宋"/>
          <w:b/>
          <w:color w:val="auto"/>
          <w:sz w:val="36"/>
          <w:szCs w:val="36"/>
          <w:lang w:val="en-US" w:eastAsia="zh-CN"/>
        </w:rPr>
        <w:t>3</w:t>
      </w:r>
    </w:p>
    <w:p>
      <w:pPr>
        <w:spacing w:line="360" w:lineRule="auto"/>
        <w:jc w:val="center"/>
        <w:rPr>
          <w:rFonts w:ascii="仿宋" w:hAnsi="仿宋" w:eastAsia="仿宋" w:cs="仿宋"/>
          <w:b/>
          <w:color w:val="auto"/>
          <w:sz w:val="36"/>
          <w:szCs w:val="36"/>
        </w:rPr>
      </w:pPr>
    </w:p>
    <w:p>
      <w:pPr>
        <w:spacing w:line="360" w:lineRule="auto"/>
        <w:jc w:val="center"/>
        <w:rPr>
          <w:rFonts w:ascii="仿宋" w:hAnsi="仿宋" w:eastAsia="仿宋" w:cs="仿宋"/>
          <w:b/>
          <w:color w:val="auto"/>
          <w:sz w:val="84"/>
          <w:szCs w:val="84"/>
        </w:rPr>
      </w:pPr>
    </w:p>
    <w:p>
      <w:pPr>
        <w:spacing w:line="360" w:lineRule="auto"/>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pStyle w:val="2"/>
        <w:ind w:firstLine="640"/>
        <w:rPr>
          <w:rFonts w:ascii="仿宋" w:hAnsi="仿宋" w:eastAsia="仿宋" w:cs="仿宋"/>
          <w:color w:val="auto"/>
          <w:sz w:val="32"/>
          <w:szCs w:val="32"/>
        </w:rPr>
      </w:pPr>
    </w:p>
    <w:p>
      <w:pPr>
        <w:pStyle w:val="2"/>
        <w:ind w:firstLine="640"/>
        <w:rPr>
          <w:rFonts w:ascii="仿宋" w:hAnsi="仿宋" w:eastAsia="仿宋" w:cs="仿宋"/>
          <w:color w:val="auto"/>
          <w:sz w:val="32"/>
          <w:szCs w:val="32"/>
        </w:rPr>
      </w:pPr>
    </w:p>
    <w:p>
      <w:pPr>
        <w:pStyle w:val="2"/>
        <w:ind w:firstLine="640"/>
        <w:rPr>
          <w:rFonts w:ascii="仿宋" w:hAnsi="仿宋" w:eastAsia="仿宋" w:cs="仿宋"/>
          <w:color w:val="auto"/>
          <w:sz w:val="32"/>
          <w:szCs w:val="32"/>
        </w:rPr>
      </w:pPr>
    </w:p>
    <w:p>
      <w:pPr>
        <w:pStyle w:val="2"/>
        <w:ind w:firstLine="640"/>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spacing w:line="360"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ascii="仿宋" w:hAnsi="仿宋" w:eastAsia="仿宋" w:cs="仿宋"/>
          <w:b/>
          <w:color w:val="auto"/>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1" w:name="_Toc30172"/>
      <w:bookmarkStart w:id="2" w:name="_Toc465152700"/>
      <w:bookmarkStart w:id="3" w:name="_Toc432437621"/>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5</w:t>
      </w:r>
      <w:r>
        <w:rPr>
          <w:rFonts w:hint="eastAsia" w:ascii="仿宋" w:hAnsi="仿宋" w:eastAsia="仿宋" w:cs="仿宋"/>
          <w:b/>
          <w:color w:val="auto"/>
          <w:sz w:val="36"/>
          <w:szCs w:val="36"/>
        </w:rPr>
        <w:t>月</w:t>
      </w:r>
      <w:bookmarkEnd w:id="1"/>
      <w:bookmarkStart w:id="4" w:name="_Toc361769627"/>
      <w:bookmarkStart w:id="5" w:name="_Toc361769761"/>
    </w:p>
    <w:p>
      <w:pPr>
        <w:spacing w:line="360" w:lineRule="auto"/>
        <w:rPr>
          <w:rFonts w:ascii="仿宋" w:hAnsi="仿宋" w:eastAsia="仿宋" w:cs="仿宋"/>
          <w:bCs/>
          <w:color w:val="auto"/>
        </w:rPr>
      </w:pPr>
    </w:p>
    <w:p>
      <w:pPr>
        <w:pStyle w:val="4"/>
        <w:snapToGrid w:val="0"/>
        <w:spacing w:before="0" w:after="0" w:line="360" w:lineRule="auto"/>
        <w:jc w:val="center"/>
        <w:rPr>
          <w:rFonts w:ascii="仿宋" w:hAnsi="仿宋" w:eastAsia="仿宋" w:cs="仿宋"/>
          <w:bCs w:val="0"/>
          <w:color w:val="auto"/>
        </w:rPr>
      </w:pPr>
      <w:bookmarkStart w:id="6" w:name="_Toc10210"/>
      <w:bookmarkStart w:id="7" w:name="_Toc4104"/>
      <w:r>
        <w:rPr>
          <w:rFonts w:hint="eastAsia" w:ascii="仿宋" w:hAnsi="仿宋" w:eastAsia="仿宋" w:cs="仿宋"/>
          <w:bCs w:val="0"/>
          <w:color w:val="auto"/>
        </w:rPr>
        <w:t>目   录</w:t>
      </w:r>
      <w:bookmarkEnd w:id="2"/>
      <w:bookmarkEnd w:id="3"/>
      <w:bookmarkEnd w:id="4"/>
      <w:bookmarkEnd w:id="5"/>
      <w:bookmarkEnd w:id="6"/>
      <w:bookmarkEnd w:id="7"/>
    </w:p>
    <w:p>
      <w:pPr>
        <w:spacing w:line="360" w:lineRule="auto"/>
        <w:rPr>
          <w:rFonts w:ascii="仿宋" w:hAnsi="仿宋" w:eastAsia="仿宋" w:cs="仿宋"/>
          <w:color w:val="auto"/>
        </w:rPr>
      </w:pPr>
    </w:p>
    <w:p>
      <w:pPr>
        <w:pStyle w:val="26"/>
        <w:tabs>
          <w:tab w:val="right" w:leader="dot" w:pos="8732"/>
        </w:tabs>
        <w:spacing w:line="360" w:lineRule="auto"/>
        <w:rPr>
          <w:rFonts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color w:val="auto"/>
        </w:rPr>
        <w:fldChar w:fldCharType="begin"/>
      </w:r>
      <w:r>
        <w:rPr>
          <w:color w:val="auto"/>
        </w:rPr>
        <w:instrText xml:space="preserve"> HYPERLINK \l "_Toc19901" </w:instrText>
      </w:r>
      <w:r>
        <w:rPr>
          <w:color w:val="auto"/>
        </w:rPr>
        <w:fldChar w:fldCharType="separate"/>
      </w:r>
      <w:r>
        <w:rPr>
          <w:rFonts w:hint="eastAsia" w:ascii="宋体" w:hAnsi="宋体" w:cs="宋体"/>
          <w:color w:val="auto"/>
          <w:sz w:val="24"/>
          <w:szCs w:val="24"/>
        </w:rPr>
        <w:t>第一部分  竞争性磋商公告</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"_Toc25306" </w:instrText>
      </w:r>
      <w:r>
        <w:rPr>
          <w:color w:val="auto"/>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"_Toc3989" </w:instrText>
      </w:r>
      <w:r>
        <w:rPr>
          <w:color w:val="auto"/>
        </w:rPr>
        <w:fldChar w:fldCharType="separate"/>
      </w:r>
      <w:r>
        <w:rPr>
          <w:rFonts w:hint="eastAsia" w:ascii="宋体" w:hAnsi="宋体" w:cs="宋体"/>
          <w:color w:val="auto"/>
          <w:sz w:val="24"/>
          <w:szCs w:val="24"/>
        </w:rPr>
        <w:t>第三部分  技术参数及项目需求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rPr>
      </w:pPr>
      <w:r>
        <w:rPr>
          <w:color w:val="auto"/>
        </w:rPr>
        <w:fldChar w:fldCharType="begin"/>
      </w:r>
      <w:r>
        <w:rPr>
          <w:color w:val="auto"/>
        </w:rPr>
        <w:instrText xml:space="preserve"> HYPERLINK \l "_Toc27922" </w:instrText>
      </w:r>
      <w:r>
        <w:rPr>
          <w:color w:val="auto"/>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snapToGrid w:val="0"/>
        <w:spacing w:line="360" w:lineRule="auto"/>
        <w:rPr>
          <w:rFonts w:ascii="仿宋" w:hAnsi="仿宋" w:eastAsia="仿宋" w:cs="仿宋"/>
          <w:b/>
          <w:caps/>
          <w:color w:val="auto"/>
          <w:sz w:val="24"/>
        </w:rPr>
      </w:pPr>
      <w:r>
        <w:rPr>
          <w:rFonts w:hint="eastAsia" w:ascii="宋体" w:hAnsi="宋体" w:cs="宋体"/>
          <w:caps/>
          <w:color w:val="auto"/>
        </w:rPr>
        <w:fldChar w:fldCharType="end"/>
      </w:r>
      <w:bookmarkStart w:id="8" w:name="_Toc361769628"/>
      <w:bookmarkStart w:id="9" w:name="_Toc361769762"/>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pStyle w:val="4"/>
        <w:spacing w:line="360" w:lineRule="auto"/>
        <w:jc w:val="center"/>
        <w:rPr>
          <w:rFonts w:ascii="仿宋" w:hAnsi="仿宋" w:eastAsia="仿宋" w:cs="仿宋"/>
          <w:bCs w:val="0"/>
          <w:color w:val="auto"/>
        </w:rPr>
        <w:sectPr>
          <w:footerReference r:id="rId9" w:type="first"/>
          <w:footerReference r:id="rId8" w:type="default"/>
          <w:pgSz w:w="11906" w:h="16838"/>
          <w:pgMar w:top="1191" w:right="1587" w:bottom="1191" w:left="1587" w:header="851" w:footer="992" w:gutter="0"/>
          <w:pgNumType w:start="1"/>
          <w:cols w:space="720" w:num="1"/>
          <w:titlePg/>
        </w:sectPr>
      </w:pPr>
    </w:p>
    <w:p>
      <w:pPr>
        <w:rPr>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宋体" w:hAnsi="宋体" w:cs="宋体"/>
          <w:bCs w:val="0"/>
          <w:color w:val="auto"/>
        </w:rPr>
      </w:pPr>
      <w:bookmarkStart w:id="10" w:name="_Toc19901"/>
      <w:r>
        <w:rPr>
          <w:rFonts w:hint="eastAsia" w:ascii="宋体" w:hAnsi="宋体" w:cs="宋体"/>
          <w:bCs w:val="0"/>
          <w:color w:val="auto"/>
        </w:rPr>
        <w:t xml:space="preserve">第一部分  </w:t>
      </w:r>
      <w:bookmarkEnd w:id="8"/>
      <w:bookmarkEnd w:id="9"/>
      <w:r>
        <w:rPr>
          <w:rFonts w:hint="eastAsia" w:ascii="宋体" w:hAnsi="宋体" w:cs="宋体"/>
          <w:color w:val="auto"/>
        </w:rPr>
        <w:t>竞争性磋商</w:t>
      </w:r>
      <w:bookmarkEnd w:id="10"/>
      <w:r>
        <w:rPr>
          <w:rFonts w:hint="eastAsia" w:ascii="宋体" w:hAnsi="宋体" w:cs="宋体"/>
          <w:color w:val="auto"/>
        </w:rPr>
        <w:t>公告</w:t>
      </w:r>
    </w:p>
    <w:p>
      <w:pPr>
        <w:jc w:val="center"/>
        <w:rPr>
          <w:rFonts w:hint="eastAsia" w:ascii="宋体" w:hAnsi="宋体" w:eastAsia="宋体" w:cs="宋体"/>
          <w:b/>
          <w:bCs/>
          <w:color w:val="auto"/>
          <w:sz w:val="28"/>
          <w:szCs w:val="32"/>
        </w:rPr>
      </w:pPr>
      <w:r>
        <w:rPr>
          <w:rFonts w:hint="eastAsia" w:ascii="仿宋" w:hAnsi="仿宋" w:eastAsia="仿宋" w:cs="仿宋"/>
          <w:b/>
          <w:bCs/>
          <w:color w:val="auto"/>
          <w:sz w:val="44"/>
        </w:rPr>
        <w:br w:type="page"/>
      </w:r>
      <w:r>
        <w:rPr>
          <w:rFonts w:hint="eastAsia" w:ascii="宋体" w:hAnsi="宋体" w:eastAsia="宋体" w:cs="宋体"/>
          <w:b/>
          <w:bCs/>
          <w:color w:val="auto"/>
          <w:sz w:val="28"/>
          <w:szCs w:val="32"/>
        </w:rPr>
        <w:t>兰州职业技术学院国家级非物质遗产代表性传承人记录工作项目</w:t>
      </w:r>
      <w:r>
        <w:rPr>
          <w:rFonts w:hint="eastAsia" w:ascii="宋体" w:hAnsi="宋体" w:eastAsia="宋体" w:cs="宋体"/>
          <w:b/>
          <w:bCs/>
          <w:color w:val="auto"/>
          <w:sz w:val="28"/>
          <w:szCs w:val="32"/>
        </w:rPr>
        <w:t>公告</w:t>
      </w:r>
    </w:p>
    <w:p>
      <w:pPr>
        <w:pStyle w:val="45"/>
        <w:rPr>
          <w:rFonts w:hint="eastAsia" w:ascii="宋体" w:hAnsi="宋体" w:eastAsia="宋体" w:cs="宋体"/>
          <w:b/>
          <w:bCs/>
          <w:color w:val="auto"/>
          <w:sz w:val="28"/>
          <w:szCs w:val="32"/>
        </w:rPr>
      </w:pPr>
    </w:p>
    <w:p>
      <w:pPr>
        <w:rPr>
          <w:color w:val="auto"/>
        </w:rPr>
      </w:pPr>
    </w:p>
    <w:p>
      <w:pPr>
        <w:jc w:val="left"/>
        <w:rPr>
          <w:rFonts w:hint="eastAsia" w:ascii="宋体" w:hAnsi="宋体" w:cs="宋体"/>
          <w:color w:val="auto"/>
          <w:szCs w:val="21"/>
        </w:rPr>
      </w:pPr>
      <w:r>
        <w:rPr>
          <w:rFonts w:hint="eastAsia" w:ascii="宋体" w:hAnsi="宋体" w:cs="宋体"/>
          <w:color w:val="auto"/>
          <w:sz w:val="24"/>
        </w:rPr>
        <w:t xml:space="preserve">   </w:t>
      </w:r>
      <w:r>
        <w:rPr>
          <w:rFonts w:hint="eastAsia" w:ascii="宋体" w:hAnsi="宋体" w:cs="宋体"/>
          <w:color w:val="auto"/>
          <w:szCs w:val="21"/>
        </w:rPr>
        <w:t xml:space="preserve"> 兰州职业技术学院国家级非物质遗产代表性传承人记录工作项目以竞争性磋商方式进行采购，欢迎符合资格条件的供应商前来参加。</w:t>
      </w:r>
    </w:p>
    <w:p>
      <w:pPr>
        <w:numPr>
          <w:ilvl w:val="0"/>
          <w:numId w:val="4"/>
        </w:numPr>
        <w:snapToGrid w:val="0"/>
        <w:spacing w:line="360" w:lineRule="auto"/>
        <w:ind w:firstLine="422"/>
        <w:rPr>
          <w:rFonts w:ascii="宋体" w:hAnsi="宋体" w:cs="宋体"/>
          <w:b/>
          <w:color w:val="auto"/>
          <w:szCs w:val="21"/>
        </w:rPr>
      </w:pPr>
      <w:r>
        <w:rPr>
          <w:rFonts w:hint="eastAsia" w:ascii="宋体" w:hAnsi="宋体" w:cs="宋体"/>
          <w:b/>
          <w:color w:val="auto"/>
          <w:szCs w:val="21"/>
        </w:rPr>
        <w:t>磋商文件编号：LZCS—202</w:t>
      </w:r>
      <w:r>
        <w:rPr>
          <w:rFonts w:hint="eastAsia" w:ascii="宋体" w:hAnsi="宋体" w:cs="宋体"/>
          <w:b/>
          <w:color w:val="auto"/>
          <w:szCs w:val="21"/>
          <w:lang w:val="en-US" w:eastAsia="zh-CN"/>
        </w:rPr>
        <w:t>3</w:t>
      </w:r>
      <w:r>
        <w:rPr>
          <w:rFonts w:hint="eastAsia" w:ascii="宋体" w:hAnsi="宋体" w:cs="宋体"/>
          <w:b/>
          <w:color w:val="auto"/>
          <w:szCs w:val="21"/>
        </w:rPr>
        <w:t>00</w:t>
      </w:r>
      <w:r>
        <w:rPr>
          <w:rFonts w:hint="eastAsia" w:ascii="宋体" w:hAnsi="宋体" w:cs="宋体"/>
          <w:b/>
          <w:color w:val="auto"/>
          <w:szCs w:val="21"/>
          <w:lang w:val="en-US" w:eastAsia="zh-CN"/>
        </w:rPr>
        <w:t>3</w:t>
      </w:r>
    </w:p>
    <w:p>
      <w:pPr>
        <w:numPr>
          <w:ilvl w:val="0"/>
          <w:numId w:val="4"/>
        </w:numPr>
        <w:snapToGrid w:val="0"/>
        <w:spacing w:line="360" w:lineRule="auto"/>
        <w:ind w:left="420" w:firstLine="422" w:firstLineChars="200"/>
        <w:jc w:val="left"/>
        <w:rPr>
          <w:rFonts w:hint="eastAsia" w:ascii="宋体" w:hAnsi="宋体" w:eastAsia="宋体" w:cs="宋体"/>
          <w:color w:val="auto"/>
          <w:szCs w:val="21"/>
        </w:rPr>
      </w:pPr>
      <w:bookmarkStart w:id="45" w:name="_GoBack"/>
      <w:bookmarkEnd w:id="45"/>
      <w:r>
        <w:rPr>
          <w:rFonts w:hint="eastAsia" w:ascii="宋体" w:hAnsi="宋体" w:cs="宋体"/>
          <w:b/>
          <w:color w:val="auto"/>
          <w:szCs w:val="21"/>
        </w:rPr>
        <w:t>磋商内容：</w:t>
      </w:r>
      <w:r>
        <w:rPr>
          <w:rFonts w:hint="eastAsia" w:ascii="宋体" w:hAnsi="宋体" w:eastAsia="宋体" w:cs="宋体"/>
          <w:color w:val="auto"/>
          <w:szCs w:val="21"/>
          <w:lang w:eastAsia="zh-CN"/>
        </w:rPr>
        <w:t>国家级非物质文化遗产代表性传承人记录工作</w:t>
      </w:r>
      <w:r>
        <w:rPr>
          <w:rFonts w:hint="eastAsia" w:ascii="宋体" w:hAnsi="宋体" w:eastAsia="宋体" w:cs="宋体"/>
          <w:color w:val="auto"/>
          <w:szCs w:val="21"/>
          <w:lang w:val="en-US" w:eastAsia="zh-CN"/>
        </w:rPr>
        <w:t>的</w:t>
      </w:r>
      <w:r>
        <w:rPr>
          <w:rFonts w:hint="eastAsia" w:ascii="宋体" w:hAnsi="宋体" w:eastAsia="宋体" w:cs="宋体"/>
          <w:color w:val="auto"/>
          <w:szCs w:val="21"/>
          <w:lang w:eastAsia="zh-CN"/>
        </w:rPr>
        <w:t>拍摄与制作。</w:t>
      </w:r>
    </w:p>
    <w:p>
      <w:pPr>
        <w:snapToGrid w:val="0"/>
        <w:spacing w:line="360" w:lineRule="auto"/>
        <w:ind w:left="842"/>
        <w:jc w:val="left"/>
        <w:rPr>
          <w:rFonts w:ascii="宋体" w:hAnsi="宋体" w:cs="宋体"/>
          <w:b/>
          <w:color w:val="auto"/>
          <w:szCs w:val="21"/>
        </w:rPr>
      </w:pPr>
      <w:r>
        <w:rPr>
          <w:rFonts w:hint="eastAsia" w:ascii="宋体" w:hAnsi="宋体" w:cs="宋体"/>
          <w:b/>
          <w:color w:val="auto"/>
          <w:szCs w:val="21"/>
        </w:rPr>
        <w:t>三、供应商资格要求：</w:t>
      </w:r>
    </w:p>
    <w:p>
      <w:pPr>
        <w:ind w:firstLine="420" w:firstLineChars="200"/>
        <w:jc w:val="left"/>
        <w:rPr>
          <w:rFonts w:ascii="宋体" w:hAnsi="宋体" w:cs="宋体"/>
          <w:color w:val="auto"/>
          <w:szCs w:val="21"/>
        </w:rPr>
      </w:pPr>
      <w:r>
        <w:rPr>
          <w:rFonts w:hint="eastAsia" w:ascii="宋体" w:hAnsi="宋体" w:cs="宋体"/>
          <w:color w:val="auto"/>
          <w:szCs w:val="21"/>
        </w:rPr>
        <w:t>1.供应商必须符合《中华人民共和国政府采购法》第二十二条要求；</w:t>
      </w:r>
    </w:p>
    <w:p>
      <w:pPr>
        <w:ind w:firstLine="420" w:firstLineChars="200"/>
        <w:jc w:val="left"/>
        <w:rPr>
          <w:rFonts w:ascii="宋体" w:hAnsi="宋体" w:cs="宋体"/>
          <w:color w:val="auto"/>
          <w:szCs w:val="21"/>
        </w:rPr>
      </w:pPr>
      <w:r>
        <w:rPr>
          <w:rFonts w:hint="eastAsia" w:ascii="宋体" w:hAnsi="宋体" w:cs="宋体"/>
          <w:color w:val="auto"/>
          <w:szCs w:val="21"/>
        </w:rPr>
        <w:t>2.供应商应是在中华人民共和国境内注册取得营业执照的独立法人或其他组织，具有相应经营范围；</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.本项目不接受联合体竞价。</w:t>
      </w:r>
    </w:p>
    <w:p>
      <w:pPr>
        <w:ind w:firstLine="422" w:firstLineChars="200"/>
        <w:jc w:val="left"/>
        <w:rPr>
          <w:rFonts w:ascii="宋体" w:hAnsi="宋体" w:cs="宋体"/>
          <w:b/>
          <w:bCs/>
          <w:color w:val="auto"/>
          <w:szCs w:val="21"/>
        </w:rPr>
      </w:pPr>
      <w:r>
        <w:rPr>
          <w:rFonts w:hint="eastAsia" w:ascii="宋体" w:hAnsi="宋体" w:cs="宋体"/>
          <w:b/>
          <w:bCs/>
          <w:color w:val="auto"/>
          <w:szCs w:val="21"/>
        </w:rPr>
        <w:t>四、项目需要落实的采购政策:</w:t>
      </w:r>
    </w:p>
    <w:p>
      <w:pPr>
        <w:pStyle w:val="2"/>
        <w:spacing w:line="360" w:lineRule="auto"/>
        <w:rPr>
          <w:rFonts w:ascii="宋体" w:cs="宋体"/>
          <w:color w:val="auto"/>
          <w:szCs w:val="21"/>
        </w:rPr>
      </w:pPr>
      <w:r>
        <w:rPr>
          <w:rFonts w:hint="eastAsia" w:ascii="宋体" w:hAnsi="宋体" w:cs="宋体"/>
          <w:color w:val="auto"/>
          <w:szCs w:val="21"/>
        </w:rPr>
        <w:t>（一）根据财政部发布的《政府采购促进中小企业发展暂行办法》规定，本项目对小型和微型企业产品的价格给予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0" w:firstLineChars="200"/>
        <w:rPr>
          <w:rFonts w:ascii="宋体" w:cs="宋体"/>
          <w:color w:val="auto"/>
          <w:szCs w:val="21"/>
        </w:rPr>
      </w:pPr>
      <w:r>
        <w:rPr>
          <w:rFonts w:hint="eastAsia" w:ascii="宋体" w:hAnsi="宋体" w:cs="宋体"/>
          <w:color w:val="auto"/>
          <w:szCs w:val="21"/>
        </w:rPr>
        <w:t>（二）根据财政部发布的《关于政府采购支持监狱企业发展有关问题的通知》规定，本项目对监狱企业产品的价格给予</w:t>
      </w:r>
      <w:r>
        <w:rPr>
          <w:rFonts w:ascii="宋体" w:hAnsi="宋体" w:cs="宋体"/>
          <w:color w:val="auto"/>
          <w:szCs w:val="21"/>
        </w:rPr>
        <w:t>6%</w:t>
      </w:r>
      <w:r>
        <w:rPr>
          <w:rFonts w:hint="eastAsia" w:ascii="宋体" w:hAnsi="宋体" w:cs="宋体"/>
          <w:color w:val="auto"/>
          <w:szCs w:val="21"/>
        </w:rPr>
        <w:t>的扣除。</w:t>
      </w:r>
    </w:p>
    <w:p>
      <w:pPr>
        <w:pStyle w:val="2"/>
        <w:spacing w:line="360" w:lineRule="auto"/>
        <w:rPr>
          <w:rFonts w:ascii="宋体" w:cs="宋体"/>
          <w:color w:val="auto"/>
          <w:szCs w:val="21"/>
        </w:rPr>
      </w:pPr>
      <w:r>
        <w:rPr>
          <w:rFonts w:hint="eastAsia" w:ascii="宋体" w:hAnsi="宋体" w:cs="宋体"/>
          <w:color w:val="auto"/>
          <w:szCs w:val="21"/>
        </w:rPr>
        <w:t>（三）根据财政部、民政部、中国残疾人联合会发布的《关于促进残疾人就业政府采购政策的通知》规定，本项目对残疾人福利性单位产品的价格给予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2" w:firstLineChars="200"/>
        <w:rPr>
          <w:rFonts w:ascii="宋体" w:cs="宋体"/>
          <w:color w:val="auto"/>
          <w:szCs w:val="21"/>
        </w:rPr>
      </w:pPr>
      <w:r>
        <w:rPr>
          <w:rFonts w:hint="eastAsia" w:ascii="宋体" w:hAnsi="宋体" w:cs="宋体"/>
          <w:b/>
          <w:bCs/>
          <w:color w:val="auto"/>
          <w:szCs w:val="21"/>
        </w:rPr>
        <w:t>五、获取磋商文件的时间期限、地点、方式及招标文件获取</w:t>
      </w:r>
    </w:p>
    <w:p>
      <w:pPr>
        <w:spacing w:line="360" w:lineRule="auto"/>
        <w:ind w:firstLine="420" w:firstLineChars="200"/>
        <w:rPr>
          <w:rFonts w:ascii="宋体" w:cs="宋体"/>
          <w:color w:val="auto"/>
          <w:szCs w:val="21"/>
        </w:rPr>
      </w:pPr>
      <w:r>
        <w:rPr>
          <w:rFonts w:hint="eastAsia" w:ascii="宋体" w:hAnsi="宋体" w:cs="宋体"/>
          <w:color w:val="auto"/>
          <w:szCs w:val="21"/>
        </w:rPr>
        <w:t>磋商文件获取时间：202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5</w:t>
      </w:r>
      <w:r>
        <w:rPr>
          <w:rFonts w:hint="eastAsia" w:ascii="宋体" w:hAnsi="宋体" w:cs="宋体"/>
          <w:color w:val="auto"/>
          <w:szCs w:val="21"/>
        </w:rPr>
        <w:t>月</w:t>
      </w:r>
      <w:r>
        <w:rPr>
          <w:rFonts w:hint="eastAsia" w:ascii="宋体" w:hAnsi="宋体" w:cs="宋体"/>
          <w:color w:val="auto"/>
          <w:szCs w:val="21"/>
          <w:lang w:val="en-US" w:eastAsia="zh-CN"/>
        </w:rPr>
        <w:t>23</w:t>
      </w:r>
      <w:r>
        <w:rPr>
          <w:rFonts w:hint="eastAsia" w:ascii="宋体" w:hAnsi="宋体" w:cs="宋体"/>
          <w:color w:val="auto"/>
          <w:szCs w:val="21"/>
        </w:rPr>
        <w:t>日至</w:t>
      </w:r>
      <w:r>
        <w:rPr>
          <w:rFonts w:ascii="宋体" w:hAnsi="宋体" w:cs="宋体"/>
          <w:color w:val="auto"/>
          <w:szCs w:val="21"/>
        </w:rPr>
        <w:t xml:space="preserve"> </w:t>
      </w:r>
      <w:r>
        <w:rPr>
          <w:rFonts w:hint="eastAsia" w:ascii="宋体" w:hAnsi="宋体" w:cs="宋体"/>
          <w:color w:val="auto"/>
          <w:szCs w:val="21"/>
        </w:rPr>
        <w:t>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p>
    <w:p>
      <w:pPr>
        <w:spacing w:line="360" w:lineRule="auto"/>
        <w:ind w:firstLine="420" w:firstLineChars="200"/>
        <w:rPr>
          <w:rFonts w:ascii="宋体" w:hAnsi="宋体" w:cs="宋体"/>
          <w:color w:val="auto"/>
          <w:szCs w:val="21"/>
        </w:rPr>
      </w:pPr>
      <w:r>
        <w:rPr>
          <w:rFonts w:hint="eastAsia" w:ascii="宋体" w:hAnsi="宋体" w:cs="宋体"/>
          <w:color w:val="auto"/>
          <w:szCs w:val="21"/>
        </w:rPr>
        <w:t>获取方式及地点：网上自行获取：兰州职业技术学院官方网站（http://www.lvu.edu.cn/）在线获得</w:t>
      </w:r>
    </w:p>
    <w:p>
      <w:pPr>
        <w:spacing w:line="360" w:lineRule="auto"/>
        <w:ind w:firstLine="420" w:firstLineChars="200"/>
        <w:rPr>
          <w:rFonts w:ascii="宋体" w:cs="宋体"/>
          <w:color w:val="auto"/>
          <w:szCs w:val="21"/>
        </w:rPr>
      </w:pPr>
      <w:r>
        <w:rPr>
          <w:rFonts w:hint="eastAsia" w:ascii="宋体" w:hAnsi="宋体" w:cs="宋体"/>
          <w:color w:val="auto"/>
          <w:szCs w:val="21"/>
        </w:rPr>
        <w:t>获磋商文件售价：免费</w:t>
      </w:r>
    </w:p>
    <w:p>
      <w:pPr>
        <w:spacing w:line="360" w:lineRule="auto"/>
        <w:ind w:firstLine="422" w:firstLineChars="200"/>
        <w:rPr>
          <w:rFonts w:ascii="宋体" w:cs="宋体"/>
          <w:color w:val="auto"/>
          <w:szCs w:val="21"/>
        </w:rPr>
      </w:pPr>
      <w:r>
        <w:rPr>
          <w:rFonts w:hint="eastAsia" w:ascii="宋体" w:hAnsi="宋体" w:cs="宋体"/>
          <w:b/>
          <w:bCs/>
          <w:color w:val="auto"/>
          <w:szCs w:val="21"/>
        </w:rPr>
        <w:t>六、磋商截止时间、磋商时间及地点</w:t>
      </w:r>
      <w:r>
        <w:rPr>
          <w:rFonts w:ascii="宋体" w:hAnsi="宋体" w:cs="宋体"/>
          <w:color w:val="auto"/>
          <w:szCs w:val="21"/>
        </w:rPr>
        <w:t xml:space="preserve"> </w:t>
      </w:r>
    </w:p>
    <w:p>
      <w:pPr>
        <w:spacing w:line="360" w:lineRule="auto"/>
        <w:ind w:firstLine="420" w:firstLineChars="200"/>
        <w:rPr>
          <w:rFonts w:ascii="宋体" w:cs="宋体"/>
          <w:color w:val="auto"/>
          <w:szCs w:val="21"/>
        </w:rPr>
      </w:pPr>
      <w:r>
        <w:rPr>
          <w:rFonts w:hint="eastAsia" w:ascii="宋体" w:hAnsi="宋体" w:cs="宋体"/>
          <w:color w:val="auto"/>
          <w:szCs w:val="21"/>
        </w:rPr>
        <w:t>（一）磋商截止时间：202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r>
        <w:rPr>
          <w:rFonts w:hint="eastAsia" w:ascii="宋体" w:hAnsi="宋体" w:cs="宋体"/>
          <w:color w:val="auto"/>
          <w:szCs w:val="21"/>
          <w:lang w:val="en-US" w:eastAsia="zh-CN"/>
        </w:rPr>
        <w:t>9</w:t>
      </w:r>
      <w:r>
        <w:rPr>
          <w:rFonts w:hint="eastAsia" w:ascii="宋体" w:hAnsi="宋体" w:cs="宋体"/>
          <w:color w:val="auto"/>
          <w:szCs w:val="21"/>
        </w:rPr>
        <w:t>时</w:t>
      </w:r>
      <w:r>
        <w:rPr>
          <w:rFonts w:hint="eastAsia" w:ascii="宋体" w:hAnsi="宋体" w:cs="宋体"/>
          <w:color w:val="auto"/>
          <w:szCs w:val="21"/>
          <w:lang w:val="en-US" w:eastAsia="zh-CN"/>
        </w:rPr>
        <w:t>30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（二）磋商文件递交地点：兰州职业技术学院总校区勤政楼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p>
      <w:pPr>
        <w:spacing w:line="360" w:lineRule="auto"/>
        <w:ind w:firstLine="420" w:firstLineChars="200"/>
        <w:rPr>
          <w:rFonts w:ascii="宋体" w:cs="宋体"/>
          <w:color w:val="auto"/>
          <w:szCs w:val="21"/>
        </w:rPr>
      </w:pPr>
      <w:r>
        <w:rPr>
          <w:rFonts w:hint="eastAsia" w:ascii="宋体" w:hAnsi="宋体" w:cs="宋体"/>
          <w:color w:val="auto"/>
          <w:szCs w:val="21"/>
        </w:rPr>
        <w:t>（三）磋商时间：202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r>
        <w:rPr>
          <w:rFonts w:hint="eastAsia" w:ascii="宋体" w:hAnsi="宋体" w:cs="宋体"/>
          <w:color w:val="auto"/>
          <w:szCs w:val="21"/>
          <w:lang w:val="en-US" w:eastAsia="zh-CN"/>
        </w:rPr>
        <w:t>9</w:t>
      </w:r>
      <w:r>
        <w:rPr>
          <w:rFonts w:hint="eastAsia" w:ascii="宋体" w:hAnsi="宋体" w:cs="宋体"/>
          <w:color w:val="auto"/>
          <w:szCs w:val="21"/>
        </w:rPr>
        <w:t>时</w:t>
      </w:r>
      <w:r>
        <w:rPr>
          <w:rFonts w:hint="eastAsia" w:ascii="宋体" w:hAnsi="宋体" w:cs="宋体"/>
          <w:color w:val="auto"/>
          <w:szCs w:val="21"/>
          <w:lang w:val="en-US" w:eastAsia="zh-CN"/>
        </w:rPr>
        <w:t>30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（四）磋商地点：兰州职业技术学院总校区勤政楼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p>
      <w:pPr>
        <w:spacing w:line="360" w:lineRule="auto"/>
        <w:ind w:firstLine="422" w:firstLineChars="200"/>
        <w:rPr>
          <w:rFonts w:ascii="宋体" w:cs="宋体"/>
          <w:b/>
          <w:bCs/>
          <w:color w:val="auto"/>
          <w:szCs w:val="21"/>
        </w:rPr>
      </w:pPr>
      <w:r>
        <w:rPr>
          <w:rFonts w:hint="eastAsia" w:ascii="宋体" w:hAnsi="宋体" w:cs="宋体"/>
          <w:b/>
          <w:bCs/>
          <w:color w:val="auto"/>
          <w:szCs w:val="21"/>
        </w:rPr>
        <w:t>七、联系方式</w:t>
      </w:r>
      <w:r>
        <w:rPr>
          <w:rFonts w:ascii="宋体" w:hAnsi="宋体" w:cs="宋体"/>
          <w:b/>
          <w:bCs/>
          <w:color w:val="auto"/>
          <w:szCs w:val="21"/>
        </w:rPr>
        <w:t xml:space="preserve">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采 购 人：兰州职业技术学院 </w:t>
      </w:r>
    </w:p>
    <w:p>
      <w:pPr>
        <w:spacing w:line="360" w:lineRule="auto"/>
        <w:ind w:firstLine="420" w:firstLineChars="200"/>
        <w:rPr>
          <w:rFonts w:hint="default" w:ascii="宋体" w:hAnsi="宋体" w:cs="宋体"/>
          <w:color w:val="auto"/>
          <w:szCs w:val="21"/>
          <w:lang w:val="en-US"/>
        </w:rPr>
      </w:pPr>
      <w:r>
        <w:rPr>
          <w:rFonts w:hint="eastAsia" w:ascii="宋体" w:hAnsi="宋体" w:cs="宋体"/>
          <w:color w:val="auto"/>
          <w:szCs w:val="21"/>
          <w:lang w:val="en-US" w:eastAsia="zh-CN"/>
        </w:rPr>
        <w:t>项目联系人：李</w:t>
      </w:r>
      <w:r>
        <w:rPr>
          <w:rFonts w:hint="eastAsia" w:ascii="宋体" w:hAnsi="宋体" w:cs="宋体"/>
          <w:color w:val="auto"/>
          <w:szCs w:val="21"/>
        </w:rPr>
        <w:t xml:space="preserve">老师 </w:t>
      </w:r>
      <w:r>
        <w:rPr>
          <w:rFonts w:hint="eastAsia" w:ascii="宋体" w:hAnsi="宋体" w:cs="宋体"/>
          <w:color w:val="auto"/>
          <w:szCs w:val="21"/>
          <w:lang w:val="en-US" w:eastAsia="zh-CN"/>
        </w:rPr>
        <w:t>15193102205</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采购</w:t>
      </w:r>
      <w:r>
        <w:rPr>
          <w:rFonts w:hint="eastAsia" w:ascii="宋体" w:hAnsi="宋体" w:cs="宋体"/>
          <w:color w:val="auto"/>
          <w:szCs w:val="21"/>
        </w:rPr>
        <w:t>联系人：</w:t>
      </w:r>
      <w:r>
        <w:rPr>
          <w:rFonts w:hint="eastAsia" w:ascii="宋体" w:hAnsi="宋体" w:cs="宋体"/>
          <w:color w:val="auto"/>
          <w:szCs w:val="21"/>
          <w:lang w:val="en-US" w:eastAsia="zh-CN"/>
        </w:rPr>
        <w:t>吴老师</w:t>
      </w:r>
      <w:r>
        <w:rPr>
          <w:rFonts w:hint="eastAsia" w:ascii="宋体" w:hAnsi="宋体" w:cs="宋体"/>
          <w:color w:val="auto"/>
          <w:szCs w:val="21"/>
        </w:rPr>
        <w:t xml:space="preserve">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联系地址：兰州市安宁区刘沙公路37号</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联系电话：0931-7619761</w:t>
      </w:r>
    </w:p>
    <w:p>
      <w:pPr>
        <w:spacing w:line="360" w:lineRule="auto"/>
        <w:jc w:val="center"/>
        <w:rPr>
          <w:rFonts w:ascii="宋体" w:hAnsi="宋体" w:cs="宋体"/>
          <w:color w:val="auto"/>
          <w:szCs w:val="21"/>
        </w:rPr>
      </w:pPr>
    </w:p>
    <w:p>
      <w:pPr>
        <w:spacing w:line="360" w:lineRule="auto"/>
        <w:jc w:val="right"/>
        <w:rPr>
          <w:rFonts w:ascii="宋体" w:hAnsi="宋体" w:cs="宋体"/>
          <w:color w:val="auto"/>
          <w:szCs w:val="21"/>
        </w:rPr>
      </w:pPr>
      <w:r>
        <w:rPr>
          <w:rFonts w:hint="eastAsia" w:ascii="宋体" w:hAnsi="宋体" w:cs="宋体"/>
          <w:color w:val="auto"/>
          <w:szCs w:val="21"/>
        </w:rPr>
        <w:t>兰州职业技术学院</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5</w:t>
      </w:r>
      <w:r>
        <w:rPr>
          <w:rFonts w:hint="eastAsia" w:ascii="宋体" w:hAnsi="宋体" w:cs="宋体"/>
          <w:color w:val="auto"/>
          <w:szCs w:val="21"/>
        </w:rPr>
        <w:t>月</w:t>
      </w:r>
      <w:r>
        <w:rPr>
          <w:rFonts w:hint="eastAsia" w:ascii="宋体" w:hAnsi="宋体" w:cs="宋体"/>
          <w:color w:val="auto"/>
          <w:szCs w:val="21"/>
          <w:lang w:val="en-US" w:eastAsia="zh-CN"/>
        </w:rPr>
        <w:t>23</w:t>
      </w:r>
      <w:r>
        <w:rPr>
          <w:rFonts w:hint="eastAsia" w:ascii="宋体" w:hAnsi="宋体" w:cs="宋体"/>
          <w:color w:val="auto"/>
          <w:szCs w:val="21"/>
        </w:rPr>
        <w:t>日</w:t>
      </w:r>
      <w:r>
        <w:rPr>
          <w:rFonts w:ascii="宋体" w:hAnsi="宋体" w:cs="宋体"/>
          <w:color w:val="auto"/>
          <w:szCs w:val="21"/>
        </w:rPr>
        <w:t xml:space="preserve"> </w:t>
      </w:r>
    </w:p>
    <w:p>
      <w:pPr>
        <w:spacing w:line="360" w:lineRule="auto"/>
        <w:rPr>
          <w:rFonts w:ascii="仿宋" w:hAnsi="仿宋" w:eastAsia="仿宋" w:cs="仿宋"/>
          <w:color w:val="auto"/>
          <w:sz w:val="24"/>
        </w:rPr>
      </w:pPr>
    </w:p>
    <w:p>
      <w:pPr>
        <w:pStyle w:val="4"/>
        <w:spacing w:line="360" w:lineRule="auto"/>
        <w:jc w:val="center"/>
        <w:rPr>
          <w:rFonts w:ascii="仿宋" w:hAnsi="仿宋" w:eastAsia="仿宋" w:cs="仿宋"/>
          <w:bCs w:val="0"/>
          <w:color w:val="auto"/>
        </w:rPr>
      </w:pPr>
      <w:bookmarkStart w:id="11" w:name="_Toc361769763"/>
      <w:bookmarkStart w:id="12" w:name="_Toc361769629"/>
    </w:p>
    <w:p>
      <w:pPr>
        <w:rPr>
          <w:color w:val="auto"/>
        </w:rPr>
      </w:pPr>
    </w:p>
    <w:p>
      <w:pPr>
        <w:pStyle w:val="4"/>
        <w:spacing w:line="360" w:lineRule="auto"/>
        <w:jc w:val="center"/>
        <w:rPr>
          <w:rFonts w:ascii="仿宋" w:hAnsi="仿宋" w:eastAsia="仿宋" w:cs="仿宋"/>
          <w:bCs w:val="0"/>
          <w:color w:val="auto"/>
        </w:rPr>
      </w:pPr>
    </w:p>
    <w:p>
      <w:pPr>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4"/>
        <w:spacing w:line="360" w:lineRule="auto"/>
        <w:jc w:val="center"/>
        <w:rPr>
          <w:rFonts w:ascii="宋体" w:hAnsi="宋体" w:cs="宋体"/>
          <w:bCs w:val="0"/>
          <w:color w:val="auto"/>
        </w:rPr>
      </w:pPr>
    </w:p>
    <w:p>
      <w:pPr>
        <w:pStyle w:val="4"/>
        <w:spacing w:line="360" w:lineRule="auto"/>
        <w:jc w:val="center"/>
        <w:rPr>
          <w:rFonts w:ascii="宋体" w:hAnsi="宋体" w:cs="宋体"/>
          <w:bCs w:val="0"/>
          <w:color w:val="auto"/>
        </w:rPr>
      </w:pPr>
      <w:bookmarkStart w:id="13" w:name="_Toc25306"/>
      <w:r>
        <w:rPr>
          <w:rFonts w:hint="eastAsia" w:ascii="宋体" w:hAnsi="宋体" w:cs="宋体"/>
          <w:bCs w:val="0"/>
          <w:color w:val="auto"/>
        </w:rPr>
        <w:t>第二部分  供应商须知</w:t>
      </w:r>
      <w:bookmarkEnd w:id="11"/>
      <w:bookmarkEnd w:id="12"/>
      <w:bookmarkEnd w:id="13"/>
    </w:p>
    <w:p>
      <w:pPr>
        <w:pStyle w:val="19"/>
        <w:spacing w:line="360" w:lineRule="auto"/>
        <w:jc w:val="center"/>
        <w:rPr>
          <w:rFonts w:ascii="仿宋" w:hAnsi="仿宋" w:eastAsia="仿宋" w:cs="仿宋"/>
          <w:b/>
          <w:bCs/>
          <w:color w:val="auto"/>
          <w:sz w:val="32"/>
          <w:szCs w:val="32"/>
        </w:rPr>
      </w:pPr>
      <w:bookmarkStart w:id="14" w:name="_Toc361769764"/>
      <w:bookmarkStart w:id="15" w:name="_Toc361769630"/>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rPr>
          <w:rFonts w:ascii="仿宋" w:hAnsi="仿宋" w:eastAsia="仿宋" w:cs="仿宋"/>
          <w:color w:val="auto"/>
        </w:rPr>
      </w:pPr>
    </w:p>
    <w:p>
      <w:pPr>
        <w:pStyle w:val="19"/>
        <w:spacing w:line="360" w:lineRule="auto"/>
        <w:jc w:val="center"/>
        <w:outlineLvl w:val="1"/>
        <w:rPr>
          <w:rFonts w:hint="eastAsia" w:hAnsi="宋体" w:cs="宋体"/>
          <w:b/>
          <w:color w:val="auto"/>
          <w:sz w:val="32"/>
          <w:szCs w:val="32"/>
        </w:rPr>
      </w:pPr>
      <w:bookmarkStart w:id="16" w:name="_Toc14913"/>
      <w:bookmarkStart w:id="17" w:name="_Toc17640"/>
    </w:p>
    <w:p>
      <w:pPr>
        <w:pStyle w:val="19"/>
        <w:spacing w:line="360" w:lineRule="auto"/>
        <w:jc w:val="center"/>
        <w:outlineLvl w:val="1"/>
        <w:rPr>
          <w:rFonts w:hint="eastAsia" w:hAnsi="宋体" w:cs="宋体"/>
          <w:b/>
          <w:color w:val="auto"/>
          <w:sz w:val="32"/>
          <w:szCs w:val="32"/>
        </w:rPr>
      </w:pPr>
    </w:p>
    <w:p>
      <w:pPr>
        <w:pStyle w:val="19"/>
        <w:spacing w:line="360" w:lineRule="auto"/>
        <w:jc w:val="center"/>
        <w:outlineLvl w:val="1"/>
        <w:rPr>
          <w:rFonts w:hint="eastAsia" w:hAnsi="宋体" w:cs="宋体"/>
          <w:b/>
          <w:color w:val="auto"/>
          <w:sz w:val="32"/>
          <w:szCs w:val="32"/>
        </w:rPr>
      </w:pPr>
    </w:p>
    <w:p>
      <w:pPr>
        <w:pStyle w:val="19"/>
        <w:spacing w:line="360" w:lineRule="auto"/>
        <w:jc w:val="center"/>
        <w:outlineLvl w:val="1"/>
        <w:rPr>
          <w:rFonts w:hAnsi="宋体" w:cs="宋体"/>
          <w:b/>
          <w:color w:val="auto"/>
          <w:sz w:val="32"/>
          <w:szCs w:val="32"/>
        </w:rPr>
      </w:pPr>
      <w:r>
        <w:rPr>
          <w:rFonts w:hint="eastAsia" w:hAnsi="宋体" w:cs="宋体"/>
          <w:b/>
          <w:color w:val="auto"/>
          <w:sz w:val="32"/>
          <w:szCs w:val="32"/>
        </w:rPr>
        <w:t>一、供应商须知前附表</w:t>
      </w:r>
      <w:bookmarkEnd w:id="14"/>
      <w:bookmarkEnd w:id="15"/>
      <w:bookmarkEnd w:id="16"/>
      <w:bookmarkEnd w:id="17"/>
    </w:p>
    <w:p>
      <w:pPr>
        <w:pStyle w:val="19"/>
        <w:spacing w:line="360" w:lineRule="auto"/>
        <w:rPr>
          <w:rFonts w:hAnsi="宋体" w:cs="宋体"/>
          <w:b/>
          <w:color w:val="auto"/>
          <w:w w:val="95"/>
          <w:sz w:val="24"/>
          <w:szCs w:val="24"/>
        </w:rPr>
      </w:pPr>
      <w:r>
        <w:rPr>
          <w:rFonts w:hint="eastAsia" w:hAnsi="宋体" w:cs="宋体"/>
          <w:b/>
          <w:color w:val="auto"/>
          <w:w w:val="95"/>
          <w:szCs w:val="21"/>
        </w:rPr>
        <w:t xml:space="preserve">   </w:t>
      </w:r>
      <w:r>
        <w:rPr>
          <w:rFonts w:hint="eastAsia" w:hAnsi="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项号</w:t>
            </w:r>
          </w:p>
        </w:tc>
        <w:tc>
          <w:tcPr>
            <w:tcW w:w="8507" w:type="dxa"/>
            <w:vAlign w:val="center"/>
          </w:tcPr>
          <w:p>
            <w:pPr>
              <w:pStyle w:val="19"/>
              <w:snapToGrid w:val="0"/>
              <w:spacing w:line="360" w:lineRule="auto"/>
              <w:jc w:val="center"/>
              <w:rPr>
                <w:rFonts w:hAnsi="宋体" w:cs="宋体"/>
                <w:bCs/>
                <w:color w:val="auto"/>
                <w:szCs w:val="21"/>
                <w:lang w:bidi="ar"/>
              </w:rPr>
            </w:pPr>
            <w:r>
              <w:rPr>
                <w:rFonts w:hint="eastAsia" w:hAnsi="宋体" w:cs="宋体"/>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项目名称：</w:t>
            </w:r>
            <w:r>
              <w:rPr>
                <w:rFonts w:hint="eastAsia" w:ascii="宋体" w:hAnsi="宋体" w:cs="宋体"/>
                <w:color w:val="auto"/>
                <w:szCs w:val="21"/>
              </w:rPr>
              <w:t>国家级非物质遗产代表性传承人记录工作项目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2</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磋商内容：</w:t>
            </w:r>
            <w:r>
              <w:rPr>
                <w:rFonts w:hint="eastAsia" w:ascii="宋体" w:hAnsi="宋体" w:eastAsia="宋体" w:cs="宋体"/>
                <w:color w:val="auto"/>
                <w:szCs w:val="21"/>
                <w:lang w:eastAsia="zh-CN"/>
              </w:rPr>
              <w:t>国家级非物质文化遗产代表性传承人记录工作</w:t>
            </w:r>
            <w:r>
              <w:rPr>
                <w:rFonts w:hint="eastAsia" w:ascii="宋体" w:hAnsi="宋体" w:eastAsia="宋体" w:cs="宋体"/>
                <w:color w:val="auto"/>
                <w:szCs w:val="21"/>
                <w:lang w:val="en-US" w:eastAsia="zh-CN"/>
              </w:rPr>
              <w:t>的</w:t>
            </w:r>
            <w:r>
              <w:rPr>
                <w:rFonts w:hint="eastAsia" w:ascii="宋体" w:hAnsi="宋体" w:eastAsia="宋体" w:cs="宋体"/>
                <w:color w:val="auto"/>
                <w:szCs w:val="21"/>
                <w:lang w:eastAsia="zh-CN"/>
              </w:rPr>
              <w:t>拍摄与制作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3</w:t>
            </w:r>
          </w:p>
        </w:tc>
        <w:tc>
          <w:tcPr>
            <w:tcW w:w="8507" w:type="dxa"/>
            <w:vAlign w:val="center"/>
          </w:tcPr>
          <w:p>
            <w:pPr>
              <w:numPr>
                <w:ilvl w:val="0"/>
                <w:numId w:val="4"/>
              </w:numPr>
              <w:snapToGrid w:val="0"/>
              <w:spacing w:line="360" w:lineRule="auto"/>
              <w:ind w:firstLine="420"/>
              <w:rPr>
                <w:rFonts w:ascii="宋体" w:hAnsi="宋体" w:cs="宋体"/>
                <w:bCs/>
                <w:color w:val="auto"/>
                <w:szCs w:val="21"/>
                <w:lang w:bidi="ar"/>
              </w:rPr>
            </w:pPr>
            <w:r>
              <w:rPr>
                <w:rFonts w:hint="eastAsia" w:ascii="宋体" w:hAnsi="宋体" w:cs="宋体"/>
                <w:bCs/>
                <w:color w:val="auto"/>
                <w:szCs w:val="21"/>
                <w:lang w:bidi="ar"/>
              </w:rPr>
              <w:t>本项目预算：</w:t>
            </w:r>
            <w:r>
              <w:rPr>
                <w:rFonts w:hint="eastAsia" w:ascii="宋体" w:hAnsi="宋体" w:cs="宋体"/>
                <w:bCs/>
                <w:color w:val="auto"/>
                <w:szCs w:val="21"/>
                <w:lang w:val="en-US" w:eastAsia="zh-CN" w:bidi="ar"/>
              </w:rPr>
              <w:t>30</w:t>
            </w:r>
            <w:r>
              <w:rPr>
                <w:rFonts w:hint="eastAsia" w:ascii="宋体" w:hAnsi="宋体" w:cs="宋体"/>
                <w:bCs/>
                <w:color w:val="auto"/>
                <w:szCs w:val="21"/>
                <w:lang w:bidi="ar"/>
              </w:rPr>
              <w:t>万元</w:t>
            </w:r>
            <w:r>
              <w:rPr>
                <w:rFonts w:ascii="宋体" w:hAnsi="宋体" w:cs="宋体"/>
                <w:bCs/>
                <w:color w:val="auto"/>
                <w:szCs w:val="21"/>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4</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5</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投标有效期：</w:t>
            </w:r>
            <w:r>
              <w:rPr>
                <w:rFonts w:hint="eastAsia" w:hAnsi="宋体" w:cs="宋体"/>
                <w:bCs/>
                <w:color w:val="auto"/>
                <w:szCs w:val="21"/>
                <w:u w:val="single"/>
                <w:lang w:bidi="ar"/>
              </w:rPr>
              <w:t xml:space="preserve">90 </w:t>
            </w:r>
            <w:r>
              <w:rPr>
                <w:rFonts w:hint="eastAsia" w:hAnsi="宋体" w:cs="宋体"/>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6</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供应商资格要求：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ind w:firstLine="420" w:firstLineChars="200"/>
              <w:jc w:val="left"/>
              <w:rPr>
                <w:rFonts w:ascii="宋体" w:hAnsi="宋体" w:cs="宋体"/>
                <w:bCs/>
                <w:color w:val="auto"/>
                <w:szCs w:val="21"/>
                <w:lang w:bidi="ar"/>
              </w:rPr>
            </w:pPr>
            <w:r>
              <w:rPr>
                <w:rFonts w:hint="eastAsia" w:ascii="宋体" w:hAnsi="宋体" w:cs="宋体"/>
                <w:bCs/>
                <w:color w:val="auto"/>
                <w:szCs w:val="21"/>
                <w:lang w:bidi="ar"/>
              </w:rPr>
              <w:t>6.</w:t>
            </w:r>
            <w:r>
              <w:rPr>
                <w:rFonts w:hint="eastAsia" w:ascii="宋体" w:hAnsi="宋体" w:cs="宋体"/>
                <w:color w:val="auto"/>
                <w:szCs w:val="21"/>
                <w:lang w:val="en-US" w:eastAsia="zh-CN"/>
              </w:rPr>
              <w:t>资格承诺函</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7</w:t>
            </w:r>
            <w:r>
              <w:rPr>
                <w:rFonts w:hint="eastAsia" w:ascii="宋体" w:hAnsi="宋体" w:cs="宋体"/>
                <w:bCs/>
                <w:color w:val="auto"/>
                <w:szCs w:val="21"/>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8</w:t>
            </w:r>
            <w:r>
              <w:rPr>
                <w:rFonts w:hint="eastAsia" w:ascii="宋体" w:hAnsi="宋体" w:cs="宋体"/>
                <w:bCs/>
                <w:color w:val="auto"/>
                <w:szCs w:val="21"/>
                <w:lang w:bidi="ar"/>
              </w:rPr>
              <w:t>.本项目不接受联合体竞价。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7</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付款方式：</w:t>
            </w:r>
            <w:r>
              <w:rPr>
                <w:rFonts w:hint="eastAsia" w:hAnsi="宋体" w:cs="仿宋"/>
                <w:color w:val="auto"/>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8</w:t>
            </w:r>
          </w:p>
        </w:tc>
        <w:tc>
          <w:tcPr>
            <w:tcW w:w="8507" w:type="dxa"/>
            <w:vAlign w:val="center"/>
          </w:tcPr>
          <w:p>
            <w:pPr>
              <w:pStyle w:val="19"/>
              <w:snapToGrid w:val="0"/>
              <w:spacing w:line="360" w:lineRule="auto"/>
              <w:rPr>
                <w:rFonts w:hAnsi="宋体" w:cs="宋体"/>
                <w:bCs/>
                <w:color w:val="auto"/>
                <w:szCs w:val="21"/>
                <w:lang w:bidi="ar"/>
              </w:rPr>
            </w:pPr>
            <w:r>
              <w:rPr>
                <w:rFonts w:hint="eastAsia" w:hAnsi="宋体" w:cs="宋体"/>
                <w:bCs/>
                <w:color w:val="auto"/>
                <w:szCs w:val="21"/>
                <w:lang w:bidi="ar"/>
              </w:rPr>
              <w:t>磋商响应文件及电子版要求：</w:t>
            </w:r>
          </w:p>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val="zh-CN" w:bidi="ar"/>
              </w:rPr>
              <w:t>纸质文件</w:t>
            </w:r>
            <w:r>
              <w:rPr>
                <w:rFonts w:hint="eastAsia" w:hAnsi="宋体" w:cs="宋体"/>
                <w:bCs/>
                <w:color w:val="auto"/>
                <w:szCs w:val="21"/>
                <w:lang w:bidi="ar"/>
              </w:rPr>
              <w:t>份数：正本一套、副本二套；</w:t>
            </w:r>
          </w:p>
          <w:p>
            <w:pPr>
              <w:pStyle w:val="19"/>
              <w:snapToGrid w:val="0"/>
              <w:spacing w:line="360" w:lineRule="auto"/>
              <w:ind w:firstLine="420" w:firstLineChars="200"/>
              <w:rPr>
                <w:rFonts w:hAnsi="宋体" w:cs="宋体"/>
                <w:b/>
                <w:color w:val="auto"/>
                <w:szCs w:val="21"/>
                <w:lang w:bidi="ar"/>
              </w:rPr>
            </w:pPr>
            <w:r>
              <w:rPr>
                <w:rFonts w:hint="eastAsia" w:hAnsi="宋体" w:cs="宋体"/>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9</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供应商必须按照磋商文件的规定和要求签字、盖章（法人代表的签字可用具有法定效力的签字章）</w:t>
            </w:r>
            <w:r>
              <w:rPr>
                <w:rFonts w:hint="eastAsia" w:ascii="宋体" w:hAnsi="宋体" w:cs="宋体"/>
                <w:color w:val="auto"/>
                <w:szCs w:val="21"/>
              </w:rPr>
              <w:t>,未按规定签字盖章的</w:t>
            </w:r>
            <w:r>
              <w:rPr>
                <w:rFonts w:hint="eastAsia" w:ascii="宋体" w:hAnsi="宋体" w:cs="宋体"/>
                <w:color w:val="auto"/>
                <w:kern w:val="0"/>
                <w:szCs w:val="21"/>
                <w:lang w:val="zh-CN"/>
              </w:rPr>
              <w:t>，按</w:t>
            </w:r>
            <w:r>
              <w:rPr>
                <w:rFonts w:hint="eastAsia" w:ascii="宋体" w:hAnsi="宋体" w:cs="宋体"/>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10</w:t>
            </w:r>
          </w:p>
        </w:tc>
        <w:tc>
          <w:tcPr>
            <w:tcW w:w="8507" w:type="dxa"/>
            <w:vAlign w:val="center"/>
          </w:tcPr>
          <w:p>
            <w:pPr>
              <w:spacing w:line="360" w:lineRule="auto"/>
              <w:rPr>
                <w:rFonts w:ascii="宋体" w:hAnsi="宋体" w:cs="宋体"/>
                <w:color w:val="auto"/>
                <w:szCs w:val="21"/>
              </w:rPr>
            </w:pPr>
            <w:r>
              <w:rPr>
                <w:rFonts w:hint="eastAsia" w:ascii="宋体" w:hAnsi="宋体" w:cs="宋体"/>
                <w:color w:val="auto"/>
                <w:szCs w:val="21"/>
              </w:rPr>
              <w:t>磋商文件澄清:</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供应商于</w:t>
            </w:r>
            <w:r>
              <w:rPr>
                <w:rFonts w:hint="eastAsia" w:ascii="宋体" w:hAnsi="宋体" w:cs="宋体"/>
                <w:color w:val="auto"/>
                <w:szCs w:val="21"/>
                <w:lang w:val="en-US" w:eastAsia="zh-CN"/>
              </w:rPr>
              <w:t>2023</w:t>
            </w:r>
            <w:r>
              <w:rPr>
                <w:rFonts w:hint="eastAsia" w:ascii="宋体" w:hAnsi="宋体" w:cs="宋体"/>
                <w:color w:val="auto"/>
                <w:szCs w:val="21"/>
              </w:rPr>
              <w:t>年</w:t>
            </w:r>
            <w:r>
              <w:rPr>
                <w:rFonts w:hint="eastAsia" w:ascii="宋体" w:hAnsi="宋体" w:cs="宋体"/>
                <w:color w:val="auto"/>
                <w:szCs w:val="21"/>
                <w:lang w:val="en-US" w:eastAsia="zh-CN"/>
              </w:rPr>
              <w:t>5</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日1</w:t>
            </w:r>
            <w:r>
              <w:rPr>
                <w:rFonts w:hint="eastAsia" w:ascii="宋体" w:hAnsi="宋体" w:cs="宋体"/>
                <w:color w:val="auto"/>
                <w:szCs w:val="21"/>
                <w:lang w:val="en-US" w:eastAsia="zh-CN"/>
              </w:rPr>
              <w:t>7</w:t>
            </w:r>
            <w:r>
              <w:rPr>
                <w:rFonts w:hint="eastAsia" w:ascii="宋体" w:hAnsi="宋体" w:cs="宋体"/>
                <w:color w:val="auto"/>
                <w:szCs w:val="21"/>
              </w:rPr>
              <w:t>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11</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12</w:t>
            </w:r>
          </w:p>
        </w:tc>
        <w:tc>
          <w:tcPr>
            <w:tcW w:w="8507" w:type="dxa"/>
            <w:vAlign w:val="center"/>
          </w:tcPr>
          <w:p>
            <w:pPr>
              <w:spacing w:line="360" w:lineRule="auto"/>
              <w:ind w:firstLine="420" w:firstLineChars="200"/>
              <w:rPr>
                <w:rFonts w:ascii="宋体" w:cs="宋体"/>
                <w:color w:val="auto"/>
                <w:szCs w:val="21"/>
              </w:rPr>
            </w:pPr>
            <w:r>
              <w:rPr>
                <w:rFonts w:hint="eastAsia" w:ascii="宋体" w:hAnsi="宋体" w:cs="宋体"/>
                <w:color w:val="auto"/>
                <w:szCs w:val="21"/>
              </w:rPr>
              <w:t>递交磋商文件地点、时间：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递交磋商文件的地点：</w:t>
            </w:r>
            <w:bookmarkStart w:id="18" w:name="_Hlk107324832"/>
            <w:r>
              <w:rPr>
                <w:rFonts w:hint="eastAsia" w:ascii="宋体" w:hAnsi="宋体" w:cs="宋体"/>
                <w:color w:val="auto"/>
                <w:szCs w:val="21"/>
              </w:rPr>
              <w:t>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bookmarkEnd w:id="18"/>
          <w:p>
            <w:pPr>
              <w:spacing w:line="360" w:lineRule="auto"/>
              <w:ind w:firstLine="420" w:firstLineChars="200"/>
              <w:rPr>
                <w:rFonts w:ascii="宋体" w:cs="宋体"/>
                <w:color w:val="auto"/>
                <w:szCs w:val="21"/>
              </w:rPr>
            </w:pPr>
            <w:r>
              <w:rPr>
                <w:rFonts w:hint="eastAsia" w:ascii="宋体" w:hAnsi="宋体" w:cs="宋体"/>
                <w:color w:val="auto"/>
                <w:szCs w:val="21"/>
              </w:rPr>
              <w:t>递交磋商文件时间：202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r>
              <w:rPr>
                <w:rFonts w:hint="eastAsia" w:ascii="宋体" w:hAnsi="宋体" w:cs="宋体"/>
                <w:color w:val="auto"/>
                <w:szCs w:val="21"/>
                <w:lang w:val="en-US" w:eastAsia="zh-CN"/>
              </w:rPr>
              <w:t>9</w:t>
            </w:r>
            <w:r>
              <w:rPr>
                <w:rFonts w:hint="eastAsia" w:ascii="宋体" w:hAnsi="宋体" w:cs="宋体"/>
                <w:color w:val="auto"/>
                <w:szCs w:val="21"/>
              </w:rPr>
              <w:t>:</w:t>
            </w:r>
            <w:r>
              <w:rPr>
                <w:rFonts w:hint="eastAsia" w:ascii="宋体" w:hAnsi="宋体" w:cs="宋体"/>
                <w:color w:val="auto"/>
                <w:szCs w:val="21"/>
                <w:lang w:val="en-US" w:eastAsia="zh-CN"/>
              </w:rPr>
              <w:t>3</w:t>
            </w:r>
            <w:r>
              <w:rPr>
                <w:rFonts w:hint="eastAsia" w:ascii="宋体" w:hAnsi="宋体" w:cs="宋体"/>
                <w:color w:val="auto"/>
                <w:szCs w:val="21"/>
              </w:rPr>
              <w:t>0之前。</w:t>
            </w:r>
          </w:p>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必须在此时间前将</w:t>
            </w:r>
            <w:r>
              <w:rPr>
                <w:rFonts w:hint="eastAsia" w:ascii="宋体" w:hAnsi="宋体" w:cs="宋体"/>
                <w:color w:val="auto"/>
                <w:szCs w:val="21"/>
              </w:rPr>
              <w:t>磋商</w:t>
            </w:r>
            <w:r>
              <w:rPr>
                <w:rFonts w:hint="eastAsia" w:ascii="宋体" w:hAnsi="宋体" w:cs="宋体"/>
                <w:color w:val="auto"/>
                <w:szCs w:val="21"/>
                <w:lang w:val="zh-CN"/>
              </w:rPr>
              <w:t>文件、</w:t>
            </w:r>
            <w:r>
              <w:rPr>
                <w:rFonts w:hint="eastAsia" w:ascii="宋体" w:hAnsi="宋体" w:cs="宋体"/>
                <w:color w:val="auto"/>
                <w:szCs w:val="21"/>
              </w:rPr>
              <w:t>报价</w:t>
            </w:r>
            <w:r>
              <w:rPr>
                <w:rFonts w:hint="eastAsia" w:ascii="宋体" w:hAnsi="宋体" w:cs="宋体"/>
                <w:color w:val="auto"/>
                <w:szCs w:val="21"/>
                <w:lang w:val="zh-CN"/>
              </w:rPr>
              <w:t>一览表、</w:t>
            </w:r>
            <w:r>
              <w:rPr>
                <w:rFonts w:hint="eastAsia" w:ascii="宋体" w:hAnsi="宋体" w:cs="宋体"/>
                <w:color w:val="auto"/>
                <w:szCs w:val="21"/>
              </w:rPr>
              <w:t>电子文档等</w:t>
            </w:r>
            <w:r>
              <w:rPr>
                <w:rFonts w:hint="eastAsia" w:ascii="宋体" w:hAnsi="宋体" w:cs="宋体"/>
                <w:color w:val="auto"/>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bookmarkStart w:id="19" w:name="_Toc361769765"/>
            <w:bookmarkStart w:id="20" w:name="_Toc361769631"/>
            <w:r>
              <w:rPr>
                <w:rFonts w:hint="eastAsia" w:hAnsi="宋体" w:cs="宋体"/>
                <w:b/>
                <w:color w:val="auto"/>
                <w:szCs w:val="21"/>
                <w:lang w:bidi="ar"/>
              </w:rPr>
              <w:t>13</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供货期：采购人通知</w:t>
            </w:r>
            <w:r>
              <w:rPr>
                <w:rFonts w:hint="eastAsia" w:ascii="宋体" w:hAnsi="宋体" w:cs="宋体"/>
                <w:color w:val="auto"/>
                <w:szCs w:val="21"/>
                <w:lang w:val="en-US" w:eastAsia="zh-CN"/>
              </w:rPr>
              <w:t>为准</w:t>
            </w:r>
            <w:r>
              <w:rPr>
                <w:rFonts w:ascii="宋体" w:hAnsi="宋体" w:cs="宋体"/>
                <w:color w:val="auto"/>
                <w:szCs w:val="21"/>
              </w:rPr>
              <w:t xml:space="preserve"> </w:t>
            </w:r>
          </w:p>
        </w:tc>
      </w:tr>
    </w:tbl>
    <w:p>
      <w:pPr>
        <w:pStyle w:val="19"/>
        <w:spacing w:line="360" w:lineRule="auto"/>
        <w:outlineLvl w:val="1"/>
        <w:rPr>
          <w:rFonts w:ascii="仿宋" w:hAnsi="仿宋" w:eastAsia="仿宋" w:cs="仿宋"/>
          <w:b/>
          <w:bCs/>
          <w:color w:val="auto"/>
          <w:sz w:val="32"/>
          <w:szCs w:val="32"/>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ind w:firstLine="0" w:firstLineChars="0"/>
        <w:rPr>
          <w:rFonts w:ascii="仿宋" w:hAnsi="仿宋" w:eastAsia="仿宋" w:cs="仿宋"/>
          <w:color w:val="auto"/>
        </w:rPr>
      </w:pPr>
    </w:p>
    <w:p>
      <w:pPr>
        <w:pStyle w:val="2"/>
        <w:rPr>
          <w:rFonts w:ascii="仿宋" w:hAnsi="仿宋" w:eastAsia="仿宋" w:cs="仿宋"/>
          <w:color w:val="auto"/>
        </w:rPr>
      </w:pPr>
    </w:p>
    <w:p>
      <w:pPr>
        <w:pStyle w:val="19"/>
        <w:spacing w:line="360" w:lineRule="auto"/>
        <w:jc w:val="center"/>
        <w:outlineLvl w:val="1"/>
        <w:rPr>
          <w:rFonts w:hint="eastAsia" w:ascii="仿宋" w:hAnsi="仿宋" w:eastAsia="仿宋" w:cs="仿宋"/>
          <w:b/>
          <w:bCs/>
          <w:color w:val="auto"/>
          <w:sz w:val="28"/>
          <w:szCs w:val="28"/>
        </w:rPr>
      </w:pPr>
      <w:bookmarkStart w:id="21" w:name="_Toc19997"/>
      <w:bookmarkStart w:id="22" w:name="_Toc23106"/>
    </w:p>
    <w:p>
      <w:pPr>
        <w:pStyle w:val="19"/>
        <w:spacing w:line="360" w:lineRule="auto"/>
        <w:jc w:val="center"/>
        <w:outlineLvl w:val="1"/>
        <w:rPr>
          <w:rFonts w:hint="eastAsia" w:ascii="仿宋" w:hAnsi="仿宋" w:eastAsia="仿宋" w:cs="仿宋"/>
          <w:b/>
          <w:bCs/>
          <w:color w:val="auto"/>
          <w:sz w:val="28"/>
          <w:szCs w:val="28"/>
        </w:rPr>
      </w:pPr>
    </w:p>
    <w:p>
      <w:pPr>
        <w:pStyle w:val="19"/>
        <w:spacing w:line="360" w:lineRule="auto"/>
        <w:jc w:val="center"/>
        <w:outlineLvl w:val="1"/>
        <w:rPr>
          <w:rFonts w:hint="eastAsia" w:ascii="仿宋" w:hAnsi="仿宋" w:eastAsia="仿宋" w:cs="仿宋"/>
          <w:b/>
          <w:bCs/>
          <w:color w:val="auto"/>
          <w:sz w:val="28"/>
          <w:szCs w:val="28"/>
        </w:rPr>
      </w:pPr>
    </w:p>
    <w:p>
      <w:pPr>
        <w:pStyle w:val="19"/>
        <w:spacing w:line="360" w:lineRule="auto"/>
        <w:jc w:val="center"/>
        <w:outlineLvl w:val="1"/>
        <w:rPr>
          <w:rFonts w:hint="eastAsia" w:ascii="仿宋" w:hAnsi="仿宋" w:eastAsia="仿宋" w:cs="仿宋"/>
          <w:b/>
          <w:bCs/>
          <w:color w:val="auto"/>
          <w:sz w:val="28"/>
          <w:szCs w:val="28"/>
        </w:rPr>
      </w:pPr>
    </w:p>
    <w:p>
      <w:pPr>
        <w:pStyle w:val="19"/>
        <w:spacing w:line="360" w:lineRule="auto"/>
        <w:jc w:val="center"/>
        <w:outlineLvl w:val="1"/>
        <w:rPr>
          <w:rFonts w:hint="eastAsia" w:ascii="仿宋" w:hAnsi="仿宋" w:eastAsia="仿宋" w:cs="仿宋"/>
          <w:b/>
          <w:bCs/>
          <w:color w:val="auto"/>
          <w:sz w:val="28"/>
          <w:szCs w:val="28"/>
        </w:rPr>
      </w:pPr>
    </w:p>
    <w:p>
      <w:pPr>
        <w:pStyle w:val="19"/>
        <w:spacing w:line="360" w:lineRule="auto"/>
        <w:jc w:val="center"/>
        <w:outlineLvl w:val="1"/>
        <w:rPr>
          <w:rFonts w:hint="eastAsia" w:ascii="仿宋" w:hAnsi="仿宋" w:eastAsia="仿宋" w:cs="仿宋"/>
          <w:b/>
          <w:bCs/>
          <w:color w:val="auto"/>
          <w:sz w:val="28"/>
          <w:szCs w:val="28"/>
        </w:rPr>
      </w:pPr>
    </w:p>
    <w:p>
      <w:pPr>
        <w:pStyle w:val="19"/>
        <w:spacing w:line="360" w:lineRule="auto"/>
        <w:jc w:val="center"/>
        <w:outlineLvl w:val="1"/>
        <w:rPr>
          <w:rFonts w:hint="eastAsia" w:ascii="仿宋" w:hAnsi="仿宋" w:eastAsia="仿宋" w:cs="仿宋"/>
          <w:b/>
          <w:bCs/>
          <w:color w:val="auto"/>
          <w:sz w:val="28"/>
          <w:szCs w:val="28"/>
        </w:rPr>
      </w:pPr>
    </w:p>
    <w:p>
      <w:pPr>
        <w:pStyle w:val="19"/>
        <w:spacing w:line="360" w:lineRule="auto"/>
        <w:jc w:val="center"/>
        <w:outlineLvl w:val="1"/>
        <w:rPr>
          <w:rFonts w:ascii="仿宋" w:hAnsi="仿宋" w:eastAsia="仿宋" w:cs="仿宋"/>
          <w:b/>
          <w:bCs/>
          <w:color w:val="auto"/>
          <w:sz w:val="28"/>
          <w:szCs w:val="28"/>
        </w:rPr>
      </w:pPr>
      <w:r>
        <w:rPr>
          <w:rFonts w:hint="eastAsia" w:ascii="仿宋" w:hAnsi="仿宋" w:eastAsia="仿宋" w:cs="仿宋"/>
          <w:b/>
          <w:bCs/>
          <w:color w:val="auto"/>
          <w:sz w:val="28"/>
          <w:szCs w:val="28"/>
        </w:rPr>
        <w:t>二、供 应 商 须 知</w:t>
      </w:r>
      <w:bookmarkEnd w:id="19"/>
      <w:bookmarkEnd w:id="20"/>
      <w:bookmarkEnd w:id="21"/>
      <w:bookmarkEnd w:id="22"/>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 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1.1适用范围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本采购文件仅适用于本磋商文件。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1.2合格的供应商的基本条件：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1.2.3本项目不接受联合体投标。 </w:t>
      </w:r>
    </w:p>
    <w:p>
      <w:pPr>
        <w:spacing w:line="360" w:lineRule="auto"/>
        <w:ind w:firstLine="420" w:firstLineChars="200"/>
        <w:rPr>
          <w:rFonts w:ascii="宋体" w:hAnsi="宋体" w:cs="宋体"/>
          <w:color w:val="auto"/>
          <w:szCs w:val="21"/>
        </w:rPr>
      </w:pPr>
      <w:r>
        <w:rPr>
          <w:rFonts w:hint="eastAsia" w:ascii="宋体" w:hAnsi="宋体" w:cs="宋体"/>
          <w:color w:val="auto"/>
          <w:szCs w:val="21"/>
        </w:rPr>
        <w:t>1.3 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（1）“采购人、甲方”系指兰州职业技术学院。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（2）“供应商”系指向招标机构提交磋商响应文件并参与投标的法人。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（4）“乙方”指成交的供应商，合同一方的当事人。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（5）“服务”指成交供应商按招磋商件和磋商内容的规定，承担本项目相关的服务义务。</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  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2.1磋商文件的组成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(1)磋商邀请</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(2)供应商须知           </w:t>
      </w:r>
    </w:p>
    <w:p>
      <w:pPr>
        <w:spacing w:line="360" w:lineRule="auto"/>
        <w:ind w:firstLine="420" w:firstLineChars="200"/>
        <w:rPr>
          <w:rFonts w:ascii="宋体" w:hAnsi="宋体" w:cs="宋体"/>
          <w:color w:val="auto"/>
          <w:szCs w:val="21"/>
        </w:rPr>
      </w:pPr>
      <w:r>
        <w:rPr>
          <w:rFonts w:hint="eastAsia" w:ascii="宋体" w:hAnsi="宋体" w:cs="宋体"/>
          <w:color w:val="auto"/>
          <w:szCs w:val="21"/>
        </w:rPr>
        <w:t>(3)合同文件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(4)技术参数及项目要求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(5)响应文件格式要求</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 磋商响应和谈判总则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 磋商响应文件的编写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3.1.2投标语言和计量单位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磋商响应文件和来往函件用中文书写，计量单位应使用国际单位。（除非磋商文件中另有规定）</w:t>
      </w:r>
    </w:p>
    <w:p>
      <w:pPr>
        <w:spacing w:line="360" w:lineRule="auto"/>
        <w:ind w:firstLine="420" w:firstLineChars="200"/>
        <w:rPr>
          <w:rFonts w:ascii="宋体" w:hAnsi="宋体" w:cs="宋体"/>
          <w:color w:val="auto"/>
          <w:szCs w:val="21"/>
        </w:rPr>
      </w:pPr>
      <w:r>
        <w:rPr>
          <w:rFonts w:hint="eastAsia" w:ascii="宋体" w:hAnsi="宋体" w:cs="宋体"/>
          <w:color w:val="auto"/>
          <w:szCs w:val="21"/>
        </w:rPr>
        <w:t>3.1.3供应商应按投标范围进行投标。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3.2 磋商响应文件的组成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3.2.1供应商提交的磋商响应文件至少应包括以下部分：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（1）投标函</w:t>
      </w:r>
    </w:p>
    <w:p>
      <w:pPr>
        <w:spacing w:line="360" w:lineRule="auto"/>
        <w:ind w:firstLine="420" w:firstLineChars="200"/>
        <w:rPr>
          <w:rFonts w:ascii="宋体" w:hAnsi="宋体" w:cs="宋体"/>
          <w:color w:val="auto"/>
          <w:szCs w:val="21"/>
        </w:rPr>
      </w:pPr>
      <w:r>
        <w:rPr>
          <w:rFonts w:hint="eastAsia" w:ascii="宋体" w:hAnsi="宋体" w:cs="宋体"/>
          <w:color w:val="auto"/>
          <w:szCs w:val="21"/>
        </w:rPr>
        <w:t>（2）法人代表授权书（法定代表人为供应商代表并亲自签署投标书的可不提交）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（3）报价一览表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（4）供应商情况介绍文件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（5）资格证明文件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（6）供应商业绩证明材料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3.3  磋商响应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3.3.1 供应商磋商响应时间提交的全部材料必须密封，具体包括：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（1）磋商响应文件一式三份（正本1份，副本2份）1份正本单独密封，2份副本可选择单独或一起密封；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（2）报价一览表（提交时须单独密封）；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color w:val="auto"/>
          <w:szCs w:val="21"/>
        </w:rPr>
      </w:pPr>
      <w:r>
        <w:rPr>
          <w:rFonts w:hint="eastAsia" w:ascii="宋体" w:hAnsi="宋体" w:cs="宋体"/>
          <w:color w:val="auto"/>
          <w:szCs w:val="21"/>
        </w:rPr>
        <w:t>任何行间插字、涂改和增删，必须由磋商响应文件签字人在旁边签字才有效。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3.3.2每本磋商响应文件的内容应装订成册。</w:t>
      </w:r>
    </w:p>
    <w:p>
      <w:pPr>
        <w:spacing w:line="360" w:lineRule="auto"/>
        <w:ind w:firstLine="420" w:firstLineChars="200"/>
        <w:rPr>
          <w:rFonts w:ascii="宋体" w:hAnsi="宋体" w:cs="宋体"/>
          <w:color w:val="auto"/>
          <w:szCs w:val="21"/>
        </w:rPr>
      </w:pPr>
      <w:r>
        <w:rPr>
          <w:rFonts w:hint="eastAsia" w:ascii="宋体" w:hAnsi="宋体" w:cs="宋体"/>
          <w:color w:val="auto"/>
          <w:szCs w:val="21"/>
        </w:rPr>
        <w:t>3.3.3供应商应按照要求提交资格文件，并对这些资格文件的真实性负责。</w:t>
      </w:r>
    </w:p>
    <w:p>
      <w:pPr>
        <w:spacing w:line="360" w:lineRule="auto"/>
        <w:ind w:firstLine="422" w:firstLineChars="200"/>
        <w:rPr>
          <w:rFonts w:ascii="宋体" w:hAnsi="宋体" w:cs="宋体"/>
          <w:b/>
          <w:bCs/>
          <w:color w:val="auto"/>
          <w:szCs w:val="21"/>
        </w:rPr>
      </w:pPr>
      <w:bookmarkStart w:id="23" w:name="_Toc24615"/>
      <w:r>
        <w:rPr>
          <w:rFonts w:hint="eastAsia" w:ascii="宋体" w:hAnsi="宋体" w:cs="宋体"/>
          <w:b/>
          <w:bCs/>
          <w:color w:val="auto"/>
          <w:szCs w:val="21"/>
        </w:rPr>
        <w:t>3.3.4 磋商响应文件的密封和标注：</w:t>
      </w:r>
      <w:bookmarkEnd w:id="23"/>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纸质文件外层封套必须标明以下内容：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招 标 人：</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包    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磋商文件编号：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bCs/>
          <w:color w:val="auto"/>
          <w:szCs w:val="21"/>
        </w:rPr>
        <w:t>（盖章）</w:t>
      </w:r>
    </w:p>
    <w:p>
      <w:pPr>
        <w:adjustRightInd w:val="0"/>
        <w:spacing w:line="360" w:lineRule="auto"/>
        <w:ind w:firstLine="420" w:firstLineChars="200"/>
        <w:jc w:val="left"/>
        <w:rPr>
          <w:rFonts w:ascii="宋体" w:hAnsi="宋体" w:cs="宋体"/>
          <w:bCs/>
          <w:color w:val="auto"/>
          <w:szCs w:val="21"/>
        </w:rPr>
      </w:pPr>
      <w:r>
        <w:rPr>
          <w:rFonts w:hint="eastAsia" w:ascii="宋体" w:hAnsi="宋体" w:cs="宋体"/>
          <w:color w:val="auto"/>
          <w:szCs w:val="21"/>
        </w:rPr>
        <w:t>法定代表人或委托代理人（签字）</w:t>
      </w:r>
      <w:r>
        <w:rPr>
          <w:rFonts w:hint="eastAsia" w:ascii="宋体" w:hAnsi="宋体" w:cs="宋体"/>
          <w:bCs/>
          <w:color w:val="auto"/>
          <w:szCs w:val="21"/>
        </w:rPr>
        <w:t>：</w:t>
      </w:r>
      <w:r>
        <w:rPr>
          <w:rFonts w:hint="eastAsia" w:ascii="宋体" w:hAnsi="宋体" w:cs="宋体"/>
          <w:bCs/>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磋商响应文件在</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rPr>
        <w:t xml:space="preserve"> 分前不得开启</w:t>
      </w:r>
    </w:p>
    <w:p>
      <w:pPr>
        <w:spacing w:line="360" w:lineRule="auto"/>
        <w:ind w:firstLine="420" w:firstLineChars="200"/>
        <w:rPr>
          <w:rFonts w:ascii="宋体" w:hAnsi="宋体" w:cs="宋体"/>
          <w:color w:val="auto"/>
          <w:szCs w:val="21"/>
        </w:rPr>
      </w:pPr>
      <w:r>
        <w:rPr>
          <w:rFonts w:hint="eastAsia" w:ascii="宋体" w:hAnsi="宋体" w:cs="宋体"/>
          <w:color w:val="auto"/>
          <w:szCs w:val="21"/>
        </w:rPr>
        <w:t>3.3.5采购单位对因磋商响应文件未装订成册而造成的磋商文件的损坏、丢失不承担任何责任。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3.3.6采购单位对不可抗力的事件造成的磋商文件的损坏、丢失不承担任何责任。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3.5磋商响应文件的修改</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3.6磋商响应文件的撤回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在磋商响应截止时间前供应商可以撤回其投标，但在投标截止后不允许撤回投标。</w:t>
      </w:r>
      <w:bookmarkStart w:id="24" w:name="_Toc29548"/>
      <w:bookmarkStart w:id="25" w:name="_Toc504477602"/>
      <w:bookmarkStart w:id="26" w:name="_Toc361769632"/>
      <w:bookmarkStart w:id="27" w:name="_Toc361769766"/>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4.竞争性磋商</w:t>
      </w:r>
      <w:bookmarkEnd w:id="24"/>
      <w:bookmarkEnd w:id="25"/>
    </w:p>
    <w:p>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4.1磋商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4.1.1采购单位将在“供应商须知前附表”规定的时间、地点组织</w:t>
      </w:r>
      <w:r>
        <w:rPr>
          <w:rFonts w:hint="eastAsia" w:ascii="宋体" w:hAnsi="宋体" w:cs="宋体"/>
          <w:bCs/>
          <w:color w:val="auto"/>
          <w:szCs w:val="21"/>
        </w:rPr>
        <w:t>磋商</w:t>
      </w:r>
      <w:r>
        <w:rPr>
          <w:rFonts w:hint="eastAsia" w:ascii="宋体" w:hAnsi="宋体" w:cs="宋体"/>
          <w:color w:val="auto"/>
          <w:szCs w:val="21"/>
        </w:rPr>
        <w:t>。供应商应委派代表参加，并向磋商小组递交响应文件。</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4.1.2提交了可接受的“撤回”通知的响应文件将不予开封。</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4.1.3评标方法：综合评分法。</w:t>
      </w:r>
    </w:p>
    <w:p>
      <w:pPr>
        <w:snapToGrid w:val="0"/>
        <w:spacing w:line="360" w:lineRule="auto"/>
        <w:ind w:firstLine="422" w:firstLineChars="200"/>
        <w:rPr>
          <w:rFonts w:ascii="宋体" w:hAnsi="宋体" w:cs="宋体"/>
          <w:b/>
          <w:bCs/>
          <w:color w:val="auto"/>
          <w:szCs w:val="21"/>
        </w:rPr>
      </w:pPr>
      <w:r>
        <w:rPr>
          <w:rFonts w:hint="eastAsia" w:ascii="宋体" w:hAnsi="宋体" w:cs="宋体"/>
          <w:b/>
          <w:color w:val="auto"/>
          <w:szCs w:val="21"/>
        </w:rPr>
        <w:t>4.2</w:t>
      </w:r>
      <w:r>
        <w:rPr>
          <w:rFonts w:hint="eastAsia" w:ascii="宋体" w:hAnsi="宋体" w:cs="宋体"/>
          <w:b/>
          <w:bCs/>
          <w:color w:val="auto"/>
          <w:szCs w:val="21"/>
        </w:rPr>
        <w:t>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4.2.1采购单位将按照相关法律法规及院内相关规定组建磋商小组。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4.2.2磋商小组由采购人代表及有关技术、经济等方面的专家组成。</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4.2.3</w:t>
      </w:r>
      <w:r>
        <w:rPr>
          <w:rFonts w:hint="eastAsia" w:ascii="宋体" w:hAnsi="宋体" w:cs="宋体"/>
          <w:color w:val="auto"/>
          <w:kern w:val="0"/>
          <w:szCs w:val="21"/>
        </w:rPr>
        <w:t>磋商小组所有成员应当集中与单一供应商分别进行磋商。</w:t>
      </w:r>
      <w:r>
        <w:rPr>
          <w:rFonts w:hint="eastAsia" w:ascii="宋体" w:hAnsi="宋体" w:cs="宋体"/>
          <w:color w:val="auto"/>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4.2.5在磋商期间，响应文件中有不满足竞争性磋商文件资质要求的或不符合竞争性磋商文件带“</w:t>
      </w:r>
      <w:r>
        <w:rPr>
          <w:rFonts w:hint="eastAsia" w:ascii="宋体" w:hAnsi="宋体" w:cs="宋体"/>
          <w:b/>
          <w:bCs/>
          <w:color w:val="auto"/>
          <w:szCs w:val="21"/>
        </w:rPr>
        <w:t>●</w:t>
      </w:r>
      <w:r>
        <w:rPr>
          <w:rFonts w:hint="eastAsia" w:ascii="宋体" w:hAnsi="宋体" w:cs="宋体"/>
          <w:color w:val="auto"/>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color w:val="auto"/>
          <w:szCs w:val="21"/>
        </w:rPr>
      </w:pPr>
      <w:r>
        <w:rPr>
          <w:rFonts w:hint="eastAsia" w:ascii="宋体" w:hAnsi="宋体" w:cs="宋体"/>
          <w:color w:val="auto"/>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4.3磋商过程的保密性</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4.4磋商响应文件的初审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4.4.1磋商小组将审查磋商响应文件是否完整、资格证明文件是否齐全、合格。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4.4.4实质上没有响应采购文件要求的磋商响应文件将被拒绝。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4.4.9 符合性审查的主要条件（包括但不限于）：</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①磋商响应文件按照磋商文件的格式、内容填写，字迹清晰可辨，内容完整；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②磋商响应文件中法定代表人或法定代表人授权代理人的签字齐全；</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③按磋商文件的规定提供了投标保证金；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⑤符合本次设计磋商文件的其他要求（如资质、财务状况等）。</w:t>
      </w:r>
    </w:p>
    <w:p>
      <w:pPr>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4.5磋商响应文件的澄清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8" w:name="_Toc240772095"/>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4.5.4.对磋商过程和拟成交结果的质疑</w:t>
      </w:r>
      <w:bookmarkEnd w:id="28"/>
      <w:r>
        <w:rPr>
          <w:rFonts w:hint="eastAsia" w:ascii="宋体" w:hAnsi="宋体" w:cs="宋体"/>
          <w:color w:val="auto"/>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9" w:name="_Toc240772096"/>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4.5.6.澄清或质疑不予受理的情况</w:t>
      </w:r>
      <w:bookmarkEnd w:id="29"/>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(1)不是参与该采购项目活动供应商的；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(2)被质疑人为采购人之外的；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(3)所有质疑事项超过质疑有效期的；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(4)以具有法律效力的文书送达之外方式提出的；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(5)未按上述规定递交澄清或质疑函的；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(6)其他不符合受理条件的情形。</w:t>
      </w:r>
    </w:p>
    <w:p>
      <w:pPr>
        <w:adjustRightInd w:val="0"/>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4.6磋商响应文件的详细评审</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4.6.1磋商小组将只对确定为实质上响应采购文件要求的磋商进行详细磋商。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4.6.2详细磋商即以磋商文件为依据，对所有实质上响应的投标分别从“商务”、“技术”、和“价格”三个方面进行磋商。</w:t>
      </w:r>
    </w:p>
    <w:p>
      <w:pPr>
        <w:spacing w:line="360" w:lineRule="auto"/>
        <w:rPr>
          <w:rFonts w:ascii="宋体" w:hAnsi="宋体" w:cs="宋体"/>
          <w:b/>
          <w:bCs/>
          <w:color w:val="auto"/>
          <w:sz w:val="24"/>
        </w:rPr>
      </w:pPr>
    </w:p>
    <w:p>
      <w:pPr>
        <w:spacing w:line="360" w:lineRule="auto"/>
        <w:jc w:val="center"/>
        <w:rPr>
          <w:rFonts w:ascii="宋体" w:hAnsi="宋体" w:cs="宋体"/>
          <w:b/>
          <w:bCs/>
          <w:color w:val="auto"/>
          <w:sz w:val="28"/>
        </w:rPr>
      </w:pPr>
      <w:r>
        <w:rPr>
          <w:rFonts w:hint="eastAsia" w:ascii="宋体" w:hAnsi="宋体" w:cs="宋体"/>
          <w:b/>
          <w:bCs/>
          <w:color w:val="auto"/>
          <w:sz w:val="28"/>
        </w:rPr>
        <w:t>综合评标细则打分表</w:t>
      </w:r>
    </w:p>
    <w:tbl>
      <w:tblPr>
        <w:tblStyle w:val="37"/>
        <w:tblW w:w="8532" w:type="dxa"/>
        <w:jc w:val="center"/>
        <w:tblLayout w:type="fixed"/>
        <w:tblCellMar>
          <w:top w:w="0" w:type="dxa"/>
          <w:left w:w="108" w:type="dxa"/>
          <w:bottom w:w="0" w:type="dxa"/>
          <w:right w:w="108" w:type="dxa"/>
        </w:tblCellMar>
      </w:tblPr>
      <w:tblGrid>
        <w:gridCol w:w="1425"/>
        <w:gridCol w:w="6480"/>
        <w:gridCol w:w="627"/>
      </w:tblGrid>
      <w:tr>
        <w:tblPrEx>
          <w:tblCellMar>
            <w:top w:w="0" w:type="dxa"/>
            <w:left w:w="108" w:type="dxa"/>
            <w:bottom w:w="0" w:type="dxa"/>
            <w:right w:w="108" w:type="dxa"/>
          </w:tblCellMar>
        </w:tblPrEx>
        <w:trPr>
          <w:trHeight w:val="850" w:hRule="atLeast"/>
          <w:jc w:val="center"/>
        </w:trPr>
        <w:tc>
          <w:tcPr>
            <w:tcW w:w="1425" w:type="dxa"/>
            <w:tcBorders>
              <w:top w:val="single" w:color="auto" w:sz="4" w:space="0"/>
              <w:left w:val="single" w:color="auto" w:sz="4" w:space="0"/>
              <w:bottom w:val="single" w:color="auto" w:sz="4" w:space="0"/>
              <w:right w:val="single" w:color="auto" w:sz="4" w:space="0"/>
            </w:tcBorders>
            <w:noWrap w:val="0"/>
            <w:vAlign w:val="center"/>
          </w:tcPr>
          <w:p>
            <w:pPr>
              <w:widowControl/>
              <w:spacing w:line="276" w:lineRule="auto"/>
              <w:jc w:val="center"/>
              <w:rPr>
                <w:rFonts w:cs="Arial"/>
                <w:b/>
                <w:color w:val="auto"/>
                <w:sz w:val="21"/>
                <w:szCs w:val="21"/>
              </w:rPr>
            </w:pPr>
            <w:r>
              <w:rPr>
                <w:rFonts w:hint="eastAsia" w:cs="Arial"/>
                <w:b/>
                <w:color w:val="auto"/>
                <w:sz w:val="21"/>
                <w:szCs w:val="21"/>
                <w:lang w:eastAsia="zh-CN"/>
              </w:rPr>
              <w:t>评审</w:t>
            </w:r>
            <w:r>
              <w:rPr>
                <w:rFonts w:hint="eastAsia" w:cs="Arial"/>
                <w:b/>
                <w:color w:val="auto"/>
                <w:sz w:val="21"/>
                <w:szCs w:val="21"/>
              </w:rPr>
              <w:t>因素</w:t>
            </w:r>
          </w:p>
        </w:tc>
        <w:tc>
          <w:tcPr>
            <w:tcW w:w="6480" w:type="dxa"/>
            <w:tcBorders>
              <w:top w:val="single" w:color="auto" w:sz="4" w:space="0"/>
              <w:left w:val="nil"/>
              <w:bottom w:val="single" w:color="auto" w:sz="4" w:space="0"/>
              <w:right w:val="single" w:color="auto" w:sz="4" w:space="0"/>
            </w:tcBorders>
            <w:noWrap w:val="0"/>
            <w:vAlign w:val="center"/>
          </w:tcPr>
          <w:p>
            <w:pPr>
              <w:widowControl/>
              <w:spacing w:line="276" w:lineRule="auto"/>
              <w:jc w:val="center"/>
              <w:rPr>
                <w:rFonts w:cs="Arial"/>
                <w:b/>
                <w:color w:val="auto"/>
                <w:sz w:val="21"/>
                <w:szCs w:val="21"/>
              </w:rPr>
            </w:pPr>
            <w:r>
              <w:rPr>
                <w:rFonts w:hint="eastAsia" w:cs="Arial"/>
                <w:b/>
                <w:color w:val="auto"/>
                <w:sz w:val="21"/>
                <w:szCs w:val="21"/>
              </w:rPr>
              <w:t>评分标准</w:t>
            </w:r>
          </w:p>
        </w:tc>
        <w:tc>
          <w:tcPr>
            <w:tcW w:w="627" w:type="dxa"/>
            <w:tcBorders>
              <w:top w:val="single" w:color="auto" w:sz="4" w:space="0"/>
              <w:left w:val="nil"/>
              <w:bottom w:val="single" w:color="auto" w:sz="4" w:space="0"/>
              <w:right w:val="single" w:color="auto" w:sz="4" w:space="0"/>
            </w:tcBorders>
            <w:noWrap w:val="0"/>
            <w:vAlign w:val="center"/>
          </w:tcPr>
          <w:p>
            <w:pPr>
              <w:widowControl/>
              <w:spacing w:line="276" w:lineRule="auto"/>
              <w:jc w:val="center"/>
              <w:rPr>
                <w:rFonts w:cs="Arial"/>
                <w:b/>
                <w:color w:val="auto"/>
                <w:sz w:val="24"/>
                <w:szCs w:val="24"/>
              </w:rPr>
            </w:pPr>
            <w:r>
              <w:rPr>
                <w:rFonts w:hint="eastAsia" w:cs="Arial"/>
                <w:b/>
                <w:color w:val="auto"/>
                <w:sz w:val="24"/>
                <w:szCs w:val="24"/>
              </w:rPr>
              <w:t>分值</w:t>
            </w:r>
          </w:p>
        </w:tc>
      </w:tr>
      <w:tr>
        <w:tblPrEx>
          <w:tblCellMar>
            <w:top w:w="0" w:type="dxa"/>
            <w:left w:w="108" w:type="dxa"/>
            <w:bottom w:w="0" w:type="dxa"/>
            <w:right w:w="108" w:type="dxa"/>
          </w:tblCellMar>
        </w:tblPrEx>
        <w:trPr>
          <w:trHeight w:val="1230" w:hRule="atLeast"/>
          <w:jc w:val="center"/>
        </w:trPr>
        <w:tc>
          <w:tcPr>
            <w:tcW w:w="1425"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color w:val="auto"/>
                <w:sz w:val="18"/>
                <w:szCs w:val="18"/>
                <w:lang w:eastAsia="zh-CN"/>
              </w:rPr>
            </w:pPr>
            <w:r>
              <w:rPr>
                <w:rFonts w:hint="eastAsia"/>
                <w:color w:val="auto"/>
                <w:sz w:val="18"/>
                <w:szCs w:val="18"/>
              </w:rPr>
              <w:t>投标报价</w:t>
            </w:r>
          </w:p>
          <w:p>
            <w:pPr>
              <w:spacing w:line="276" w:lineRule="auto"/>
              <w:jc w:val="center"/>
              <w:rPr>
                <w:rFonts w:hint="eastAsia"/>
                <w:color w:val="auto"/>
                <w:sz w:val="18"/>
                <w:szCs w:val="18"/>
              </w:rPr>
            </w:pPr>
            <w:r>
              <w:rPr>
                <w:rFonts w:hint="eastAsia"/>
                <w:color w:val="auto"/>
                <w:sz w:val="18"/>
                <w:szCs w:val="18"/>
              </w:rPr>
              <w:t>（</w:t>
            </w:r>
            <w:r>
              <w:rPr>
                <w:rFonts w:hint="eastAsia"/>
                <w:color w:val="auto"/>
                <w:sz w:val="18"/>
                <w:szCs w:val="18"/>
                <w:lang w:eastAsia="zh-CN"/>
              </w:rPr>
              <w:t>20</w:t>
            </w:r>
            <w:r>
              <w:rPr>
                <w:rFonts w:hint="eastAsia"/>
                <w:color w:val="auto"/>
                <w:sz w:val="18"/>
                <w:szCs w:val="18"/>
              </w:rPr>
              <w:t>分）</w:t>
            </w:r>
          </w:p>
        </w:tc>
        <w:tc>
          <w:tcPr>
            <w:tcW w:w="6480" w:type="dxa"/>
            <w:tcBorders>
              <w:top w:val="nil"/>
              <w:left w:val="nil"/>
              <w:bottom w:val="single" w:color="auto" w:sz="4" w:space="0"/>
              <w:right w:val="single" w:color="auto" w:sz="4" w:space="0"/>
            </w:tcBorders>
            <w:noWrap w:val="0"/>
            <w:vAlign w:val="center"/>
          </w:tcPr>
          <w:p>
            <w:pPr>
              <w:spacing w:line="276" w:lineRule="auto"/>
              <w:rPr>
                <w:rFonts w:hint="eastAsia"/>
                <w:color w:val="auto"/>
                <w:sz w:val="18"/>
                <w:szCs w:val="18"/>
                <w:lang w:eastAsia="zh-CN"/>
              </w:rPr>
            </w:pPr>
            <w:r>
              <w:rPr>
                <w:rFonts w:hint="eastAsia"/>
                <w:color w:val="auto"/>
                <w:sz w:val="18"/>
                <w:szCs w:val="18"/>
                <w:lang w:eastAsia="zh-CN"/>
              </w:rPr>
              <w:t>在价格评分时，满足竞争性磋商文件要求且价格以最终最低的磋商报价为评审基准价，其价格分为满分。其他供应商的价格分统一按照下列公式计算：</w:t>
            </w:r>
          </w:p>
          <w:p>
            <w:pPr>
              <w:spacing w:line="276" w:lineRule="auto"/>
              <w:rPr>
                <w:rFonts w:hint="eastAsia"/>
                <w:color w:val="auto"/>
                <w:sz w:val="18"/>
                <w:szCs w:val="18"/>
                <w:lang w:eastAsia="zh-CN"/>
              </w:rPr>
            </w:pPr>
            <w:r>
              <w:rPr>
                <w:rFonts w:hint="eastAsia"/>
                <w:color w:val="auto"/>
                <w:sz w:val="18"/>
                <w:szCs w:val="18"/>
                <w:lang w:eastAsia="zh-CN"/>
              </w:rPr>
              <w:t>磋商报价得分=（评审基准价/磋商报价）×20%×100</w:t>
            </w:r>
          </w:p>
        </w:tc>
        <w:tc>
          <w:tcPr>
            <w:tcW w:w="627" w:type="dxa"/>
            <w:tcBorders>
              <w:top w:val="nil"/>
              <w:left w:val="nil"/>
              <w:bottom w:val="single" w:color="auto" w:sz="4" w:space="0"/>
              <w:right w:val="single" w:color="auto" w:sz="4" w:space="0"/>
            </w:tcBorders>
            <w:noWrap w:val="0"/>
            <w:vAlign w:val="center"/>
          </w:tcPr>
          <w:p>
            <w:pPr>
              <w:spacing w:line="276" w:lineRule="auto"/>
              <w:jc w:val="center"/>
              <w:rPr>
                <w:color w:val="auto"/>
                <w:sz w:val="24"/>
                <w:szCs w:val="24"/>
                <w:lang w:eastAsia="zh-CN"/>
              </w:rPr>
            </w:pPr>
            <w:r>
              <w:rPr>
                <w:rFonts w:hint="eastAsia"/>
                <w:color w:val="auto"/>
                <w:sz w:val="24"/>
                <w:szCs w:val="24"/>
                <w:lang w:eastAsia="zh-CN"/>
              </w:rPr>
              <w:t>20</w:t>
            </w:r>
          </w:p>
        </w:tc>
      </w:tr>
      <w:tr>
        <w:tblPrEx>
          <w:tblCellMar>
            <w:top w:w="0" w:type="dxa"/>
            <w:left w:w="108" w:type="dxa"/>
            <w:bottom w:w="0" w:type="dxa"/>
            <w:right w:w="108" w:type="dxa"/>
          </w:tblCellMar>
        </w:tblPrEx>
        <w:trPr>
          <w:trHeight w:val="918" w:hRule="atLeast"/>
          <w:jc w:val="center"/>
        </w:trPr>
        <w:tc>
          <w:tcPr>
            <w:tcW w:w="1425" w:type="dxa"/>
            <w:vMerge w:val="restart"/>
            <w:tcBorders>
              <w:top w:val="nil"/>
              <w:left w:val="single" w:color="auto" w:sz="4" w:space="0"/>
              <w:right w:val="single" w:color="auto" w:sz="4" w:space="0"/>
            </w:tcBorders>
            <w:noWrap w:val="0"/>
            <w:vAlign w:val="center"/>
          </w:tcPr>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p>
          <w:p>
            <w:pPr>
              <w:spacing w:line="276" w:lineRule="auto"/>
              <w:jc w:val="center"/>
              <w:rPr>
                <w:rFonts w:hint="eastAsia"/>
                <w:color w:val="auto"/>
                <w:sz w:val="18"/>
                <w:szCs w:val="18"/>
              </w:rPr>
            </w:pPr>
            <w:r>
              <w:rPr>
                <w:rFonts w:hint="eastAsia"/>
                <w:color w:val="auto"/>
                <w:sz w:val="18"/>
                <w:szCs w:val="18"/>
              </w:rPr>
              <w:t>商务部分</w:t>
            </w:r>
          </w:p>
          <w:p>
            <w:pPr>
              <w:spacing w:line="276" w:lineRule="auto"/>
              <w:jc w:val="center"/>
              <w:rPr>
                <w:rFonts w:hint="eastAsia"/>
                <w:color w:val="auto"/>
                <w:sz w:val="18"/>
                <w:szCs w:val="18"/>
              </w:rPr>
            </w:pPr>
            <w:r>
              <w:rPr>
                <w:rFonts w:hint="eastAsia"/>
                <w:color w:val="auto"/>
                <w:sz w:val="18"/>
                <w:szCs w:val="18"/>
              </w:rPr>
              <w:t>（</w:t>
            </w:r>
            <w:r>
              <w:rPr>
                <w:rFonts w:hint="eastAsia"/>
                <w:color w:val="auto"/>
                <w:sz w:val="18"/>
                <w:szCs w:val="18"/>
                <w:lang w:val="en-US" w:eastAsia="zh-CN"/>
              </w:rPr>
              <w:t>4</w:t>
            </w:r>
            <w:r>
              <w:rPr>
                <w:rFonts w:hint="eastAsia"/>
                <w:color w:val="auto"/>
                <w:sz w:val="18"/>
                <w:szCs w:val="18"/>
                <w:lang w:eastAsia="zh-CN"/>
              </w:rPr>
              <w:t>0</w:t>
            </w:r>
            <w:r>
              <w:rPr>
                <w:rFonts w:hint="eastAsia"/>
                <w:color w:val="auto"/>
                <w:sz w:val="18"/>
                <w:szCs w:val="18"/>
              </w:rPr>
              <w:t>分）</w:t>
            </w:r>
          </w:p>
        </w:tc>
        <w:tc>
          <w:tcPr>
            <w:tcW w:w="6480" w:type="dxa"/>
            <w:tcBorders>
              <w:left w:val="nil"/>
              <w:bottom w:val="single" w:color="auto" w:sz="4" w:space="0"/>
              <w:right w:val="single" w:color="auto" w:sz="4" w:space="0"/>
            </w:tcBorders>
            <w:noWrap w:val="0"/>
            <w:vAlign w:val="center"/>
          </w:tcPr>
          <w:p>
            <w:pPr>
              <w:spacing w:line="276" w:lineRule="auto"/>
              <w:rPr>
                <w:color w:val="auto"/>
                <w:sz w:val="18"/>
                <w:szCs w:val="18"/>
                <w:lang w:eastAsia="zh-CN"/>
              </w:rPr>
            </w:pPr>
            <w:r>
              <w:rPr>
                <w:rFonts w:hint="eastAsia"/>
                <w:color w:val="auto"/>
                <w:sz w:val="18"/>
                <w:szCs w:val="18"/>
                <w:lang w:eastAsia="zh-CN"/>
              </w:rPr>
              <w:t>供应商提供近三年类似项目业绩，每提供一项得2 分，最多得10分，未提供不得分。（注：响应文件中须提供项目合同或中标通知书复印件或扫描件加盖公章）</w:t>
            </w:r>
          </w:p>
        </w:tc>
        <w:tc>
          <w:tcPr>
            <w:tcW w:w="627" w:type="dxa"/>
            <w:tcBorders>
              <w:top w:val="nil"/>
              <w:left w:val="nil"/>
              <w:bottom w:val="single" w:color="auto" w:sz="4" w:space="0"/>
              <w:right w:val="single" w:color="auto" w:sz="4" w:space="0"/>
            </w:tcBorders>
            <w:noWrap w:val="0"/>
            <w:vAlign w:val="center"/>
          </w:tcPr>
          <w:p>
            <w:pPr>
              <w:spacing w:line="276" w:lineRule="auto"/>
              <w:jc w:val="center"/>
              <w:rPr>
                <w:color w:val="auto"/>
                <w:sz w:val="24"/>
                <w:szCs w:val="24"/>
                <w:lang w:eastAsia="zh-CN"/>
              </w:rPr>
            </w:pPr>
            <w:r>
              <w:rPr>
                <w:rFonts w:hint="eastAsia"/>
                <w:color w:val="auto"/>
                <w:sz w:val="24"/>
                <w:szCs w:val="24"/>
                <w:lang w:eastAsia="zh-CN"/>
              </w:rPr>
              <w:t>10</w:t>
            </w:r>
          </w:p>
        </w:tc>
      </w:tr>
      <w:tr>
        <w:tblPrEx>
          <w:tblCellMar>
            <w:top w:w="0" w:type="dxa"/>
            <w:left w:w="108" w:type="dxa"/>
            <w:bottom w:w="0" w:type="dxa"/>
            <w:right w:w="108" w:type="dxa"/>
          </w:tblCellMar>
        </w:tblPrEx>
        <w:trPr>
          <w:trHeight w:val="991" w:hRule="atLeast"/>
          <w:jc w:val="center"/>
        </w:trPr>
        <w:tc>
          <w:tcPr>
            <w:tcW w:w="1425" w:type="dxa"/>
            <w:vMerge w:val="continue"/>
            <w:tcBorders>
              <w:left w:val="single" w:color="auto" w:sz="4" w:space="0"/>
              <w:right w:val="single" w:color="auto" w:sz="4" w:space="0"/>
            </w:tcBorders>
            <w:noWrap w:val="0"/>
            <w:vAlign w:val="center"/>
          </w:tcPr>
          <w:p>
            <w:pPr>
              <w:spacing w:line="276" w:lineRule="auto"/>
              <w:jc w:val="center"/>
              <w:rPr>
                <w:rFonts w:hint="eastAsia"/>
                <w:color w:val="auto"/>
                <w:sz w:val="18"/>
                <w:szCs w:val="18"/>
                <w:lang w:eastAsia="zh-CN"/>
              </w:rPr>
            </w:pPr>
          </w:p>
        </w:tc>
        <w:tc>
          <w:tcPr>
            <w:tcW w:w="6480" w:type="dxa"/>
            <w:tcBorders>
              <w:top w:val="nil"/>
              <w:left w:val="nil"/>
              <w:bottom w:val="single" w:color="auto" w:sz="4" w:space="0"/>
              <w:right w:val="single" w:color="auto" w:sz="4" w:space="0"/>
            </w:tcBorders>
            <w:noWrap w:val="0"/>
            <w:vAlign w:val="center"/>
          </w:tcPr>
          <w:p>
            <w:pPr>
              <w:spacing w:line="276" w:lineRule="auto"/>
              <w:rPr>
                <w:rFonts w:hint="eastAsia"/>
                <w:color w:val="auto"/>
                <w:sz w:val="18"/>
                <w:szCs w:val="18"/>
                <w:lang w:eastAsia="zh-CN"/>
              </w:rPr>
            </w:pPr>
            <w:r>
              <w:rPr>
                <w:rFonts w:hint="eastAsia"/>
                <w:color w:val="auto"/>
                <w:sz w:val="18"/>
                <w:szCs w:val="18"/>
                <w:lang w:eastAsia="zh-CN"/>
              </w:rPr>
              <w:t>供应商组建与本项目实际情况相匹配的管理团队，拟投入本项目人员：</w:t>
            </w:r>
          </w:p>
          <w:p>
            <w:pPr>
              <w:spacing w:line="276" w:lineRule="auto"/>
              <w:rPr>
                <w:rFonts w:hint="eastAsia"/>
                <w:color w:val="auto"/>
                <w:sz w:val="18"/>
                <w:szCs w:val="18"/>
                <w:lang w:eastAsia="zh-CN"/>
              </w:rPr>
            </w:pPr>
            <w:r>
              <w:rPr>
                <w:rFonts w:hint="eastAsia"/>
                <w:color w:val="auto"/>
                <w:sz w:val="18"/>
                <w:szCs w:val="18"/>
                <w:lang w:eastAsia="zh-CN"/>
              </w:rPr>
              <w:t>（1）总导演：2020年以来具有执导过两个以上（含两个）</w:t>
            </w:r>
            <w:r>
              <w:rPr>
                <w:rFonts w:hint="eastAsia"/>
                <w:color w:val="auto"/>
                <w:sz w:val="18"/>
                <w:szCs w:val="18"/>
                <w:lang w:val="en-US" w:eastAsia="zh-CN"/>
              </w:rPr>
              <w:t>国家级非物质文化遗产代表性传承人记录工程项目</w:t>
            </w:r>
            <w:r>
              <w:rPr>
                <w:rFonts w:hint="eastAsia"/>
                <w:color w:val="auto"/>
                <w:sz w:val="18"/>
                <w:szCs w:val="18"/>
                <w:lang w:eastAsia="zh-CN"/>
              </w:rPr>
              <w:t>成功经验和案例的(须提交该案例的有效证明文件)得 3 分，否则不得分。</w:t>
            </w:r>
          </w:p>
          <w:p>
            <w:pPr>
              <w:spacing w:line="276" w:lineRule="auto"/>
              <w:rPr>
                <w:rFonts w:hint="eastAsia"/>
                <w:color w:val="auto"/>
                <w:sz w:val="18"/>
                <w:szCs w:val="18"/>
                <w:lang w:eastAsia="zh-CN"/>
              </w:rPr>
            </w:pPr>
            <w:r>
              <w:rPr>
                <w:rFonts w:hint="eastAsia"/>
                <w:color w:val="auto"/>
                <w:sz w:val="18"/>
                <w:szCs w:val="18"/>
                <w:lang w:eastAsia="zh-CN"/>
              </w:rPr>
              <w:t>（2）摄影（像）：具有拍摄两个以上（含两个）</w:t>
            </w:r>
            <w:r>
              <w:rPr>
                <w:rFonts w:hint="eastAsia"/>
                <w:color w:val="auto"/>
                <w:sz w:val="18"/>
                <w:szCs w:val="18"/>
                <w:lang w:val="en-US" w:eastAsia="zh-CN"/>
              </w:rPr>
              <w:t>国家级非物质文化遗产代表性传承人记录工程项目</w:t>
            </w:r>
            <w:r>
              <w:rPr>
                <w:rFonts w:hint="eastAsia"/>
                <w:color w:val="auto"/>
                <w:sz w:val="18"/>
                <w:szCs w:val="18"/>
                <w:lang w:eastAsia="zh-CN"/>
              </w:rPr>
              <w:t>的成功经验和案例(须提交该案例的有效证明文件)得3分，否则不得分 。</w:t>
            </w:r>
          </w:p>
          <w:p>
            <w:pPr>
              <w:spacing w:line="276" w:lineRule="auto"/>
              <w:rPr>
                <w:color w:val="auto"/>
                <w:sz w:val="18"/>
                <w:szCs w:val="18"/>
                <w:lang w:eastAsia="zh-CN"/>
              </w:rPr>
            </w:pPr>
            <w:r>
              <w:rPr>
                <w:rFonts w:hint="eastAsia"/>
                <w:color w:val="auto"/>
                <w:sz w:val="18"/>
                <w:szCs w:val="18"/>
                <w:lang w:eastAsia="zh-CN"/>
              </w:rPr>
              <w:t>（3）后期制作人员：具有 2020 年以来从事</w:t>
            </w:r>
            <w:r>
              <w:rPr>
                <w:rFonts w:hint="eastAsia"/>
                <w:color w:val="auto"/>
                <w:sz w:val="18"/>
                <w:szCs w:val="18"/>
                <w:lang w:val="en-US" w:eastAsia="zh-CN"/>
              </w:rPr>
              <w:t>国家级非物质文化遗产代表性传承人记录工程项目</w:t>
            </w:r>
            <w:r>
              <w:rPr>
                <w:rFonts w:hint="eastAsia"/>
                <w:color w:val="auto"/>
                <w:sz w:val="18"/>
                <w:szCs w:val="18"/>
                <w:lang w:eastAsia="zh-CN"/>
              </w:rPr>
              <w:t>的成功案例，提供 1 个成功案例的得1 分，提供2个成功案例的得 3 分，提供 3 个及以上成功案例的得4 分(须提交案例的有效证明文件)。</w:t>
            </w:r>
          </w:p>
        </w:tc>
        <w:tc>
          <w:tcPr>
            <w:tcW w:w="627" w:type="dxa"/>
            <w:tcBorders>
              <w:top w:val="nil"/>
              <w:left w:val="nil"/>
              <w:bottom w:val="single" w:color="auto" w:sz="4" w:space="0"/>
              <w:right w:val="single" w:color="auto" w:sz="4" w:space="0"/>
            </w:tcBorders>
            <w:noWrap w:val="0"/>
            <w:vAlign w:val="center"/>
          </w:tcPr>
          <w:p>
            <w:pPr>
              <w:spacing w:line="276" w:lineRule="auto"/>
              <w:jc w:val="center"/>
              <w:rPr>
                <w:color w:val="auto"/>
                <w:sz w:val="24"/>
                <w:szCs w:val="24"/>
                <w:lang w:eastAsia="zh-CN"/>
              </w:rPr>
            </w:pPr>
            <w:r>
              <w:rPr>
                <w:rFonts w:hint="eastAsia"/>
                <w:color w:val="auto"/>
                <w:sz w:val="24"/>
                <w:szCs w:val="24"/>
                <w:lang w:eastAsia="zh-CN"/>
              </w:rPr>
              <w:t>10</w:t>
            </w:r>
          </w:p>
        </w:tc>
      </w:tr>
      <w:tr>
        <w:tblPrEx>
          <w:tblCellMar>
            <w:top w:w="0" w:type="dxa"/>
            <w:left w:w="108" w:type="dxa"/>
            <w:bottom w:w="0" w:type="dxa"/>
            <w:right w:w="108" w:type="dxa"/>
          </w:tblCellMar>
        </w:tblPrEx>
        <w:trPr>
          <w:trHeight w:val="761" w:hRule="atLeast"/>
          <w:jc w:val="center"/>
        </w:trPr>
        <w:tc>
          <w:tcPr>
            <w:tcW w:w="1425" w:type="dxa"/>
            <w:vMerge w:val="continue"/>
            <w:tcBorders>
              <w:left w:val="single" w:color="auto" w:sz="4" w:space="0"/>
              <w:right w:val="single" w:color="auto" w:sz="4" w:space="0"/>
            </w:tcBorders>
            <w:noWrap w:val="0"/>
            <w:vAlign w:val="center"/>
          </w:tcPr>
          <w:p>
            <w:pPr>
              <w:spacing w:line="276" w:lineRule="auto"/>
              <w:jc w:val="center"/>
              <w:rPr>
                <w:rFonts w:hint="eastAsia"/>
                <w:color w:val="auto"/>
                <w:sz w:val="18"/>
                <w:szCs w:val="18"/>
                <w:lang w:eastAsia="zh-CN"/>
              </w:rPr>
            </w:pPr>
          </w:p>
        </w:tc>
        <w:tc>
          <w:tcPr>
            <w:tcW w:w="6480" w:type="dxa"/>
            <w:tcBorders>
              <w:top w:val="nil"/>
              <w:left w:val="nil"/>
              <w:bottom w:val="single" w:color="auto" w:sz="4" w:space="0"/>
              <w:right w:val="single" w:color="auto" w:sz="4" w:space="0"/>
            </w:tcBorders>
            <w:noWrap w:val="0"/>
            <w:vAlign w:val="center"/>
          </w:tcPr>
          <w:p>
            <w:pPr>
              <w:spacing w:line="276" w:lineRule="auto"/>
              <w:rPr>
                <w:rFonts w:hint="eastAsia"/>
                <w:color w:val="auto"/>
                <w:sz w:val="18"/>
                <w:szCs w:val="18"/>
                <w:lang w:eastAsia="zh-CN"/>
              </w:rPr>
            </w:pPr>
            <w:r>
              <w:rPr>
                <w:rFonts w:hint="eastAsia"/>
                <w:color w:val="auto"/>
                <w:sz w:val="18"/>
                <w:szCs w:val="18"/>
                <w:lang w:eastAsia="zh-CN"/>
              </w:rPr>
              <w:t>供应商拍摄的影片获得过国家级</w:t>
            </w:r>
            <w:r>
              <w:rPr>
                <w:rFonts w:hint="eastAsia"/>
                <w:color w:val="auto"/>
                <w:sz w:val="18"/>
                <w:szCs w:val="18"/>
                <w:lang w:val="en-US" w:eastAsia="zh-CN"/>
              </w:rPr>
              <w:t>或省级</w:t>
            </w:r>
            <w:r>
              <w:rPr>
                <w:rFonts w:hint="eastAsia"/>
                <w:color w:val="auto"/>
                <w:sz w:val="18"/>
                <w:szCs w:val="18"/>
                <w:lang w:eastAsia="zh-CN"/>
              </w:rPr>
              <w:t>政府奖奖励或荣誉的（提</w:t>
            </w:r>
          </w:p>
          <w:p>
            <w:pPr>
              <w:spacing w:line="276" w:lineRule="auto"/>
              <w:rPr>
                <w:rFonts w:hint="eastAsia"/>
                <w:color w:val="auto"/>
                <w:sz w:val="18"/>
                <w:szCs w:val="18"/>
                <w:lang w:eastAsia="zh-CN"/>
              </w:rPr>
            </w:pPr>
            <w:r>
              <w:rPr>
                <w:rFonts w:hint="eastAsia"/>
                <w:color w:val="auto"/>
                <w:sz w:val="18"/>
                <w:szCs w:val="18"/>
                <w:lang w:eastAsia="zh-CN"/>
              </w:rPr>
              <w:t>供原件现场核查），每提供一项得</w:t>
            </w:r>
            <w:r>
              <w:rPr>
                <w:rFonts w:hint="eastAsia"/>
                <w:color w:val="auto"/>
                <w:sz w:val="18"/>
                <w:szCs w:val="18"/>
                <w:lang w:val="en-US" w:eastAsia="zh-CN"/>
              </w:rPr>
              <w:t>5</w:t>
            </w:r>
            <w:r>
              <w:rPr>
                <w:rFonts w:hint="eastAsia"/>
                <w:color w:val="auto"/>
                <w:sz w:val="18"/>
                <w:szCs w:val="18"/>
                <w:lang w:eastAsia="zh-CN"/>
              </w:rPr>
              <w:t xml:space="preserve"> 分；</w:t>
            </w:r>
          </w:p>
        </w:tc>
        <w:tc>
          <w:tcPr>
            <w:tcW w:w="627" w:type="dxa"/>
            <w:tcBorders>
              <w:top w:val="nil"/>
              <w:left w:val="nil"/>
              <w:bottom w:val="single" w:color="auto" w:sz="4" w:space="0"/>
              <w:right w:val="single" w:color="auto" w:sz="4" w:space="0"/>
            </w:tcBorders>
            <w:noWrap w:val="0"/>
            <w:vAlign w:val="center"/>
          </w:tcPr>
          <w:p>
            <w:pPr>
              <w:spacing w:line="276" w:lineRule="auto"/>
              <w:jc w:val="center"/>
              <w:rPr>
                <w:rFonts w:hint="default"/>
                <w:color w:val="auto"/>
                <w:sz w:val="24"/>
                <w:szCs w:val="24"/>
                <w:lang w:val="en-US" w:eastAsia="zh-CN"/>
              </w:rPr>
            </w:pPr>
            <w:r>
              <w:rPr>
                <w:rFonts w:hint="eastAsia"/>
                <w:color w:val="auto"/>
                <w:sz w:val="24"/>
                <w:szCs w:val="24"/>
                <w:lang w:val="en-US" w:eastAsia="zh-CN"/>
              </w:rPr>
              <w:t>10</w:t>
            </w:r>
          </w:p>
        </w:tc>
      </w:tr>
      <w:tr>
        <w:tblPrEx>
          <w:tblCellMar>
            <w:top w:w="0" w:type="dxa"/>
            <w:left w:w="108" w:type="dxa"/>
            <w:bottom w:w="0" w:type="dxa"/>
            <w:right w:w="108" w:type="dxa"/>
          </w:tblCellMar>
        </w:tblPrEx>
        <w:trPr>
          <w:trHeight w:val="367" w:hRule="atLeast"/>
          <w:jc w:val="center"/>
        </w:trPr>
        <w:tc>
          <w:tcPr>
            <w:tcW w:w="1425" w:type="dxa"/>
            <w:vMerge w:val="continue"/>
            <w:tcBorders>
              <w:left w:val="single" w:color="auto" w:sz="4" w:space="0"/>
              <w:bottom w:val="single" w:color="auto" w:sz="4" w:space="0"/>
              <w:right w:val="single" w:color="auto" w:sz="4" w:space="0"/>
            </w:tcBorders>
            <w:noWrap w:val="0"/>
            <w:vAlign w:val="center"/>
          </w:tcPr>
          <w:p>
            <w:pPr>
              <w:spacing w:line="276" w:lineRule="auto"/>
              <w:jc w:val="center"/>
              <w:rPr>
                <w:rFonts w:hint="eastAsia"/>
                <w:color w:val="auto"/>
                <w:sz w:val="18"/>
                <w:szCs w:val="18"/>
                <w:lang w:eastAsia="zh-CN"/>
              </w:rPr>
            </w:pPr>
          </w:p>
        </w:tc>
        <w:tc>
          <w:tcPr>
            <w:tcW w:w="6480" w:type="dxa"/>
            <w:tcBorders>
              <w:top w:val="nil"/>
              <w:left w:val="nil"/>
              <w:bottom w:val="single" w:color="auto" w:sz="4" w:space="0"/>
              <w:right w:val="single" w:color="auto" w:sz="4" w:space="0"/>
            </w:tcBorders>
            <w:noWrap w:val="0"/>
            <w:vAlign w:val="center"/>
          </w:tcPr>
          <w:p>
            <w:pPr>
              <w:spacing w:line="276" w:lineRule="auto"/>
              <w:rPr>
                <w:rFonts w:hint="eastAsia"/>
                <w:color w:val="auto"/>
                <w:sz w:val="18"/>
                <w:szCs w:val="18"/>
                <w:lang w:eastAsia="zh-CN"/>
              </w:rPr>
            </w:pPr>
            <w:r>
              <w:rPr>
                <w:rFonts w:hint="eastAsia"/>
                <w:color w:val="auto"/>
                <w:sz w:val="18"/>
                <w:szCs w:val="18"/>
                <w:lang w:eastAsia="zh-CN"/>
              </w:rPr>
              <w:t>供应商企业信用评级达到 AAA 级且提供企业信用等级证书</w:t>
            </w:r>
          </w:p>
          <w:p>
            <w:pPr>
              <w:spacing w:line="276" w:lineRule="auto"/>
              <w:rPr>
                <w:rFonts w:hint="eastAsia"/>
                <w:color w:val="auto"/>
                <w:sz w:val="18"/>
                <w:szCs w:val="18"/>
                <w:lang w:eastAsia="zh-CN"/>
              </w:rPr>
            </w:pPr>
            <w:r>
              <w:rPr>
                <w:rFonts w:hint="eastAsia"/>
                <w:color w:val="auto"/>
                <w:sz w:val="18"/>
                <w:szCs w:val="18"/>
                <w:lang w:eastAsia="zh-CN"/>
              </w:rPr>
              <w:t>者得</w:t>
            </w:r>
            <w:r>
              <w:rPr>
                <w:rFonts w:hint="eastAsia"/>
                <w:color w:val="auto"/>
                <w:sz w:val="18"/>
                <w:szCs w:val="18"/>
                <w:lang w:val="en-US" w:eastAsia="zh-CN"/>
              </w:rPr>
              <w:t>5</w:t>
            </w:r>
            <w:r>
              <w:rPr>
                <w:rFonts w:hint="eastAsia"/>
                <w:color w:val="auto"/>
                <w:sz w:val="18"/>
                <w:szCs w:val="18"/>
                <w:lang w:eastAsia="zh-CN"/>
              </w:rPr>
              <w:t>分；其他信用评级或没有提供证明材料的不得分。</w:t>
            </w:r>
          </w:p>
        </w:tc>
        <w:tc>
          <w:tcPr>
            <w:tcW w:w="627" w:type="dxa"/>
            <w:tcBorders>
              <w:top w:val="nil"/>
              <w:left w:val="nil"/>
              <w:bottom w:val="single" w:color="auto" w:sz="4" w:space="0"/>
              <w:right w:val="single" w:color="auto" w:sz="4" w:space="0"/>
            </w:tcBorders>
            <w:noWrap w:val="0"/>
            <w:vAlign w:val="center"/>
          </w:tcPr>
          <w:p>
            <w:pPr>
              <w:spacing w:line="276" w:lineRule="auto"/>
              <w:jc w:val="center"/>
              <w:rPr>
                <w:rFonts w:hint="default"/>
                <w:color w:val="auto"/>
                <w:sz w:val="24"/>
                <w:szCs w:val="24"/>
                <w:lang w:val="en-US" w:eastAsia="zh-CN"/>
              </w:rPr>
            </w:pPr>
            <w:r>
              <w:rPr>
                <w:rFonts w:hint="eastAsia"/>
                <w:color w:val="auto"/>
                <w:sz w:val="24"/>
                <w:szCs w:val="24"/>
                <w:lang w:val="en-US" w:eastAsia="zh-CN"/>
              </w:rPr>
              <w:t>5</w:t>
            </w:r>
          </w:p>
        </w:tc>
      </w:tr>
      <w:tr>
        <w:tblPrEx>
          <w:tblCellMar>
            <w:top w:w="0" w:type="dxa"/>
            <w:left w:w="108" w:type="dxa"/>
            <w:bottom w:w="0" w:type="dxa"/>
            <w:right w:w="108" w:type="dxa"/>
          </w:tblCellMar>
        </w:tblPrEx>
        <w:trPr>
          <w:trHeight w:val="367" w:hRule="atLeast"/>
          <w:jc w:val="center"/>
        </w:trPr>
        <w:tc>
          <w:tcPr>
            <w:tcW w:w="1425" w:type="dxa"/>
            <w:vMerge w:val="continue"/>
            <w:tcBorders>
              <w:left w:val="single" w:color="auto" w:sz="4" w:space="0"/>
              <w:bottom w:val="single" w:color="auto" w:sz="4" w:space="0"/>
              <w:right w:val="single" w:color="auto" w:sz="4" w:space="0"/>
            </w:tcBorders>
            <w:noWrap w:val="0"/>
            <w:vAlign w:val="center"/>
          </w:tcPr>
          <w:p>
            <w:pPr>
              <w:spacing w:line="276" w:lineRule="auto"/>
              <w:jc w:val="center"/>
              <w:rPr>
                <w:color w:val="auto"/>
                <w:sz w:val="18"/>
                <w:szCs w:val="18"/>
              </w:rPr>
            </w:pPr>
          </w:p>
        </w:tc>
        <w:tc>
          <w:tcPr>
            <w:tcW w:w="6480" w:type="dxa"/>
            <w:tcBorders>
              <w:top w:val="nil"/>
              <w:left w:val="nil"/>
              <w:bottom w:val="single" w:color="auto" w:sz="4" w:space="0"/>
              <w:right w:val="single" w:color="auto" w:sz="4" w:space="0"/>
            </w:tcBorders>
            <w:noWrap w:val="0"/>
            <w:vAlign w:val="center"/>
          </w:tcPr>
          <w:p>
            <w:pPr>
              <w:spacing w:line="276" w:lineRule="auto"/>
              <w:jc w:val="left"/>
              <w:rPr>
                <w:rFonts w:hint="eastAsia"/>
                <w:color w:val="auto"/>
                <w:sz w:val="18"/>
                <w:szCs w:val="18"/>
                <w:lang w:eastAsia="zh-CN"/>
              </w:rPr>
            </w:pPr>
            <w:r>
              <w:rPr>
                <w:rFonts w:hint="eastAsia"/>
                <w:color w:val="auto"/>
                <w:sz w:val="18"/>
                <w:szCs w:val="18"/>
                <w:lang w:eastAsia="zh-CN"/>
              </w:rPr>
              <w:t>供应商</w:t>
            </w:r>
            <w:r>
              <w:rPr>
                <w:rFonts w:hint="eastAsia"/>
                <w:color w:val="auto"/>
                <w:sz w:val="18"/>
                <w:szCs w:val="18"/>
                <w:lang w:val="en-US" w:eastAsia="zh-CN"/>
              </w:rPr>
              <w:t>能</w:t>
            </w:r>
            <w:r>
              <w:rPr>
                <w:rFonts w:hint="eastAsia"/>
                <w:color w:val="auto"/>
                <w:sz w:val="18"/>
                <w:szCs w:val="18"/>
                <w:lang w:eastAsia="zh-CN"/>
              </w:rPr>
              <w:t>按照《文化部关于开展国家级非物质文化遗产代表性传承人抢救性记录的通知》（文非遗函【2015】318 号，以下简称《通知》）要求执行的能力，并具备相应的保障措施；（出具声明函或证明材料）</w:t>
            </w:r>
            <w:r>
              <w:rPr>
                <w:rFonts w:hint="eastAsia"/>
                <w:color w:val="auto"/>
                <w:sz w:val="18"/>
                <w:szCs w:val="18"/>
                <w:lang w:val="en-US" w:eastAsia="zh-CN"/>
              </w:rPr>
              <w:t>者得5分</w:t>
            </w:r>
            <w:r>
              <w:rPr>
                <w:rFonts w:hint="eastAsia"/>
                <w:color w:val="auto"/>
                <w:sz w:val="18"/>
                <w:szCs w:val="18"/>
                <w:lang w:eastAsia="zh-CN"/>
              </w:rPr>
              <w:t>；否则不得分。</w:t>
            </w:r>
          </w:p>
        </w:tc>
        <w:tc>
          <w:tcPr>
            <w:tcW w:w="627" w:type="dxa"/>
            <w:tcBorders>
              <w:top w:val="nil"/>
              <w:left w:val="nil"/>
              <w:bottom w:val="single" w:color="auto" w:sz="4" w:space="0"/>
              <w:right w:val="single" w:color="auto" w:sz="4" w:space="0"/>
            </w:tcBorders>
            <w:noWrap w:val="0"/>
            <w:vAlign w:val="center"/>
          </w:tcPr>
          <w:p>
            <w:pPr>
              <w:spacing w:line="276" w:lineRule="auto"/>
              <w:jc w:val="center"/>
              <w:rPr>
                <w:rFonts w:hint="default"/>
                <w:color w:val="auto"/>
                <w:sz w:val="21"/>
                <w:szCs w:val="21"/>
                <w:lang w:val="en-US" w:eastAsia="zh-CN"/>
              </w:rPr>
            </w:pPr>
            <w:r>
              <w:rPr>
                <w:rFonts w:hint="eastAsia"/>
                <w:color w:val="auto"/>
                <w:sz w:val="21"/>
                <w:szCs w:val="21"/>
                <w:lang w:val="en-US" w:eastAsia="zh-CN"/>
              </w:rPr>
              <w:t>5</w:t>
            </w:r>
          </w:p>
        </w:tc>
      </w:tr>
      <w:tr>
        <w:tblPrEx>
          <w:tblCellMar>
            <w:top w:w="0" w:type="dxa"/>
            <w:left w:w="108" w:type="dxa"/>
            <w:bottom w:w="0" w:type="dxa"/>
            <w:right w:w="108" w:type="dxa"/>
          </w:tblCellMar>
        </w:tblPrEx>
        <w:trPr>
          <w:trHeight w:val="374" w:hRule="atLeast"/>
          <w:jc w:val="center"/>
        </w:trPr>
        <w:tc>
          <w:tcPr>
            <w:tcW w:w="1425" w:type="dxa"/>
            <w:vMerge w:val="restart"/>
            <w:tcBorders>
              <w:top w:val="nil"/>
              <w:left w:val="single" w:color="auto" w:sz="4" w:space="0"/>
              <w:right w:val="single" w:color="auto" w:sz="4" w:space="0"/>
            </w:tcBorders>
            <w:noWrap w:val="0"/>
            <w:vAlign w:val="center"/>
          </w:tcPr>
          <w:p>
            <w:pPr>
              <w:spacing w:line="276" w:lineRule="auto"/>
              <w:jc w:val="center"/>
              <w:rPr>
                <w:rFonts w:hint="eastAsia"/>
                <w:color w:val="auto"/>
                <w:sz w:val="18"/>
                <w:szCs w:val="18"/>
                <w:lang w:eastAsia="zh-CN"/>
              </w:rPr>
            </w:pPr>
            <w:r>
              <w:rPr>
                <w:rFonts w:hint="eastAsia"/>
                <w:color w:val="auto"/>
                <w:sz w:val="18"/>
                <w:szCs w:val="18"/>
                <w:lang w:eastAsia="zh-CN"/>
              </w:rPr>
              <w:t>技术部分</w:t>
            </w:r>
          </w:p>
          <w:p>
            <w:pPr>
              <w:spacing w:line="276" w:lineRule="auto"/>
              <w:jc w:val="center"/>
              <w:rPr>
                <w:rFonts w:hint="eastAsia"/>
                <w:color w:val="auto"/>
                <w:sz w:val="18"/>
                <w:szCs w:val="18"/>
                <w:lang w:eastAsia="zh-CN"/>
              </w:rPr>
            </w:pPr>
            <w:r>
              <w:rPr>
                <w:rFonts w:hint="eastAsia"/>
                <w:color w:val="auto"/>
                <w:sz w:val="18"/>
                <w:szCs w:val="18"/>
                <w:lang w:eastAsia="zh-CN"/>
              </w:rPr>
              <w:t>（</w:t>
            </w:r>
            <w:r>
              <w:rPr>
                <w:rFonts w:hint="eastAsia"/>
                <w:color w:val="auto"/>
                <w:sz w:val="18"/>
                <w:szCs w:val="18"/>
                <w:lang w:val="en-US" w:eastAsia="zh-CN"/>
              </w:rPr>
              <w:t>4</w:t>
            </w:r>
            <w:r>
              <w:rPr>
                <w:rFonts w:hint="eastAsia"/>
                <w:color w:val="auto"/>
                <w:sz w:val="18"/>
                <w:szCs w:val="18"/>
                <w:lang w:eastAsia="zh-CN"/>
              </w:rPr>
              <w:t>0分）</w:t>
            </w:r>
          </w:p>
        </w:tc>
        <w:tc>
          <w:tcPr>
            <w:tcW w:w="6480" w:type="dxa"/>
            <w:tcBorders>
              <w:top w:val="single" w:color="auto" w:sz="4" w:space="0"/>
              <w:left w:val="single" w:color="auto" w:sz="4" w:space="0"/>
              <w:bottom w:val="nil"/>
              <w:right w:val="single" w:color="auto" w:sz="4" w:space="0"/>
            </w:tcBorders>
            <w:noWrap w:val="0"/>
            <w:vAlign w:val="center"/>
          </w:tcPr>
          <w:p>
            <w:pPr>
              <w:spacing w:line="276" w:lineRule="auto"/>
              <w:rPr>
                <w:rFonts w:hint="eastAsia"/>
                <w:color w:val="auto"/>
                <w:sz w:val="18"/>
                <w:szCs w:val="18"/>
                <w:lang w:eastAsia="zh-CN"/>
              </w:rPr>
            </w:pPr>
            <w:r>
              <w:rPr>
                <w:rFonts w:hint="eastAsia"/>
                <w:color w:val="auto"/>
                <w:sz w:val="18"/>
                <w:szCs w:val="18"/>
                <w:lang w:eastAsia="zh-CN"/>
              </w:rPr>
              <w:t>服务计划及方案：供应商制定的制作团队、执行方案、拍摄采集、后期制作、成果提交、售后服务等整个服务计划及方案完整详细，完全满足或优于本项目需求，并且能够完全保证项目质量，得20分；整个服务计划及方案基本完整详细，基本符合本项目需求，基本可以保证项目质量，得10分；服务计划及方案一般，得5分；差不得分。</w:t>
            </w:r>
          </w:p>
        </w:tc>
        <w:tc>
          <w:tcPr>
            <w:tcW w:w="627" w:type="dxa"/>
            <w:tcBorders>
              <w:top w:val="nil"/>
              <w:left w:val="nil"/>
              <w:bottom w:val="nil"/>
              <w:right w:val="single" w:color="auto" w:sz="4" w:space="0"/>
            </w:tcBorders>
            <w:noWrap w:val="0"/>
            <w:vAlign w:val="center"/>
          </w:tcPr>
          <w:p>
            <w:pPr>
              <w:spacing w:line="276" w:lineRule="auto"/>
              <w:jc w:val="center"/>
              <w:rPr>
                <w:color w:val="auto"/>
                <w:sz w:val="24"/>
                <w:szCs w:val="24"/>
                <w:lang w:eastAsia="zh-CN"/>
              </w:rPr>
            </w:pPr>
            <w:r>
              <w:rPr>
                <w:rFonts w:hint="eastAsia"/>
                <w:color w:val="auto"/>
                <w:sz w:val="24"/>
                <w:szCs w:val="24"/>
                <w:lang w:eastAsia="zh-CN"/>
              </w:rPr>
              <w:t>20</w:t>
            </w:r>
          </w:p>
        </w:tc>
      </w:tr>
      <w:tr>
        <w:tblPrEx>
          <w:tblCellMar>
            <w:top w:w="0" w:type="dxa"/>
            <w:left w:w="108" w:type="dxa"/>
            <w:bottom w:w="0" w:type="dxa"/>
            <w:right w:w="108" w:type="dxa"/>
          </w:tblCellMar>
        </w:tblPrEx>
        <w:trPr>
          <w:trHeight w:val="975" w:hRule="atLeast"/>
          <w:jc w:val="center"/>
        </w:trPr>
        <w:tc>
          <w:tcPr>
            <w:tcW w:w="1425" w:type="dxa"/>
            <w:vMerge w:val="continue"/>
            <w:tcBorders>
              <w:left w:val="single" w:color="auto" w:sz="4" w:space="0"/>
              <w:right w:val="single" w:color="auto" w:sz="4" w:space="0"/>
            </w:tcBorders>
            <w:noWrap w:val="0"/>
            <w:vAlign w:val="center"/>
          </w:tcPr>
          <w:p>
            <w:pPr>
              <w:spacing w:line="276" w:lineRule="auto"/>
              <w:rPr>
                <w:rFonts w:hint="eastAsia"/>
                <w:color w:val="auto"/>
                <w:sz w:val="18"/>
                <w:szCs w:val="18"/>
                <w:lang w:eastAsia="zh-CN"/>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hint="default"/>
                <w:color w:val="auto"/>
                <w:sz w:val="18"/>
                <w:szCs w:val="18"/>
                <w:lang w:val="en-US" w:eastAsia="zh-CN"/>
              </w:rPr>
            </w:pPr>
            <w:r>
              <w:rPr>
                <w:rFonts w:hint="eastAsia"/>
                <w:color w:val="auto"/>
                <w:sz w:val="18"/>
                <w:szCs w:val="18"/>
                <w:lang w:eastAsia="zh-CN"/>
              </w:rPr>
              <w:t>制作方式方法及技术：供应商所使用的制作方式方法、拟投入的技术设备力量进行综合评价。制作方式、拍摄设备先进、拍摄技术水平高得</w:t>
            </w:r>
            <w:r>
              <w:rPr>
                <w:rFonts w:hint="eastAsia"/>
                <w:color w:val="auto"/>
                <w:sz w:val="18"/>
                <w:szCs w:val="18"/>
                <w:lang w:val="en-US" w:eastAsia="zh-CN"/>
              </w:rPr>
              <w:t>5</w:t>
            </w:r>
            <w:r>
              <w:rPr>
                <w:rFonts w:hint="eastAsia"/>
                <w:color w:val="auto"/>
                <w:sz w:val="18"/>
                <w:szCs w:val="18"/>
                <w:lang w:eastAsia="zh-CN"/>
              </w:rPr>
              <w:t>分；制作方式、拍摄设备较为先进、拍摄技术水平良好得</w:t>
            </w:r>
            <w:r>
              <w:rPr>
                <w:rFonts w:hint="eastAsia"/>
                <w:color w:val="auto"/>
                <w:sz w:val="18"/>
                <w:szCs w:val="18"/>
                <w:lang w:val="en-US" w:eastAsia="zh-CN"/>
              </w:rPr>
              <w:t>3</w:t>
            </w:r>
            <w:r>
              <w:rPr>
                <w:rFonts w:hint="eastAsia"/>
                <w:color w:val="auto"/>
                <w:sz w:val="18"/>
                <w:szCs w:val="18"/>
                <w:lang w:eastAsia="zh-CN"/>
              </w:rPr>
              <w:t>分；制作方式、拍摄设备、拍摄技术水平一般得</w:t>
            </w:r>
            <w:r>
              <w:rPr>
                <w:rFonts w:hint="eastAsia"/>
                <w:color w:val="auto"/>
                <w:sz w:val="18"/>
                <w:szCs w:val="18"/>
                <w:lang w:val="en-US" w:eastAsia="zh-CN"/>
              </w:rPr>
              <w:t>1</w:t>
            </w:r>
            <w:r>
              <w:rPr>
                <w:rFonts w:hint="eastAsia"/>
                <w:color w:val="auto"/>
                <w:sz w:val="18"/>
                <w:szCs w:val="18"/>
                <w:lang w:eastAsia="zh-CN"/>
              </w:rPr>
              <w:t>分；差不得分。</w:t>
            </w:r>
          </w:p>
        </w:tc>
        <w:tc>
          <w:tcPr>
            <w:tcW w:w="627" w:type="dxa"/>
            <w:tcBorders>
              <w:top w:val="nil"/>
              <w:left w:val="nil"/>
              <w:bottom w:val="single" w:color="auto" w:sz="4" w:space="0"/>
              <w:right w:val="single" w:color="auto" w:sz="4" w:space="0"/>
            </w:tcBorders>
            <w:noWrap w:val="0"/>
            <w:vAlign w:val="center"/>
          </w:tcPr>
          <w:p>
            <w:pPr>
              <w:spacing w:line="276" w:lineRule="auto"/>
              <w:jc w:val="center"/>
              <w:rPr>
                <w:rFonts w:hint="default"/>
                <w:color w:val="auto"/>
                <w:sz w:val="24"/>
                <w:szCs w:val="24"/>
                <w:lang w:val="en-US" w:eastAsia="zh-CN"/>
              </w:rPr>
            </w:pPr>
            <w:r>
              <w:rPr>
                <w:rFonts w:hint="eastAsia"/>
                <w:color w:val="auto"/>
                <w:sz w:val="24"/>
                <w:szCs w:val="24"/>
                <w:lang w:val="en-US" w:eastAsia="zh-CN"/>
              </w:rPr>
              <w:t>10</w:t>
            </w:r>
          </w:p>
        </w:tc>
      </w:tr>
      <w:tr>
        <w:tblPrEx>
          <w:tblCellMar>
            <w:top w:w="0" w:type="dxa"/>
            <w:left w:w="108" w:type="dxa"/>
            <w:bottom w:w="0" w:type="dxa"/>
            <w:right w:w="108" w:type="dxa"/>
          </w:tblCellMar>
        </w:tblPrEx>
        <w:trPr>
          <w:trHeight w:val="975" w:hRule="atLeast"/>
          <w:jc w:val="center"/>
        </w:trPr>
        <w:tc>
          <w:tcPr>
            <w:tcW w:w="1425" w:type="dxa"/>
            <w:vMerge w:val="continue"/>
            <w:tcBorders>
              <w:left w:val="single" w:color="auto" w:sz="4" w:space="0"/>
              <w:right w:val="single" w:color="auto" w:sz="4" w:space="0"/>
            </w:tcBorders>
            <w:noWrap w:val="0"/>
            <w:vAlign w:val="center"/>
          </w:tcPr>
          <w:p>
            <w:pPr>
              <w:spacing w:line="276" w:lineRule="auto"/>
              <w:rPr>
                <w:rFonts w:hint="eastAsia"/>
                <w:color w:val="auto"/>
                <w:sz w:val="18"/>
                <w:szCs w:val="18"/>
                <w:lang w:eastAsia="zh-CN"/>
              </w:rPr>
            </w:pPr>
          </w:p>
        </w:tc>
        <w:tc>
          <w:tcPr>
            <w:tcW w:w="6480" w:type="dxa"/>
            <w:tcBorders>
              <w:top w:val="single" w:color="auto" w:sz="4" w:space="0"/>
              <w:left w:val="nil"/>
              <w:bottom w:val="single" w:color="auto" w:sz="4" w:space="0"/>
              <w:right w:val="single" w:color="auto" w:sz="4" w:space="0"/>
            </w:tcBorders>
            <w:noWrap w:val="0"/>
            <w:vAlign w:val="center"/>
          </w:tcPr>
          <w:p>
            <w:pPr>
              <w:spacing w:line="276" w:lineRule="auto"/>
              <w:rPr>
                <w:color w:val="auto"/>
                <w:sz w:val="18"/>
                <w:szCs w:val="18"/>
                <w:lang w:eastAsia="zh-CN"/>
              </w:rPr>
            </w:pPr>
            <w:r>
              <w:rPr>
                <w:rFonts w:hint="eastAsia"/>
                <w:color w:val="auto"/>
                <w:sz w:val="18"/>
                <w:szCs w:val="18"/>
                <w:lang w:eastAsia="zh-CN"/>
              </w:rPr>
              <w:t>供应商</w:t>
            </w:r>
            <w:r>
              <w:rPr>
                <w:rFonts w:hint="eastAsia"/>
                <w:color w:val="auto"/>
                <w:sz w:val="18"/>
                <w:szCs w:val="18"/>
                <w:lang w:val="en-US" w:eastAsia="zh-CN"/>
              </w:rPr>
              <w:t>拍摄制作的国家级非物质文化遗产代表性传承人记录工作项目获得过国家图书馆中国记忆项目中心优秀评级的得5分，没有不得分；</w:t>
            </w:r>
          </w:p>
        </w:tc>
        <w:tc>
          <w:tcPr>
            <w:tcW w:w="627" w:type="dxa"/>
            <w:tcBorders>
              <w:top w:val="nil"/>
              <w:left w:val="nil"/>
              <w:bottom w:val="single" w:color="auto" w:sz="4" w:space="0"/>
              <w:right w:val="single" w:color="auto" w:sz="4" w:space="0"/>
            </w:tcBorders>
            <w:noWrap w:val="0"/>
            <w:vAlign w:val="center"/>
          </w:tcPr>
          <w:p>
            <w:pPr>
              <w:spacing w:line="276" w:lineRule="auto"/>
              <w:jc w:val="center"/>
              <w:rPr>
                <w:rFonts w:hint="default"/>
                <w:color w:val="auto"/>
                <w:sz w:val="24"/>
                <w:szCs w:val="24"/>
                <w:lang w:val="en-US" w:eastAsia="zh-CN"/>
              </w:rPr>
            </w:pPr>
            <w:r>
              <w:rPr>
                <w:rFonts w:hint="eastAsia"/>
                <w:color w:val="auto"/>
                <w:sz w:val="24"/>
                <w:szCs w:val="24"/>
                <w:lang w:val="en-US" w:eastAsia="zh-CN"/>
              </w:rPr>
              <w:t>5</w:t>
            </w:r>
          </w:p>
        </w:tc>
      </w:tr>
      <w:tr>
        <w:tblPrEx>
          <w:tblCellMar>
            <w:top w:w="0" w:type="dxa"/>
            <w:left w:w="108" w:type="dxa"/>
            <w:bottom w:w="0" w:type="dxa"/>
            <w:right w:w="108" w:type="dxa"/>
          </w:tblCellMar>
        </w:tblPrEx>
        <w:trPr>
          <w:trHeight w:val="697" w:hRule="atLeast"/>
          <w:jc w:val="center"/>
        </w:trPr>
        <w:tc>
          <w:tcPr>
            <w:tcW w:w="1425" w:type="dxa"/>
            <w:vMerge w:val="continue"/>
            <w:tcBorders>
              <w:left w:val="single" w:color="auto" w:sz="4" w:space="0"/>
              <w:right w:val="single" w:color="auto" w:sz="4" w:space="0"/>
            </w:tcBorders>
            <w:noWrap w:val="0"/>
            <w:vAlign w:val="center"/>
          </w:tcPr>
          <w:p>
            <w:pPr>
              <w:spacing w:line="276" w:lineRule="auto"/>
              <w:rPr>
                <w:rFonts w:hint="eastAsia"/>
                <w:color w:val="auto"/>
                <w:sz w:val="18"/>
                <w:szCs w:val="18"/>
                <w:lang w:eastAsia="zh-CN"/>
              </w:rPr>
            </w:pPr>
          </w:p>
        </w:tc>
        <w:tc>
          <w:tcPr>
            <w:tcW w:w="6480" w:type="dxa"/>
            <w:tcBorders>
              <w:top w:val="single" w:color="auto" w:sz="4" w:space="0"/>
              <w:left w:val="nil"/>
              <w:bottom w:val="single" w:color="auto" w:sz="4" w:space="0"/>
              <w:right w:val="single" w:color="auto" w:sz="4" w:space="0"/>
            </w:tcBorders>
            <w:noWrap w:val="0"/>
            <w:vAlign w:val="center"/>
          </w:tcPr>
          <w:p>
            <w:pPr>
              <w:spacing w:line="276" w:lineRule="auto"/>
              <w:rPr>
                <w:rFonts w:hint="eastAsia"/>
                <w:color w:val="auto"/>
                <w:sz w:val="18"/>
                <w:szCs w:val="18"/>
                <w:lang w:eastAsia="zh-CN"/>
              </w:rPr>
            </w:pPr>
            <w:r>
              <w:rPr>
                <w:rFonts w:hint="eastAsia"/>
                <w:color w:val="auto"/>
                <w:sz w:val="18"/>
                <w:szCs w:val="18"/>
                <w:lang w:eastAsia="zh-CN"/>
              </w:rPr>
              <w:t>根据各供应商提供的后勤保障措施（包括但不限于：服务标准、服务内容、服务流程、服务人员的配合、服务响应时间、应急处理方式、服务承诺等内容），综合评价打分优得</w:t>
            </w:r>
            <w:r>
              <w:rPr>
                <w:rFonts w:hint="eastAsia"/>
                <w:color w:val="auto"/>
                <w:sz w:val="18"/>
                <w:szCs w:val="18"/>
                <w:lang w:val="en-US" w:eastAsia="zh-CN"/>
              </w:rPr>
              <w:t>5</w:t>
            </w:r>
            <w:r>
              <w:rPr>
                <w:rFonts w:hint="eastAsia"/>
                <w:color w:val="auto"/>
                <w:sz w:val="18"/>
                <w:szCs w:val="18"/>
                <w:lang w:eastAsia="zh-CN"/>
              </w:rPr>
              <w:t>分，良得</w:t>
            </w:r>
            <w:r>
              <w:rPr>
                <w:rFonts w:hint="eastAsia"/>
                <w:color w:val="auto"/>
                <w:sz w:val="18"/>
                <w:szCs w:val="18"/>
                <w:lang w:val="en-US" w:eastAsia="zh-CN"/>
              </w:rPr>
              <w:t>3</w:t>
            </w:r>
            <w:r>
              <w:rPr>
                <w:rFonts w:hint="eastAsia"/>
                <w:color w:val="auto"/>
                <w:sz w:val="18"/>
                <w:szCs w:val="18"/>
                <w:lang w:eastAsia="zh-CN"/>
              </w:rPr>
              <w:t>分，一般得</w:t>
            </w:r>
            <w:r>
              <w:rPr>
                <w:rFonts w:hint="eastAsia"/>
                <w:color w:val="auto"/>
                <w:sz w:val="18"/>
                <w:szCs w:val="18"/>
                <w:lang w:val="en-US" w:eastAsia="zh-CN"/>
              </w:rPr>
              <w:t>1</w:t>
            </w:r>
            <w:r>
              <w:rPr>
                <w:rFonts w:hint="eastAsia"/>
                <w:color w:val="auto"/>
                <w:sz w:val="18"/>
                <w:szCs w:val="18"/>
                <w:lang w:eastAsia="zh-CN"/>
              </w:rPr>
              <w:t>分。未提供不得分。</w:t>
            </w:r>
          </w:p>
        </w:tc>
        <w:tc>
          <w:tcPr>
            <w:tcW w:w="627" w:type="dxa"/>
            <w:tcBorders>
              <w:top w:val="single" w:color="auto" w:sz="4" w:space="0"/>
              <w:left w:val="nil"/>
              <w:bottom w:val="single" w:color="auto" w:sz="4" w:space="0"/>
              <w:right w:val="single" w:color="auto" w:sz="4" w:space="0"/>
            </w:tcBorders>
            <w:noWrap w:val="0"/>
            <w:vAlign w:val="center"/>
          </w:tcPr>
          <w:p>
            <w:pPr>
              <w:spacing w:line="276" w:lineRule="auto"/>
              <w:jc w:val="center"/>
              <w:rPr>
                <w:color w:val="auto"/>
                <w:sz w:val="24"/>
                <w:szCs w:val="24"/>
                <w:lang w:eastAsia="zh-CN"/>
              </w:rPr>
            </w:pPr>
            <w:r>
              <w:rPr>
                <w:rFonts w:hint="eastAsia"/>
                <w:color w:val="auto"/>
                <w:sz w:val="24"/>
                <w:szCs w:val="24"/>
                <w:lang w:val="en-US" w:eastAsia="zh-CN"/>
              </w:rPr>
              <w:t>5</w:t>
            </w:r>
          </w:p>
        </w:tc>
      </w:tr>
      <w:tr>
        <w:tblPrEx>
          <w:tblCellMar>
            <w:top w:w="0" w:type="dxa"/>
            <w:left w:w="108" w:type="dxa"/>
            <w:bottom w:w="0" w:type="dxa"/>
            <w:right w:w="108" w:type="dxa"/>
          </w:tblCellMar>
        </w:tblPrEx>
        <w:trPr>
          <w:trHeight w:val="697" w:hRule="atLeast"/>
          <w:jc w:val="center"/>
        </w:trPr>
        <w:tc>
          <w:tcPr>
            <w:tcW w:w="7905" w:type="dxa"/>
            <w:gridSpan w:val="2"/>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color w:val="auto"/>
                <w:sz w:val="21"/>
                <w:szCs w:val="21"/>
                <w:lang w:eastAsia="zh-CN"/>
              </w:rPr>
            </w:pPr>
            <w:r>
              <w:rPr>
                <w:rFonts w:hint="eastAsia"/>
                <w:color w:val="auto"/>
                <w:sz w:val="21"/>
                <w:szCs w:val="21"/>
                <w:lang w:eastAsia="zh-CN"/>
              </w:rPr>
              <w:t>总分</w:t>
            </w:r>
          </w:p>
        </w:tc>
        <w:tc>
          <w:tcPr>
            <w:tcW w:w="627" w:type="dxa"/>
            <w:tcBorders>
              <w:top w:val="single" w:color="auto" w:sz="4" w:space="0"/>
              <w:left w:val="nil"/>
              <w:bottom w:val="single" w:color="auto" w:sz="4" w:space="0"/>
              <w:right w:val="single" w:color="auto" w:sz="4" w:space="0"/>
            </w:tcBorders>
            <w:noWrap w:val="0"/>
            <w:vAlign w:val="center"/>
          </w:tcPr>
          <w:p>
            <w:pPr>
              <w:spacing w:line="276" w:lineRule="auto"/>
              <w:jc w:val="center"/>
              <w:rPr>
                <w:rFonts w:hint="eastAsia"/>
                <w:color w:val="auto"/>
                <w:sz w:val="24"/>
                <w:szCs w:val="24"/>
                <w:lang w:eastAsia="zh-CN"/>
              </w:rPr>
            </w:pPr>
            <w:r>
              <w:rPr>
                <w:rFonts w:hint="eastAsia"/>
                <w:color w:val="auto"/>
                <w:sz w:val="24"/>
                <w:szCs w:val="24"/>
                <w:lang w:eastAsia="zh-CN"/>
              </w:rPr>
              <w:t>100</w:t>
            </w:r>
          </w:p>
        </w:tc>
      </w:tr>
    </w:tbl>
    <w:p>
      <w:pPr>
        <w:pStyle w:val="30"/>
        <w:rPr>
          <w:color w:val="auto"/>
        </w:rPr>
      </w:pPr>
    </w:p>
    <w:p>
      <w:pPr>
        <w:rPr>
          <w:color w:val="auto"/>
        </w:rPr>
      </w:pPr>
    </w:p>
    <w:p>
      <w:pPr>
        <w:spacing w:line="360" w:lineRule="auto"/>
        <w:rPr>
          <w:rFonts w:ascii="宋体" w:hAnsi="宋体" w:cs="宋体"/>
          <w:b/>
          <w:bCs/>
          <w:color w:val="auto"/>
          <w:szCs w:val="21"/>
        </w:rPr>
      </w:pPr>
      <w:r>
        <w:rPr>
          <w:rFonts w:hint="eastAsia" w:ascii="宋体" w:hAnsi="宋体" w:cs="宋体"/>
          <w:b/>
          <w:bCs/>
          <w:color w:val="auto"/>
          <w:szCs w:val="21"/>
        </w:rPr>
        <w:t>5. 授予合同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5.1  合同授予标准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5.2  授予合同时变更数量的权利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5.2.1甲方在授予合同时，有权对磋商文件中规定的货物数量和服务予以增加或减少。</w:t>
      </w:r>
    </w:p>
    <w:p>
      <w:pPr>
        <w:spacing w:line="360" w:lineRule="auto"/>
        <w:ind w:firstLine="420" w:firstLineChars="200"/>
        <w:rPr>
          <w:rFonts w:ascii="宋体" w:hAnsi="宋体" w:cs="宋体"/>
          <w:color w:val="auto"/>
          <w:szCs w:val="21"/>
        </w:rPr>
      </w:pPr>
      <w:r>
        <w:rPr>
          <w:rFonts w:hint="eastAsia" w:ascii="宋体" w:hAnsi="宋体" w:cs="宋体"/>
          <w:color w:val="auto"/>
          <w:szCs w:val="21"/>
        </w:rPr>
        <w:t>5.3  接受和拒绝任何或所有投标的权力</w:t>
      </w:r>
    </w:p>
    <w:p>
      <w:pPr>
        <w:spacing w:line="360" w:lineRule="auto"/>
        <w:ind w:firstLine="420" w:firstLineChars="200"/>
        <w:rPr>
          <w:rFonts w:ascii="宋体" w:hAnsi="宋体" w:cs="宋体"/>
          <w:color w:val="auto"/>
          <w:szCs w:val="21"/>
        </w:rPr>
      </w:pPr>
      <w:r>
        <w:rPr>
          <w:rFonts w:hint="eastAsia" w:ascii="宋体" w:hAnsi="宋体" w:cs="宋体"/>
          <w:color w:val="auto"/>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5.4成交通知书</w:t>
      </w:r>
    </w:p>
    <w:p>
      <w:pPr>
        <w:spacing w:line="360" w:lineRule="auto"/>
        <w:ind w:firstLine="420" w:firstLineChars="200"/>
        <w:rPr>
          <w:rFonts w:ascii="宋体" w:hAnsi="宋体" w:cs="宋体"/>
          <w:color w:val="auto"/>
          <w:szCs w:val="21"/>
        </w:rPr>
      </w:pPr>
      <w:r>
        <w:rPr>
          <w:rFonts w:hint="eastAsia" w:ascii="宋体" w:hAnsi="宋体" w:cs="宋体"/>
          <w:color w:val="auto"/>
          <w:szCs w:val="21"/>
        </w:rPr>
        <w:t>5.4.1 成交通知书将是合同的一个组成部分。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5.4.2 采购单位对未成交原因不作任何解释。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6.1签订合同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6.1.1采购方在与成交供应商签订正式合同前，对采购项目内容和设备数量等有增减变更的权利。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6.1.2成交供应商按甲方要求的时间、地点与甲方签订合同。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7.1合同文件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除包括“磋商文件”规定的全部内容外，还应包括：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(1)与谈判有关的澄清、说明；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(2)投标单位在投标时随同投标书递交的资料与附图;</w:t>
      </w:r>
    </w:p>
    <w:p>
      <w:pPr>
        <w:spacing w:line="360" w:lineRule="auto"/>
        <w:ind w:firstLine="420" w:firstLineChars="200"/>
        <w:rPr>
          <w:rFonts w:ascii="宋体" w:hAnsi="宋体" w:cs="宋体"/>
          <w:color w:val="auto"/>
          <w:szCs w:val="21"/>
        </w:rPr>
      </w:pPr>
      <w:r>
        <w:rPr>
          <w:rFonts w:hint="eastAsia" w:ascii="宋体" w:hAnsi="宋体" w:cs="宋体"/>
          <w:color w:val="auto"/>
          <w:szCs w:val="21"/>
        </w:rPr>
        <w:t>(3)在商谈本合同书时,双方共同签字的补充文件;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(4)有关技术要求的补充内容。</w:t>
      </w:r>
    </w:p>
    <w:p>
      <w:pPr>
        <w:pStyle w:val="2"/>
        <w:ind w:firstLine="0" w:firstLineChars="0"/>
        <w:rPr>
          <w:rFonts w:ascii="宋体" w:hAnsi="宋体" w:cs="宋体"/>
          <w:color w:val="auto"/>
          <w:szCs w:val="21"/>
        </w:rPr>
      </w:pPr>
    </w:p>
    <w:p>
      <w:pPr>
        <w:widowControl/>
        <w:spacing w:before="100" w:beforeAutospacing="1" w:after="100" w:afterAutospacing="1" w:line="360" w:lineRule="auto"/>
        <w:jc w:val="center"/>
        <w:rPr>
          <w:rFonts w:ascii="宋体" w:hAnsi="宋体" w:cs="宋体"/>
          <w:b/>
          <w:bCs/>
          <w:color w:val="auto"/>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color w:val="auto"/>
          <w:kern w:val="0"/>
          <w:sz w:val="36"/>
          <w:szCs w:val="36"/>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jc w:val="center"/>
        <w:rPr>
          <w:rFonts w:ascii="仿宋" w:hAnsi="仿宋" w:eastAsia="仿宋" w:cs="仿宋"/>
          <w:b/>
          <w:color w:val="auto"/>
          <w:sz w:val="36"/>
          <w:szCs w:val="36"/>
        </w:rPr>
      </w:pPr>
      <w:r>
        <w:rPr>
          <w:rFonts w:hint="eastAsia" w:ascii="仿宋" w:hAnsi="仿宋" w:eastAsia="仿宋" w:cs="仿宋"/>
          <w:b/>
          <w:color w:val="auto"/>
          <w:w w:val="90"/>
          <w:sz w:val="44"/>
          <w:szCs w:val="44"/>
        </w:rPr>
        <w:t>兰州职业技术学院xxxx项目</w:t>
      </w:r>
    </w:p>
    <w:p>
      <w:pPr>
        <w:jc w:val="center"/>
        <w:rPr>
          <w:rFonts w:ascii="仿宋" w:hAnsi="仿宋" w:eastAsia="仿宋" w:cs="仿宋"/>
          <w:b/>
          <w:color w:val="auto"/>
          <w:w w:val="90"/>
          <w:sz w:val="44"/>
          <w:szCs w:val="44"/>
        </w:rPr>
      </w:pPr>
      <w:r>
        <w:rPr>
          <w:rFonts w:hint="eastAsia" w:ascii="仿宋" w:hAnsi="仿宋" w:eastAsia="仿宋" w:cs="仿宋"/>
          <w:b/>
          <w:color w:val="auto"/>
          <w:w w:val="90"/>
          <w:sz w:val="44"/>
          <w:szCs w:val="44"/>
        </w:rPr>
        <w:t>采购合同</w:t>
      </w:r>
    </w:p>
    <w:p>
      <w:pPr>
        <w:ind w:firstLine="420" w:firstLineChars="200"/>
        <w:rPr>
          <w:rFonts w:ascii="宋体" w:hAnsi="宋体" w:cs="宋体"/>
          <w:color w:val="auto"/>
          <w:szCs w:val="21"/>
        </w:rPr>
      </w:pP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ind w:firstLine="480" w:firstLineChars="200"/>
        <w:rPr>
          <w:rFonts w:ascii="宋体" w:hAnsi="宋体" w:cs="宋体"/>
          <w:color w:val="auto"/>
          <w:sz w:val="24"/>
        </w:rPr>
      </w:pPr>
    </w:p>
    <w:p>
      <w:pPr>
        <w:widowControl/>
        <w:spacing w:line="360" w:lineRule="auto"/>
        <w:jc w:val="left"/>
        <w:rPr>
          <w:rFonts w:ascii="宋体" w:hAnsi="宋体" w:cs="宋体"/>
          <w:color w:val="auto"/>
          <w:kern w:val="0"/>
          <w:szCs w:val="21"/>
        </w:rPr>
      </w:pP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磋商文件编号：</w:t>
      </w: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合同编号：</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600"/>
        <w:rPr>
          <w:rFonts w:hAnsi="宋体" w:cs="宋体"/>
          <w:color w:val="auto"/>
          <w:sz w:val="30"/>
          <w:szCs w:val="30"/>
        </w:rPr>
      </w:pPr>
    </w:p>
    <w:p>
      <w:pPr>
        <w:pStyle w:val="48"/>
        <w:ind w:firstLine="600"/>
        <w:rPr>
          <w:rFonts w:hAnsi="宋体" w:cs="宋体"/>
          <w:color w:val="auto"/>
          <w:sz w:val="30"/>
          <w:szCs w:val="30"/>
        </w:rPr>
      </w:pP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采 购 人：兰州职业技术学院</w:t>
      </w: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供 应 商：×  ×  ×  ×  ×  ×  ×</w:t>
      </w: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合  同</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根据兰州职业技术学院xxx项目招标采购(招标号：</w:t>
      </w:r>
      <w:r>
        <w:rPr>
          <w:rFonts w:hint="eastAsia" w:ascii="宋体" w:hAnsi="宋体" w:cs="宋体"/>
          <w:color w:val="auto"/>
          <w:szCs w:val="21"/>
          <w:u w:val="single"/>
        </w:rPr>
        <w:t xml:space="preserve">       </w:t>
      </w:r>
      <w:r>
        <w:rPr>
          <w:rFonts w:hint="eastAsia" w:ascii="宋体" w:hAnsi="宋体" w:cs="宋体"/>
          <w:color w:val="auto"/>
          <w:szCs w:val="21"/>
        </w:rPr>
        <w:t xml:space="preserve"> )招标结果，兰州职业技术学院（以下简称需方）与</w:t>
      </w:r>
      <w:r>
        <w:rPr>
          <w:rFonts w:hint="eastAsia" w:ascii="宋体" w:hAnsi="宋体" w:cs="宋体"/>
          <w:color w:val="auto"/>
          <w:szCs w:val="21"/>
          <w:u w:val="single"/>
        </w:rPr>
        <w:t xml:space="preserve">           </w:t>
      </w:r>
      <w:r>
        <w:rPr>
          <w:rFonts w:hint="eastAsia" w:ascii="宋体" w:hAnsi="宋体" w:cs="宋体"/>
          <w:color w:val="auto"/>
          <w:szCs w:val="21"/>
        </w:rPr>
        <w:t xml:space="preserve">公司（以下简称供方）签订本合同。 </w:t>
      </w:r>
    </w:p>
    <w:p>
      <w:pPr>
        <w:numPr>
          <w:ilvl w:val="0"/>
          <w:numId w:val="5"/>
        </w:numPr>
        <w:spacing w:line="360" w:lineRule="auto"/>
        <w:ind w:firstLine="420" w:firstLineChars="200"/>
        <w:rPr>
          <w:rFonts w:ascii="宋体" w:hAnsi="宋体" w:cs="宋体"/>
          <w:color w:val="auto"/>
          <w:szCs w:val="21"/>
        </w:rPr>
      </w:pPr>
      <w:r>
        <w:rPr>
          <w:rFonts w:hint="eastAsia" w:ascii="宋体" w:hAnsi="宋体" w:cs="宋体"/>
          <w:color w:val="auto"/>
          <w:szCs w:val="21"/>
        </w:rPr>
        <w:t>合同编号：</w:t>
      </w:r>
    </w:p>
    <w:p>
      <w:pPr>
        <w:numPr>
          <w:ilvl w:val="0"/>
          <w:numId w:val="5"/>
        </w:numPr>
        <w:spacing w:line="360" w:lineRule="auto"/>
        <w:ind w:firstLine="420" w:firstLineChars="200"/>
        <w:rPr>
          <w:rFonts w:ascii="宋体" w:hAnsi="宋体" w:cs="宋体"/>
          <w:color w:val="auto"/>
          <w:szCs w:val="21"/>
        </w:rPr>
      </w:pPr>
      <w:r>
        <w:rPr>
          <w:rFonts w:hint="eastAsia" w:ascii="宋体" w:hAnsi="宋体" w:cs="宋体"/>
          <w:color w:val="auto"/>
          <w:szCs w:val="21"/>
        </w:rPr>
        <w:t>二、签订地点：</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三、签订时间：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rPr>
      </w:pPr>
      <w:r>
        <w:rPr>
          <w:rFonts w:hint="eastAsia" w:ascii="宋体" w:hAnsi="宋体" w:cs="宋体"/>
          <w:color w:val="auto"/>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六、合同总价金额：XXXXXX*大写*（XXXXXX 元）*小写*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七、一般条款：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（二）供方承担服务过程中的一切责任和费用。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（三）供方应按照招标文件所提要求提供培训。</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（四）付款方式：</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以合同签订时为准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2、项目服务期：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（七）供需双方签订的合同，应在兰州职业技术学院监督下认真履行。</w:t>
      </w:r>
    </w:p>
    <w:p>
      <w:pPr>
        <w:spacing w:line="360" w:lineRule="auto"/>
        <w:ind w:firstLine="420" w:firstLineChars="200"/>
        <w:rPr>
          <w:rFonts w:ascii="宋体" w:hAnsi="宋体" w:cs="宋体"/>
          <w:color w:val="auto"/>
          <w:szCs w:val="21"/>
        </w:rPr>
      </w:pPr>
      <w:r>
        <w:rPr>
          <w:rFonts w:hint="eastAsia" w:ascii="宋体" w:hAnsi="宋体" w:cs="宋体"/>
          <w:color w:val="auto"/>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（九）质量验收：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1、服务项目在服务完成后，需方应当在 </w:t>
      </w:r>
      <w:r>
        <w:rPr>
          <w:rFonts w:hint="eastAsia" w:ascii="宋体" w:hAnsi="宋体" w:cs="宋体"/>
          <w:color w:val="auto"/>
          <w:szCs w:val="21"/>
          <w:u w:val="single"/>
        </w:rPr>
        <w:t xml:space="preserve">     </w:t>
      </w:r>
      <w:r>
        <w:rPr>
          <w:rFonts w:hint="eastAsia" w:ascii="宋体" w:hAnsi="宋体" w:cs="宋体"/>
          <w:color w:val="auto"/>
          <w:szCs w:val="21"/>
        </w:rPr>
        <w:t>个工作日内完成验收；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八、服务项目起始时间及所需终端、硬件交货地点和验收单位：</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（一）服务起始时间：合同签订后    月内（    日历天内）；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（二）服务项目所需货物、硬件交货地点：兰州职业技术学院指定地点；</w:t>
      </w:r>
    </w:p>
    <w:p>
      <w:pPr>
        <w:pStyle w:val="2"/>
        <w:widowControl/>
        <w:spacing w:line="360" w:lineRule="auto"/>
        <w:rPr>
          <w:color w:val="auto"/>
          <w:szCs w:val="21"/>
        </w:rPr>
      </w:pPr>
      <w:r>
        <w:rPr>
          <w:rFonts w:hint="eastAsia" w:ascii="宋体" w:hAnsi="宋体" w:cs="宋体"/>
          <w:color w:val="auto"/>
          <w:szCs w:val="21"/>
        </w:rPr>
        <w:t>（三）验收单位：兰州职业技术学院</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九、经济责任：</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（一）供方责任：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1、供方不履行合同或提供的服务全部或部分不符合合同要求的，需方有权拒绝其提供的服务内容，供方须向需方支付拒绝内容价款总额</w:t>
      </w:r>
      <w:r>
        <w:rPr>
          <w:rFonts w:hint="eastAsia" w:ascii="宋体" w:hAnsi="宋体" w:cs="宋体"/>
          <w:color w:val="auto"/>
          <w:szCs w:val="21"/>
          <w:u w:val="single"/>
        </w:rPr>
        <w:t>10</w:t>
      </w:r>
      <w:r>
        <w:rPr>
          <w:rFonts w:hint="eastAsia" w:ascii="宋体" w:hAnsi="宋体" w:cs="宋体"/>
          <w:color w:val="auto"/>
          <w:szCs w:val="21"/>
        </w:rPr>
        <w:t>%的违约金。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（二）需方责任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十、特殊条款: *根据服务的特殊性及采购人的要求列出相关条款*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十一、合同解释：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其它未尽事宜由供需双方协商约定。 </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十二、本合同一式四份，其中，需方二份，供方二份均具有同等法律效力。</w:t>
      </w:r>
    </w:p>
    <w:p>
      <w:pPr>
        <w:widowControl/>
        <w:spacing w:line="360" w:lineRule="auto"/>
        <w:ind w:firstLine="420" w:firstLineChars="200"/>
        <w:jc w:val="left"/>
        <w:rPr>
          <w:rFonts w:ascii="宋体" w:hAnsi="宋体" w:cs="宋体"/>
          <w:color w:val="auto"/>
          <w:kern w:val="0"/>
          <w:szCs w:val="21"/>
        </w:rPr>
      </w:pPr>
    </w:p>
    <w:p>
      <w:pPr>
        <w:widowControl/>
        <w:spacing w:line="360" w:lineRule="auto"/>
        <w:jc w:val="left"/>
        <w:rPr>
          <w:rFonts w:ascii="宋体" w:hAnsi="宋体" w:cs="宋体"/>
          <w:color w:val="auto"/>
          <w:kern w:val="0"/>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2"/>
        <w:ind w:firstLine="480"/>
        <w:rPr>
          <w:rFonts w:ascii="宋体" w:hAnsi="宋体" w:cs="宋体"/>
          <w:color w:val="auto"/>
          <w:sz w:val="24"/>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采购人（公章）：兰州职业技术学院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tc>
        <w:tc>
          <w:tcPr>
            <w:tcW w:w="4212"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供应商（公章）：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p>
            <w:pPr>
              <w:ind w:firstLine="420" w:firstLineChars="200"/>
              <w:rPr>
                <w:rFonts w:ascii="宋体" w:hAnsi="宋体" w:cs="宋体"/>
                <w:color w:val="auto"/>
                <w:szCs w:val="21"/>
              </w:rPr>
            </w:pPr>
          </w:p>
        </w:tc>
      </w:tr>
    </w:tbl>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rPr>
          <w:rFonts w:ascii="宋体" w:hAnsi="宋体" w:cs="宋体"/>
          <w:color w:val="auto"/>
        </w:rPr>
      </w:pPr>
    </w:p>
    <w:bookmarkEnd w:id="26"/>
    <w:bookmarkEnd w:id="27"/>
    <w:p>
      <w:pPr>
        <w:spacing w:line="360" w:lineRule="auto"/>
        <w:jc w:val="center"/>
        <w:rPr>
          <w:rFonts w:ascii="宋体" w:hAnsi="宋体" w:cs="宋体"/>
          <w:b/>
          <w:bCs/>
          <w:color w:val="auto"/>
          <w:sz w:val="44"/>
        </w:rPr>
      </w:pPr>
    </w:p>
    <w:p>
      <w:pPr>
        <w:spacing w:after="160" w:line="360" w:lineRule="auto"/>
        <w:rPr>
          <w:rFonts w:ascii="宋体" w:hAnsi="宋体" w:cs="宋体"/>
          <w:color w:val="auto"/>
          <w:sz w:val="24"/>
        </w:rPr>
      </w:pPr>
      <w:bookmarkStart w:id="30" w:name="_Toc361769774"/>
      <w:bookmarkStart w:id="31" w:name="_Toc365276924"/>
      <w:bookmarkStart w:id="32" w:name="_Toc361769640"/>
    </w:p>
    <w:p>
      <w:pPr>
        <w:spacing w:after="160" w:line="360" w:lineRule="auto"/>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spacing w:after="160" w:line="360" w:lineRule="auto"/>
        <w:rPr>
          <w:rFonts w:ascii="宋体" w:hAnsi="宋体" w:cs="宋体"/>
          <w:color w:val="auto"/>
          <w:sz w:val="24"/>
        </w:rPr>
      </w:pPr>
    </w:p>
    <w:p>
      <w:pPr>
        <w:pStyle w:val="4"/>
        <w:spacing w:line="360" w:lineRule="auto"/>
        <w:jc w:val="center"/>
        <w:rPr>
          <w:rFonts w:ascii="宋体" w:hAnsi="宋体" w:cs="宋体"/>
          <w:color w:val="auto"/>
        </w:rPr>
        <w:sectPr>
          <w:pgSz w:w="11906" w:h="16838"/>
          <w:pgMar w:top="1191" w:right="1587" w:bottom="1191" w:left="1587" w:header="851" w:footer="992" w:gutter="0"/>
          <w:cols w:space="720" w:num="1"/>
          <w:titlePg/>
        </w:sectPr>
      </w:pPr>
      <w:bookmarkStart w:id="33" w:name="_Toc498079263"/>
      <w:bookmarkStart w:id="34" w:name="_Toc480203888"/>
      <w:bookmarkStart w:id="35" w:name="_Toc3989"/>
      <w:r>
        <w:rPr>
          <w:rFonts w:hint="eastAsia" w:ascii="宋体" w:hAnsi="宋体" w:cs="宋体"/>
          <w:color w:val="auto"/>
        </w:rPr>
        <w:t>第三部分 技术参数及项目</w:t>
      </w:r>
      <w:bookmarkEnd w:id="33"/>
      <w:bookmarkEnd w:id="34"/>
      <w:bookmarkEnd w:id="35"/>
      <w:r>
        <w:rPr>
          <w:rFonts w:hint="eastAsia" w:ascii="宋体" w:hAnsi="宋体" w:cs="宋体"/>
          <w:color w:val="auto"/>
        </w:rPr>
        <w:t>需求</w:t>
      </w:r>
    </w:p>
    <w:p>
      <w:pPr>
        <w:rPr>
          <w:rFonts w:ascii="宋体" w:hAnsi="宋体" w:cs="宋体"/>
          <w:b/>
          <w:color w:val="auto"/>
          <w:sz w:val="30"/>
          <w:szCs w:val="30"/>
        </w:rPr>
      </w:pPr>
      <w:bookmarkStart w:id="36" w:name="_Toc498079264"/>
      <w:r>
        <w:rPr>
          <w:rFonts w:hint="eastAsia" w:ascii="宋体" w:hAnsi="宋体" w:cs="宋体"/>
          <w:b/>
          <w:color w:val="auto"/>
          <w:sz w:val="30"/>
          <w:szCs w:val="30"/>
        </w:rPr>
        <w:t>一、技术参数及项目需求</w:t>
      </w:r>
    </w:p>
    <w:p>
      <w:pPr>
        <w:pStyle w:val="30"/>
        <w:rPr>
          <w:color w:val="auto"/>
        </w:rPr>
      </w:pPr>
    </w:p>
    <w:p>
      <w:pPr>
        <w:numPr>
          <w:ilvl w:val="0"/>
          <w:numId w:val="6"/>
        </w:numPr>
        <w:spacing w:line="360" w:lineRule="auto"/>
        <w:ind w:left="318"/>
        <w:outlineLvl w:val="0"/>
        <w:rPr>
          <w:rFonts w:hint="eastAsia"/>
          <w:b/>
          <w:color w:val="auto"/>
          <w:sz w:val="24"/>
          <w:szCs w:val="24"/>
          <w:lang w:eastAsia="zh-CN"/>
        </w:rPr>
      </w:pPr>
      <w:bookmarkStart w:id="37" w:name="_Toc22603"/>
      <w:r>
        <w:rPr>
          <w:rFonts w:hint="eastAsia"/>
          <w:b/>
          <w:color w:val="auto"/>
          <w:sz w:val="24"/>
          <w:szCs w:val="24"/>
          <w:lang w:eastAsia="zh-CN"/>
        </w:rPr>
        <w:t>记录工作对象</w:t>
      </w:r>
      <w:bookmarkEnd w:id="37"/>
    </w:p>
    <w:tbl>
      <w:tblPr>
        <w:tblStyle w:val="3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158"/>
        <w:gridCol w:w="1525"/>
        <w:gridCol w:w="1675"/>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51"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项目名称</w:t>
            </w:r>
          </w:p>
        </w:tc>
        <w:tc>
          <w:tcPr>
            <w:tcW w:w="7513" w:type="dxa"/>
            <w:gridSpan w:val="4"/>
            <w:tcBorders>
              <w:top w:val="single" w:color="auto" w:sz="4" w:space="0"/>
              <w:left w:val="single" w:color="auto" w:sz="4" w:space="0"/>
              <w:bottom w:val="single" w:color="auto" w:sz="4" w:space="0"/>
              <w:right w:val="single" w:color="auto" w:sz="4" w:space="0"/>
            </w:tcBorders>
            <w:vAlign w:val="center"/>
          </w:tcPr>
          <w:p>
            <w:pPr>
              <w:autoSpaceDE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pacing w:val="-3"/>
                <w:kern w:val="0"/>
                <w:sz w:val="24"/>
                <w:szCs w:val="24"/>
                <w:highlight w:val="none"/>
              </w:rPr>
              <w:t>202</w:t>
            </w:r>
            <w:r>
              <w:rPr>
                <w:rFonts w:hint="eastAsia" w:asciiTheme="minorEastAsia" w:hAnsiTheme="minorEastAsia" w:eastAsiaTheme="minorEastAsia" w:cstheme="minorEastAsia"/>
                <w:color w:val="auto"/>
                <w:spacing w:val="-3"/>
                <w:kern w:val="0"/>
                <w:sz w:val="24"/>
                <w:szCs w:val="24"/>
                <w:highlight w:val="none"/>
                <w:lang w:val="en-US" w:eastAsia="zh-CN"/>
              </w:rPr>
              <w:t>2</w:t>
            </w:r>
            <w:r>
              <w:rPr>
                <w:rFonts w:hint="eastAsia" w:asciiTheme="minorEastAsia" w:hAnsiTheme="minorEastAsia" w:eastAsiaTheme="minorEastAsia" w:cstheme="minorEastAsia"/>
                <w:color w:val="auto"/>
                <w:spacing w:val="-3"/>
                <w:kern w:val="0"/>
                <w:sz w:val="24"/>
                <w:szCs w:val="24"/>
                <w:highlight w:val="none"/>
              </w:rPr>
              <w:t>年国家级非物质文化遗产代表性传承人记录工程项目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951"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jc w:val="center"/>
              <w:rPr>
                <w:rFonts w:hint="eastAsia" w:asciiTheme="minorEastAsia" w:hAnsiTheme="minorEastAsia" w:eastAsiaTheme="minorEastAsia" w:cstheme="minorEastAsia"/>
                <w:color w:val="auto"/>
                <w:kern w:val="0"/>
                <w:sz w:val="24"/>
                <w:szCs w:val="24"/>
                <w:highlight w:val="none"/>
              </w:rPr>
            </w:pPr>
          </w:p>
        </w:tc>
        <w:tc>
          <w:tcPr>
            <w:tcW w:w="2158"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姓名</w:t>
            </w:r>
          </w:p>
        </w:tc>
        <w:tc>
          <w:tcPr>
            <w:tcW w:w="1525"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性别</w:t>
            </w:r>
          </w:p>
        </w:tc>
        <w:tc>
          <w:tcPr>
            <w:tcW w:w="1675"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年龄</w:t>
            </w:r>
          </w:p>
        </w:tc>
        <w:tc>
          <w:tcPr>
            <w:tcW w:w="2155"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ind w:firstLine="420"/>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951"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eastAsia="zh-CN"/>
              </w:rPr>
              <w:t>皮影戏——环县道情皮影戏</w:t>
            </w:r>
          </w:p>
        </w:tc>
        <w:tc>
          <w:tcPr>
            <w:tcW w:w="2158"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eastAsia="zh-CN"/>
              </w:rPr>
              <w:t>高清旺</w:t>
            </w:r>
          </w:p>
        </w:tc>
        <w:tc>
          <w:tcPr>
            <w:tcW w:w="1525"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男</w:t>
            </w:r>
          </w:p>
        </w:tc>
        <w:tc>
          <w:tcPr>
            <w:tcW w:w="1675"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ind w:firstLine="600" w:firstLineChars="250"/>
              <w:jc w:val="both"/>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60</w:t>
            </w:r>
          </w:p>
        </w:tc>
        <w:tc>
          <w:tcPr>
            <w:tcW w:w="2155" w:type="dxa"/>
            <w:tcBorders>
              <w:top w:val="single" w:color="auto" w:sz="4" w:space="0"/>
              <w:left w:val="single" w:color="auto" w:sz="4" w:space="0"/>
              <w:bottom w:val="single" w:color="auto" w:sz="4" w:space="0"/>
              <w:right w:val="single" w:color="auto" w:sz="4" w:space="0"/>
            </w:tcBorders>
            <w:vAlign w:val="center"/>
          </w:tcPr>
          <w:p>
            <w:pPr>
              <w:autoSpaceDE w:val="0"/>
              <w:spacing w:line="360" w:lineRule="auto"/>
              <w:ind w:firstLine="420"/>
              <w:jc w:val="center"/>
              <w:rPr>
                <w:rFonts w:hint="eastAsia" w:asciiTheme="minorEastAsia" w:hAnsiTheme="minorEastAsia" w:eastAsiaTheme="minorEastAsia" w:cstheme="minorEastAsia"/>
                <w:color w:val="auto"/>
                <w:kern w:val="0"/>
                <w:sz w:val="24"/>
                <w:szCs w:val="24"/>
                <w:highlight w:val="none"/>
                <w:lang w:val="en-US" w:eastAsia="zh-CN"/>
              </w:rPr>
            </w:pPr>
          </w:p>
        </w:tc>
      </w:tr>
    </w:tbl>
    <w:p>
      <w:pPr>
        <w:pStyle w:val="2"/>
        <w:ind w:firstLine="440"/>
        <w:rPr>
          <w:rFonts w:hint="eastAsia"/>
          <w:color w:val="auto"/>
          <w:lang w:eastAsia="zh-CN"/>
        </w:rPr>
      </w:pPr>
    </w:p>
    <w:p>
      <w:pPr>
        <w:numPr>
          <w:ilvl w:val="0"/>
          <w:numId w:val="6"/>
        </w:numPr>
        <w:spacing w:line="360" w:lineRule="auto"/>
        <w:ind w:left="318"/>
        <w:outlineLvl w:val="0"/>
        <w:rPr>
          <w:rFonts w:hint="eastAsia"/>
          <w:b/>
          <w:color w:val="auto"/>
          <w:sz w:val="24"/>
          <w:szCs w:val="24"/>
          <w:lang w:eastAsia="zh-CN"/>
        </w:rPr>
      </w:pPr>
      <w:bookmarkStart w:id="38" w:name="_Toc20911"/>
      <w:r>
        <w:rPr>
          <w:rFonts w:hint="eastAsia"/>
          <w:b/>
          <w:color w:val="auto"/>
          <w:sz w:val="24"/>
          <w:szCs w:val="24"/>
          <w:lang w:eastAsia="zh-CN"/>
        </w:rPr>
        <w:t>记录工作内容</w:t>
      </w:r>
      <w:bookmarkEnd w:id="38"/>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（一）准备工作</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组建记录工作小组。</w:t>
      </w:r>
      <w:r>
        <w:rPr>
          <w:rFonts w:hint="eastAsia"/>
          <w:color w:val="auto"/>
          <w:sz w:val="24"/>
          <w:szCs w:val="24"/>
          <w:lang w:val="en-US" w:eastAsia="zh-CN"/>
        </w:rPr>
        <w:t>由</w:t>
      </w:r>
      <w:r>
        <w:rPr>
          <w:rFonts w:hint="eastAsia"/>
          <w:color w:val="auto"/>
          <w:sz w:val="24"/>
          <w:szCs w:val="24"/>
          <w:lang w:eastAsia="zh-CN"/>
        </w:rPr>
        <w:t>兰州职业技术学院非物质文化遗产学院组建记录工作小组。小组成员包括项目负责人1人（</w:t>
      </w:r>
      <w:r>
        <w:rPr>
          <w:rFonts w:hint="eastAsia"/>
          <w:color w:val="auto"/>
          <w:sz w:val="24"/>
          <w:szCs w:val="24"/>
          <w:lang w:val="en-US" w:eastAsia="zh-CN"/>
        </w:rPr>
        <w:t>兰州职业技术学院</w:t>
      </w:r>
      <w:r>
        <w:rPr>
          <w:rFonts w:hint="eastAsia"/>
          <w:color w:val="auto"/>
          <w:sz w:val="24"/>
          <w:szCs w:val="24"/>
          <w:lang w:eastAsia="zh-CN"/>
        </w:rPr>
        <w:t>工作人员担任），学术专员至少1人（团队商议确定），导演1人，摄像2-3人（其中包括图片摄影1人）、录音1人，后期1-2人，其他业务人员1-2人。如果是少数民族语言使用区或重方言区，需安排翻译人员1人。分工可兼顾，并根据项目规模、工作量适当增减人数。</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导演：是该项目的艺术及技术负责人，需具备2年以上相关工作经验，负责具体拍摄的内容、画面及质量，指导现场拍摄及后期剪辑等。</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摄像：需具备2年以上相关工作经验，负责现场摄像、摄影及灯光和配套设备的操作。</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录音：需具备2年以上相关工作经验，负责现场录音。</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后期：需具备2年以上相关工作经验，负责文献片、综述片的剪辑制作。</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翻译：少数民族语言或重方言区需要配备相关语言翻译人员，负责拍摄现场、后期制作及口述文本整理等环节的语言文字翻译工作。</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其他业务人员：如文稿速记、文字校对、摄像助理等，根据项目的具体情况适当增减。</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（二）记录</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包括文献收集、采集、整理编辑等三大块工作。</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文献收集包括文献收集内容、来源、方式、文献使用权限及编制《文献目录》；采集包括传承人口述、传承人项目实践及传承人传承教学；整理编辑包括原始资料的保存与整理、口述文字稿编辑、文献片制作、综述片制作、形成工作卷宗及文献的命名与保存。</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（三）评估与验收</w:t>
      </w:r>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项目实施方完成记录工作后，应先将成果交由兰州职业技术学院非物质文化遗产学院进行自评估，将从文献收集、传承人口述史访谈、传承人项目实践、传承人传承教学、综述片等五个方面进行自评估，对记录工作的过程和成果进行全面检验，发现问题及时协调团队整改，最终形成自评估报告，连同记录成果一并提交</w:t>
      </w:r>
      <w:r>
        <w:rPr>
          <w:rFonts w:hint="eastAsia"/>
          <w:color w:val="auto"/>
          <w:sz w:val="24"/>
          <w:szCs w:val="24"/>
          <w:lang w:val="en-US" w:eastAsia="zh-CN"/>
        </w:rPr>
        <w:t>省非遗保护中心</w:t>
      </w:r>
      <w:r>
        <w:rPr>
          <w:rFonts w:hint="eastAsia"/>
          <w:color w:val="auto"/>
          <w:sz w:val="24"/>
          <w:szCs w:val="24"/>
          <w:lang w:eastAsia="zh-CN"/>
        </w:rPr>
        <w:t>进行通查验收，</w:t>
      </w:r>
      <w:r>
        <w:rPr>
          <w:rFonts w:hint="eastAsia"/>
          <w:color w:val="auto"/>
          <w:sz w:val="24"/>
          <w:szCs w:val="24"/>
          <w:lang w:val="en-US" w:eastAsia="zh-CN"/>
        </w:rPr>
        <w:t>必须严格保证按照省非遗保护中心要求整改直至验收通过</w:t>
      </w:r>
      <w:r>
        <w:rPr>
          <w:rFonts w:hint="eastAsia"/>
          <w:color w:val="auto"/>
          <w:sz w:val="24"/>
          <w:szCs w:val="24"/>
          <w:lang w:eastAsia="zh-CN"/>
        </w:rPr>
        <w:t>。</w:t>
      </w:r>
    </w:p>
    <w:p>
      <w:pPr>
        <w:numPr>
          <w:ilvl w:val="0"/>
          <w:numId w:val="6"/>
        </w:numPr>
        <w:spacing w:line="360" w:lineRule="auto"/>
        <w:ind w:left="318"/>
        <w:outlineLvl w:val="0"/>
        <w:rPr>
          <w:rFonts w:hint="eastAsia"/>
          <w:b/>
          <w:color w:val="auto"/>
          <w:sz w:val="24"/>
          <w:szCs w:val="24"/>
          <w:lang w:eastAsia="zh-CN"/>
        </w:rPr>
      </w:pPr>
      <w:bookmarkStart w:id="39" w:name="_Toc7643"/>
      <w:r>
        <w:rPr>
          <w:rFonts w:hint="eastAsia"/>
          <w:b/>
          <w:color w:val="auto"/>
          <w:sz w:val="24"/>
          <w:szCs w:val="24"/>
          <w:lang w:eastAsia="zh-CN"/>
        </w:rPr>
        <w:t>记录工作的规范及技术要求</w:t>
      </w:r>
      <w:bookmarkEnd w:id="39"/>
    </w:p>
    <w:p>
      <w:pPr>
        <w:spacing w:line="360" w:lineRule="auto"/>
        <w:ind w:firstLine="480" w:firstLineChars="200"/>
        <w:jc w:val="both"/>
        <w:rPr>
          <w:rFonts w:hint="eastAsia"/>
          <w:color w:val="auto"/>
          <w:sz w:val="24"/>
          <w:szCs w:val="24"/>
          <w:lang w:eastAsia="zh-CN"/>
        </w:rPr>
      </w:pPr>
      <w:r>
        <w:rPr>
          <w:rFonts w:hint="eastAsia"/>
          <w:color w:val="auto"/>
          <w:sz w:val="24"/>
          <w:szCs w:val="24"/>
          <w:lang w:eastAsia="zh-CN"/>
        </w:rPr>
        <w:t>记录工作的规范及技术标准严格按照《文化部关于开展国家级非物质文化遗产代表性传承人抢救性记录工作的通知》（文非遗〔2015〕318号）要求执行。具体参照《国家级非物质文化遗产代表性传承人抢救性记录工程操作指南》（试行本2016年7月）。</w:t>
      </w:r>
    </w:p>
    <w:p>
      <w:pPr>
        <w:pStyle w:val="2"/>
        <w:spacing w:line="360" w:lineRule="auto"/>
        <w:ind w:firstLine="480"/>
        <w:rPr>
          <w:rFonts w:hint="eastAsia"/>
          <w:color w:val="auto"/>
          <w:lang w:eastAsia="zh-CN"/>
        </w:rPr>
      </w:pPr>
      <w:r>
        <w:rPr>
          <w:color w:val="auto"/>
          <w:sz w:val="24"/>
          <w:szCs w:val="24"/>
          <w:lang w:eastAsia="zh-CN"/>
        </w:rPr>
        <w:t>注：此规范可从文化部官网下载</w:t>
      </w:r>
      <w:r>
        <w:rPr>
          <w:rFonts w:hint="eastAsia"/>
          <w:color w:val="auto"/>
          <w:sz w:val="24"/>
          <w:szCs w:val="24"/>
          <w:lang w:eastAsia="zh-CN"/>
        </w:rPr>
        <w:t>。</w:t>
      </w:r>
    </w:p>
    <w:p>
      <w:pPr>
        <w:numPr>
          <w:ilvl w:val="0"/>
          <w:numId w:val="6"/>
        </w:numPr>
        <w:spacing w:line="360" w:lineRule="auto"/>
        <w:ind w:left="318"/>
        <w:outlineLvl w:val="0"/>
        <w:rPr>
          <w:rFonts w:hint="eastAsia"/>
          <w:b/>
          <w:color w:val="auto"/>
          <w:sz w:val="24"/>
          <w:szCs w:val="24"/>
          <w:lang w:eastAsia="zh-CN"/>
        </w:rPr>
      </w:pPr>
      <w:bookmarkStart w:id="40" w:name="_Toc11331"/>
      <w:r>
        <w:rPr>
          <w:rFonts w:hint="eastAsia"/>
          <w:b/>
          <w:color w:val="auto"/>
          <w:sz w:val="24"/>
          <w:szCs w:val="24"/>
          <w:lang w:eastAsia="zh-CN"/>
        </w:rPr>
        <w:t>时间安排</w:t>
      </w:r>
      <w:bookmarkEnd w:id="40"/>
    </w:p>
    <w:p>
      <w:pPr>
        <w:spacing w:line="360" w:lineRule="auto"/>
        <w:ind w:firstLine="482" w:firstLineChars="200"/>
        <w:jc w:val="both"/>
        <w:rPr>
          <w:rFonts w:hint="eastAsia"/>
          <w:b/>
          <w:color w:val="auto"/>
          <w:sz w:val="24"/>
          <w:szCs w:val="24"/>
          <w:lang w:eastAsia="zh-CN"/>
        </w:rPr>
      </w:pPr>
      <w:r>
        <w:rPr>
          <w:rFonts w:hint="eastAsia"/>
          <w:b/>
          <w:color w:val="auto"/>
          <w:sz w:val="24"/>
          <w:szCs w:val="24"/>
          <w:lang w:eastAsia="zh-CN"/>
        </w:rPr>
        <w:t>服务交付时间 ：采购人指定时间</w:t>
      </w:r>
    </w:p>
    <w:p>
      <w:pPr>
        <w:pStyle w:val="3"/>
        <w:rPr>
          <w:rFonts w:hint="eastAsia"/>
          <w:color w:val="auto"/>
          <w:lang w:eastAsia="zh-CN"/>
        </w:rPr>
      </w:pPr>
    </w:p>
    <w:p>
      <w:pPr>
        <w:numPr>
          <w:ilvl w:val="0"/>
          <w:numId w:val="6"/>
        </w:numPr>
        <w:spacing w:line="360" w:lineRule="auto"/>
        <w:ind w:left="318"/>
        <w:outlineLvl w:val="0"/>
        <w:rPr>
          <w:b/>
          <w:color w:val="auto"/>
          <w:sz w:val="24"/>
          <w:szCs w:val="24"/>
          <w:lang w:eastAsia="zh-CN"/>
        </w:rPr>
      </w:pPr>
      <w:bookmarkStart w:id="41" w:name="_Toc5235"/>
      <w:r>
        <w:rPr>
          <w:rFonts w:hint="eastAsia"/>
          <w:b/>
          <w:color w:val="auto"/>
          <w:sz w:val="24"/>
          <w:szCs w:val="24"/>
          <w:lang w:eastAsia="zh-CN"/>
        </w:rPr>
        <w:t>其他注意事项</w:t>
      </w:r>
      <w:bookmarkEnd w:id="41"/>
    </w:p>
    <w:p>
      <w:pPr>
        <w:spacing w:line="360" w:lineRule="auto"/>
        <w:ind w:firstLine="482" w:firstLineChars="200"/>
        <w:jc w:val="both"/>
        <w:rPr>
          <w:rFonts w:hint="eastAsia"/>
          <w:b/>
          <w:bCs/>
          <w:color w:val="auto"/>
          <w:sz w:val="24"/>
          <w:szCs w:val="24"/>
          <w:lang w:eastAsia="zh-CN"/>
        </w:rPr>
      </w:pPr>
      <w:r>
        <w:rPr>
          <w:rFonts w:hint="eastAsia"/>
          <w:b/>
          <w:bCs/>
          <w:color w:val="auto"/>
          <w:sz w:val="24"/>
          <w:szCs w:val="24"/>
          <w:lang w:eastAsia="zh-CN"/>
        </w:rPr>
        <w:t>1.供应商在报价时，应包含项目拍摄期间产生的一切费用：</w:t>
      </w:r>
    </w:p>
    <w:p>
      <w:pPr>
        <w:spacing w:line="360" w:lineRule="auto"/>
        <w:ind w:firstLine="482" w:firstLineChars="200"/>
        <w:jc w:val="both"/>
        <w:rPr>
          <w:rFonts w:hint="eastAsia"/>
          <w:b/>
          <w:bCs/>
          <w:color w:val="auto"/>
          <w:sz w:val="24"/>
          <w:szCs w:val="24"/>
          <w:lang w:eastAsia="zh-CN"/>
        </w:rPr>
      </w:pPr>
      <w:r>
        <w:rPr>
          <w:rFonts w:hint="eastAsia"/>
          <w:b/>
          <w:bCs/>
          <w:color w:val="auto"/>
          <w:sz w:val="24"/>
          <w:szCs w:val="24"/>
          <w:lang w:eastAsia="zh-CN"/>
        </w:rPr>
        <w:t>2.设备准备</w:t>
      </w:r>
    </w:p>
    <w:p>
      <w:pPr>
        <w:pStyle w:val="2"/>
        <w:spacing w:line="360" w:lineRule="auto"/>
        <w:ind w:firstLine="480"/>
        <w:rPr>
          <w:color w:val="auto"/>
          <w:sz w:val="24"/>
          <w:szCs w:val="24"/>
          <w:lang w:eastAsia="zh-CN"/>
        </w:rPr>
      </w:pPr>
      <w:r>
        <w:rPr>
          <w:color w:val="auto"/>
          <w:sz w:val="24"/>
          <w:szCs w:val="24"/>
          <w:lang w:eastAsia="zh-CN"/>
        </w:rPr>
        <w:t>项目负责人、导演、摄像和录音对拍摄的内容进行充分研究后,应共同商议确定所需设备。</w:t>
      </w:r>
    </w:p>
    <w:p>
      <w:pPr>
        <w:spacing w:line="360" w:lineRule="auto"/>
        <w:ind w:firstLine="482" w:firstLineChars="200"/>
        <w:jc w:val="both"/>
        <w:rPr>
          <w:b/>
          <w:bCs/>
          <w:color w:val="auto"/>
          <w:sz w:val="24"/>
          <w:szCs w:val="24"/>
          <w:lang w:eastAsia="zh-CN"/>
        </w:rPr>
      </w:pPr>
      <w:r>
        <w:rPr>
          <w:b/>
          <w:bCs/>
          <w:color w:val="auto"/>
          <w:sz w:val="24"/>
          <w:szCs w:val="24"/>
          <w:lang w:eastAsia="zh-CN"/>
        </w:rPr>
        <w:t>2.1 摄像设备</w:t>
      </w:r>
    </w:p>
    <w:p>
      <w:pPr>
        <w:spacing w:line="360" w:lineRule="auto"/>
        <w:ind w:firstLine="480" w:firstLineChars="200"/>
        <w:jc w:val="both"/>
        <w:rPr>
          <w:color w:val="auto"/>
          <w:sz w:val="24"/>
          <w:szCs w:val="24"/>
          <w:lang w:eastAsia="zh-CN"/>
        </w:rPr>
      </w:pPr>
      <w:r>
        <w:rPr>
          <w:color w:val="auto"/>
          <w:sz w:val="24"/>
          <w:szCs w:val="24"/>
          <w:lang w:eastAsia="zh-CN"/>
        </w:rPr>
        <w:t>应使用高清摄像机进行拍摄,信号应选取PAL制,帧速率为25p。分辨率应不低于 1920×1080,采样率应不低于4:2:2(或所用摄像机的最高采样率),码率应不低于50Mb每秒(或所用摄像机的最高码率)。</w:t>
      </w:r>
    </w:p>
    <w:p>
      <w:pPr>
        <w:spacing w:line="360" w:lineRule="auto"/>
        <w:ind w:firstLine="480" w:firstLineChars="200"/>
        <w:jc w:val="both"/>
        <w:rPr>
          <w:color w:val="auto"/>
          <w:sz w:val="24"/>
          <w:szCs w:val="24"/>
          <w:lang w:eastAsia="zh-CN"/>
        </w:rPr>
      </w:pPr>
      <w:r>
        <w:rPr>
          <w:color w:val="auto"/>
          <w:sz w:val="24"/>
          <w:szCs w:val="24"/>
          <w:lang w:eastAsia="zh-CN"/>
        </w:rPr>
        <w:t xml:space="preserve">如条件允许,可选择某些项目进行 4K 拍摄,或在项目中选取一些特色或重要场景进行4K拍摄。目前可供选择的摄像机型号很多,在《操作指南》中不再对具体型号作出推荐。但是,各工作团队在选择摄像设备时应注意以下问题: </w:t>
      </w:r>
    </w:p>
    <w:p>
      <w:pPr>
        <w:spacing w:line="360" w:lineRule="auto"/>
        <w:ind w:firstLine="480" w:firstLineChars="200"/>
        <w:jc w:val="both"/>
        <w:rPr>
          <w:color w:val="auto"/>
          <w:sz w:val="24"/>
          <w:szCs w:val="24"/>
          <w:lang w:eastAsia="zh-CN"/>
        </w:rPr>
      </w:pPr>
      <w:r>
        <w:rPr>
          <w:color w:val="auto"/>
          <w:sz w:val="24"/>
          <w:szCs w:val="24"/>
          <w:lang w:eastAsia="zh-CN"/>
        </w:rPr>
        <w:t>(1)不建议采用带摄像功能的照相机作为主机进行拍摄,选用广播级而非家用级机型。很多家用摄像机也可达到上述记录指标,但不具备专业摄像机所能提供的各种手动操作和高级功能。</w:t>
      </w:r>
    </w:p>
    <w:p>
      <w:pPr>
        <w:spacing w:line="360" w:lineRule="auto"/>
        <w:ind w:firstLine="480" w:firstLineChars="200"/>
        <w:jc w:val="both"/>
        <w:rPr>
          <w:color w:val="auto"/>
          <w:sz w:val="24"/>
          <w:szCs w:val="24"/>
          <w:lang w:eastAsia="zh-CN"/>
        </w:rPr>
      </w:pPr>
      <w:r>
        <w:rPr>
          <w:color w:val="auto"/>
          <w:sz w:val="24"/>
          <w:szCs w:val="24"/>
          <w:lang w:eastAsia="zh-CN"/>
        </w:rPr>
        <w:t xml:space="preserve">(2)考虑到设备匹配和配件通用问题,建议使用相同品牌、相同型号的设备进行多机拍摄。 </w:t>
      </w:r>
    </w:p>
    <w:p>
      <w:pPr>
        <w:spacing w:line="360" w:lineRule="auto"/>
        <w:ind w:firstLine="480" w:firstLineChars="200"/>
        <w:jc w:val="both"/>
        <w:rPr>
          <w:color w:val="auto"/>
          <w:sz w:val="24"/>
          <w:szCs w:val="24"/>
          <w:lang w:eastAsia="zh-CN"/>
        </w:rPr>
      </w:pPr>
      <w:r>
        <w:rPr>
          <w:color w:val="auto"/>
          <w:sz w:val="24"/>
          <w:szCs w:val="24"/>
          <w:lang w:eastAsia="zh-CN"/>
        </w:rPr>
        <w:t>(3)如使用磁带摄像机,应充分考虑素材带的携带和保存;如使用存储卡摄像机,应准备配套设备(如笔记本电脑、移动硬盘、读卡器等)。</w:t>
      </w:r>
    </w:p>
    <w:p>
      <w:pPr>
        <w:spacing w:line="360" w:lineRule="auto"/>
        <w:ind w:firstLine="480" w:firstLineChars="200"/>
        <w:jc w:val="both"/>
        <w:rPr>
          <w:color w:val="auto"/>
          <w:sz w:val="24"/>
          <w:szCs w:val="24"/>
          <w:lang w:eastAsia="zh-CN"/>
        </w:rPr>
      </w:pPr>
      <w:r>
        <w:rPr>
          <w:color w:val="auto"/>
          <w:sz w:val="24"/>
          <w:szCs w:val="24"/>
          <w:lang w:eastAsia="zh-CN"/>
        </w:rPr>
        <w:t>(4)可按需选取各种拍摄辅助设备(如轨道车、摇臂、监视器等)。</w:t>
      </w:r>
    </w:p>
    <w:p>
      <w:pPr>
        <w:spacing w:line="360" w:lineRule="auto"/>
        <w:ind w:firstLine="482" w:firstLineChars="200"/>
        <w:jc w:val="both"/>
        <w:rPr>
          <w:b/>
          <w:bCs/>
          <w:color w:val="auto"/>
          <w:sz w:val="24"/>
          <w:szCs w:val="24"/>
          <w:lang w:eastAsia="zh-CN"/>
        </w:rPr>
      </w:pPr>
      <w:r>
        <w:rPr>
          <w:b/>
          <w:bCs/>
          <w:color w:val="auto"/>
          <w:sz w:val="24"/>
          <w:szCs w:val="24"/>
          <w:lang w:eastAsia="zh-CN"/>
        </w:rPr>
        <w:t xml:space="preserve">2.2 录音设备 </w:t>
      </w:r>
    </w:p>
    <w:p>
      <w:pPr>
        <w:spacing w:line="360" w:lineRule="auto"/>
        <w:ind w:firstLine="480" w:firstLineChars="200"/>
        <w:jc w:val="both"/>
        <w:rPr>
          <w:color w:val="auto"/>
          <w:sz w:val="24"/>
          <w:szCs w:val="24"/>
          <w:lang w:eastAsia="zh-CN"/>
        </w:rPr>
      </w:pPr>
      <w:r>
        <w:rPr>
          <w:color w:val="auto"/>
          <w:sz w:val="24"/>
          <w:szCs w:val="24"/>
          <w:lang w:eastAsia="zh-CN"/>
        </w:rPr>
        <w:t xml:space="preserve">录音设备按功能一般分为拾音设备(话筒)、调音设备(调音台)和记录设备(录音机)。一种设备可以兼具上述两种甚至全部功能,同时广播级摄像机也具备基本的调音、录音功能。工作团队应在对拍摄内容充分预判的前提下,从以下几个方面入手,选择恰当的录音设备: </w:t>
      </w:r>
    </w:p>
    <w:p>
      <w:pPr>
        <w:spacing w:line="360" w:lineRule="auto"/>
        <w:ind w:firstLine="480" w:firstLineChars="200"/>
        <w:jc w:val="both"/>
        <w:rPr>
          <w:color w:val="auto"/>
          <w:sz w:val="24"/>
          <w:szCs w:val="24"/>
          <w:lang w:eastAsia="zh-CN"/>
        </w:rPr>
      </w:pPr>
      <w:r>
        <w:rPr>
          <w:color w:val="auto"/>
          <w:sz w:val="24"/>
          <w:szCs w:val="24"/>
          <w:lang w:eastAsia="zh-CN"/>
        </w:rPr>
        <w:t xml:space="preserve">(1)一般情况下,应至少准备两套领夹式麦克风用于口述史的录制,一支指向型麦克风用于项目实践片和传承教学片的录制。 </w:t>
      </w:r>
    </w:p>
    <w:p>
      <w:pPr>
        <w:spacing w:line="360" w:lineRule="auto"/>
        <w:ind w:firstLine="480" w:firstLineChars="200"/>
        <w:jc w:val="both"/>
        <w:rPr>
          <w:color w:val="auto"/>
          <w:sz w:val="24"/>
          <w:szCs w:val="24"/>
          <w:lang w:eastAsia="zh-CN"/>
        </w:rPr>
      </w:pPr>
      <w:r>
        <w:rPr>
          <w:color w:val="auto"/>
          <w:sz w:val="24"/>
          <w:szCs w:val="24"/>
          <w:lang w:eastAsia="zh-CN"/>
        </w:rPr>
        <w:t xml:space="preserve">(2)选择合适的拾音设备(话简)进行特殊场合和音源的录制。如录制器乐时,应考虑使用动圈话简;录制大场面的民俗活动和舞台表演时,应考虑在活动区域内架设多支话简。 </w:t>
      </w:r>
    </w:p>
    <w:p>
      <w:pPr>
        <w:spacing w:line="360" w:lineRule="auto"/>
        <w:ind w:firstLine="480" w:firstLineChars="200"/>
        <w:jc w:val="both"/>
        <w:rPr>
          <w:color w:val="auto"/>
          <w:sz w:val="24"/>
          <w:szCs w:val="24"/>
          <w:lang w:eastAsia="zh-CN"/>
        </w:rPr>
      </w:pPr>
      <w:r>
        <w:rPr>
          <w:color w:val="auto"/>
          <w:sz w:val="24"/>
          <w:szCs w:val="24"/>
          <w:lang w:eastAsia="zh-CN"/>
        </w:rPr>
        <w:t xml:space="preserve">(3)一般情况下,可使用记录设备(录音机)自带的简单调音功能进行调音。但戏剧演出、音乐表演等有多路拾音设备同时收音时,应考虑使用单独的调音设备(调音台)。 </w:t>
      </w:r>
    </w:p>
    <w:p>
      <w:pPr>
        <w:spacing w:line="360" w:lineRule="auto"/>
        <w:ind w:firstLine="480" w:firstLineChars="200"/>
        <w:jc w:val="both"/>
        <w:rPr>
          <w:color w:val="auto"/>
          <w:sz w:val="24"/>
          <w:szCs w:val="24"/>
          <w:lang w:eastAsia="zh-CN"/>
        </w:rPr>
      </w:pPr>
      <w:r>
        <w:rPr>
          <w:color w:val="auto"/>
          <w:sz w:val="24"/>
          <w:szCs w:val="24"/>
          <w:lang w:eastAsia="zh-CN"/>
        </w:rPr>
        <w:t xml:space="preserve">(4)一般情况下,可选用单系统进行拍摄,话简拾取的声音(或经调音台)可以直接输入摄像机进行录制。如使用双系统(即声音进入录音机而非摄像机),应处理好前期同步(合板)和多机位匹配问题。 </w:t>
      </w:r>
    </w:p>
    <w:p>
      <w:pPr>
        <w:spacing w:line="360" w:lineRule="auto"/>
        <w:ind w:firstLine="480" w:firstLineChars="200"/>
        <w:jc w:val="both"/>
        <w:rPr>
          <w:color w:val="auto"/>
          <w:sz w:val="24"/>
          <w:szCs w:val="24"/>
          <w:lang w:eastAsia="zh-CN"/>
        </w:rPr>
      </w:pPr>
      <w:r>
        <w:rPr>
          <w:color w:val="auto"/>
          <w:sz w:val="24"/>
          <w:szCs w:val="24"/>
          <w:lang w:eastAsia="zh-CN"/>
        </w:rPr>
        <w:t xml:space="preserve">(5)应准备一台录音机或录音笔,作为备份录制。这些独立的音频文件,也将为后期进行口述史访谈的速录等工作提供方便。 </w:t>
      </w:r>
    </w:p>
    <w:p>
      <w:pPr>
        <w:spacing w:line="360" w:lineRule="auto"/>
        <w:ind w:firstLine="480" w:firstLineChars="200"/>
        <w:jc w:val="both"/>
        <w:rPr>
          <w:color w:val="auto"/>
          <w:sz w:val="24"/>
          <w:szCs w:val="24"/>
          <w:lang w:eastAsia="zh-CN"/>
        </w:rPr>
      </w:pPr>
      <w:r>
        <w:rPr>
          <w:color w:val="auto"/>
          <w:sz w:val="24"/>
          <w:szCs w:val="24"/>
          <w:lang w:eastAsia="zh-CN"/>
        </w:rPr>
        <w:t>(6)不论是双系统中的录音机、还是备份录制用的录音机或录音笔,都应使用该设备所能提供的最高格式(一般是 WAV )和最高码率进行录制。</w:t>
      </w:r>
    </w:p>
    <w:p>
      <w:pPr>
        <w:spacing w:line="360" w:lineRule="auto"/>
        <w:ind w:firstLine="480" w:firstLineChars="200"/>
        <w:jc w:val="both"/>
        <w:rPr>
          <w:color w:val="auto"/>
          <w:sz w:val="24"/>
          <w:szCs w:val="24"/>
          <w:lang w:eastAsia="zh-CN"/>
        </w:rPr>
      </w:pPr>
      <w:r>
        <w:rPr>
          <w:color w:val="auto"/>
          <w:sz w:val="24"/>
          <w:szCs w:val="24"/>
          <w:lang w:eastAsia="zh-CN"/>
        </w:rPr>
        <w:t>(7)摄像机应使用内置或自带麦克风保留一路参考音。</w:t>
      </w:r>
    </w:p>
    <w:p>
      <w:pPr>
        <w:spacing w:line="360" w:lineRule="auto"/>
        <w:ind w:firstLine="480" w:firstLineChars="200"/>
        <w:jc w:val="both"/>
        <w:rPr>
          <w:color w:val="auto"/>
          <w:sz w:val="24"/>
          <w:szCs w:val="24"/>
          <w:lang w:eastAsia="zh-CN"/>
        </w:rPr>
      </w:pPr>
      <w:r>
        <w:rPr>
          <w:color w:val="auto"/>
          <w:sz w:val="24"/>
          <w:szCs w:val="24"/>
          <w:lang w:eastAsia="zh-CN"/>
        </w:rPr>
        <w:t>(8)准备好充足的配件(如防风罩、话筒杆、电池、存储卡等)。</w:t>
      </w:r>
    </w:p>
    <w:p>
      <w:pPr>
        <w:spacing w:line="360" w:lineRule="auto"/>
        <w:ind w:firstLine="482" w:firstLineChars="200"/>
        <w:jc w:val="both"/>
        <w:rPr>
          <w:color w:val="auto"/>
          <w:sz w:val="24"/>
          <w:szCs w:val="24"/>
          <w:lang w:eastAsia="zh-CN"/>
        </w:rPr>
      </w:pPr>
      <w:r>
        <w:rPr>
          <w:b/>
          <w:bCs/>
          <w:color w:val="auto"/>
          <w:sz w:val="24"/>
          <w:szCs w:val="24"/>
          <w:lang w:eastAsia="zh-CN"/>
        </w:rPr>
        <w:t>2.3 照相设备</w:t>
      </w:r>
      <w:r>
        <w:rPr>
          <w:color w:val="auto"/>
          <w:sz w:val="24"/>
          <w:szCs w:val="24"/>
          <w:lang w:eastAsia="zh-CN"/>
        </w:rPr>
        <w:t xml:space="preserve"> </w:t>
      </w:r>
    </w:p>
    <w:p>
      <w:pPr>
        <w:spacing w:line="360" w:lineRule="auto"/>
        <w:ind w:firstLine="480" w:firstLineChars="200"/>
        <w:jc w:val="both"/>
        <w:rPr>
          <w:color w:val="auto"/>
          <w:sz w:val="24"/>
          <w:szCs w:val="24"/>
          <w:lang w:eastAsia="zh-CN"/>
        </w:rPr>
      </w:pPr>
      <w:r>
        <w:rPr>
          <w:color w:val="auto"/>
          <w:sz w:val="24"/>
          <w:szCs w:val="24"/>
          <w:lang w:eastAsia="zh-CN"/>
        </w:rPr>
        <w:t xml:space="preserve">应选用可更换镜头的专业级相机和一套完整焦段的镜头作为照相设备。记录格式应为 RAW 格式,图像尺寸应为该机型所能记录的最大尺寸。充分准备好三脚架、存储卡、滤镜、电池、闪光灯等配件。如选用可换镜头的摄像机,建议选用可通用镜头的照相机以优化设备总量。 </w:t>
      </w:r>
    </w:p>
    <w:p>
      <w:pPr>
        <w:spacing w:line="360" w:lineRule="auto"/>
        <w:ind w:firstLine="482" w:firstLineChars="200"/>
        <w:jc w:val="both"/>
        <w:rPr>
          <w:color w:val="auto"/>
          <w:sz w:val="24"/>
          <w:szCs w:val="24"/>
          <w:lang w:eastAsia="zh-CN"/>
        </w:rPr>
      </w:pPr>
      <w:r>
        <w:rPr>
          <w:b/>
          <w:bCs/>
          <w:color w:val="auto"/>
          <w:sz w:val="24"/>
          <w:szCs w:val="24"/>
          <w:lang w:eastAsia="zh-CN"/>
        </w:rPr>
        <w:t>2.4 后期设备</w:t>
      </w:r>
      <w:r>
        <w:rPr>
          <w:color w:val="auto"/>
          <w:sz w:val="24"/>
          <w:szCs w:val="24"/>
          <w:lang w:eastAsia="zh-CN"/>
        </w:rPr>
        <w:t xml:space="preserve"> </w:t>
      </w:r>
    </w:p>
    <w:p>
      <w:pPr>
        <w:spacing w:line="360" w:lineRule="auto"/>
        <w:ind w:firstLine="480" w:firstLineChars="200"/>
        <w:jc w:val="both"/>
        <w:rPr>
          <w:color w:val="auto"/>
          <w:sz w:val="24"/>
          <w:szCs w:val="24"/>
          <w:lang w:eastAsia="zh-CN"/>
        </w:rPr>
      </w:pPr>
      <w:r>
        <w:rPr>
          <w:color w:val="auto"/>
          <w:sz w:val="24"/>
          <w:szCs w:val="24"/>
          <w:lang w:eastAsia="zh-CN"/>
        </w:rPr>
        <w:t xml:space="preserve">后期设备与软件平台的选择,与前期设备的选择具有同等的重要性。在后期设备的选择上,应考虑以下几点: </w:t>
      </w:r>
    </w:p>
    <w:p>
      <w:pPr>
        <w:spacing w:line="360" w:lineRule="auto"/>
        <w:ind w:firstLine="480" w:firstLineChars="200"/>
        <w:jc w:val="both"/>
        <w:rPr>
          <w:color w:val="auto"/>
          <w:sz w:val="24"/>
          <w:szCs w:val="24"/>
          <w:lang w:eastAsia="zh-CN"/>
        </w:rPr>
      </w:pPr>
      <w:r>
        <w:rPr>
          <w:color w:val="auto"/>
          <w:sz w:val="24"/>
          <w:szCs w:val="24"/>
          <w:lang w:eastAsia="zh-CN"/>
        </w:rPr>
        <w:t xml:space="preserve">(1)应选择较为通用的剪辑软件,如Apple Final Cut 和Adobe PremierePro ,以便后续的修改和使用。 </w:t>
      </w:r>
    </w:p>
    <w:p>
      <w:pPr>
        <w:spacing w:line="360" w:lineRule="auto"/>
        <w:ind w:firstLine="480" w:firstLineChars="200"/>
        <w:jc w:val="both"/>
        <w:rPr>
          <w:color w:val="auto"/>
          <w:sz w:val="24"/>
          <w:szCs w:val="24"/>
          <w:lang w:eastAsia="zh-CN"/>
        </w:rPr>
      </w:pPr>
      <w:r>
        <w:rPr>
          <w:color w:val="auto"/>
          <w:sz w:val="24"/>
          <w:szCs w:val="24"/>
          <w:lang w:eastAsia="zh-CN"/>
        </w:rPr>
        <w:t xml:space="preserve">(2)剪辑软件的选择应考虑与摄像机录制格式相匹配,可直接导入素材,而无需转码或生成代理文件,从而提高后期效率。 </w:t>
      </w:r>
    </w:p>
    <w:p>
      <w:pPr>
        <w:spacing w:line="360" w:lineRule="auto"/>
        <w:ind w:firstLine="480" w:firstLineChars="200"/>
        <w:jc w:val="both"/>
        <w:rPr>
          <w:color w:val="auto"/>
          <w:sz w:val="24"/>
          <w:szCs w:val="24"/>
          <w:lang w:eastAsia="zh-CN"/>
        </w:rPr>
      </w:pPr>
      <w:r>
        <w:rPr>
          <w:color w:val="auto"/>
          <w:sz w:val="24"/>
          <w:szCs w:val="24"/>
          <w:lang w:eastAsia="zh-CN"/>
        </w:rPr>
        <w:t>(3)不可将素材备份盘直接作为剪辑盘使用,应单独准备空间足够的硬盘作为剪辑盘挂机剪辑,备份盘只负责素材读取之用,以确保数据安全。</w:t>
      </w:r>
    </w:p>
    <w:p>
      <w:pPr>
        <w:pStyle w:val="3"/>
        <w:rPr>
          <w:color w:val="auto"/>
        </w:rPr>
      </w:pPr>
    </w:p>
    <w:p>
      <w:pPr>
        <w:pStyle w:val="3"/>
        <w:rPr>
          <w:color w:val="auto"/>
        </w:rPr>
      </w:pPr>
    </w:p>
    <w:p>
      <w:pPr>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4"/>
        <w:numPr>
          <w:ilvl w:val="0"/>
          <w:numId w:val="7"/>
        </w:numPr>
        <w:spacing w:line="360" w:lineRule="auto"/>
        <w:jc w:val="center"/>
        <w:rPr>
          <w:rFonts w:ascii="宋体" w:hAnsi="宋体" w:cs="宋体"/>
          <w:color w:val="auto"/>
        </w:rPr>
      </w:pPr>
      <w:r>
        <w:rPr>
          <w:rFonts w:hint="eastAsia" w:ascii="宋体" w:hAnsi="宋体" w:cs="宋体"/>
          <w:color w:val="auto"/>
        </w:rPr>
        <w:t xml:space="preserve"> </w:t>
      </w:r>
      <w:bookmarkStart w:id="42" w:name="_Toc27922"/>
      <w:r>
        <w:rPr>
          <w:rFonts w:hint="eastAsia" w:ascii="宋体" w:hAnsi="宋体" w:cs="宋体"/>
          <w:color w:val="auto"/>
        </w:rPr>
        <w:t>磋商响应文件格</w:t>
      </w:r>
      <w:bookmarkEnd w:id="30"/>
      <w:bookmarkEnd w:id="31"/>
      <w:bookmarkEnd w:id="32"/>
      <w:bookmarkEnd w:id="36"/>
      <w:r>
        <w:rPr>
          <w:rFonts w:hint="eastAsia" w:ascii="宋体" w:hAnsi="宋体" w:cs="宋体"/>
          <w:color w:val="auto"/>
        </w:rPr>
        <w:t>式</w:t>
      </w:r>
      <w:bookmarkEnd w:id="42"/>
    </w:p>
    <w:p>
      <w:pPr>
        <w:spacing w:after="160" w:line="360" w:lineRule="auto"/>
        <w:rPr>
          <w:rFonts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2"/>
        <w:rPr>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vAlign w:val="center"/>
          </w:tcPr>
          <w:p>
            <w:pPr>
              <w:spacing w:after="100" w:line="360" w:lineRule="auto"/>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color w:val="auto"/>
                <w:sz w:val="24"/>
              </w:rPr>
            </w:pPr>
            <w:r>
              <w:rPr>
                <w:rFonts w:hint="eastAsia" w:ascii="宋体" w:hAnsi="宋体" w:cs="宋体"/>
                <w:color w:val="auto"/>
                <w:sz w:val="24"/>
              </w:rPr>
              <w:t>投 标 人：</w:t>
            </w:r>
          </w:p>
        </w:tc>
        <w:tc>
          <w:tcPr>
            <w:tcW w:w="5031"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after="100" w:line="360" w:lineRule="auto"/>
        <w:rPr>
          <w:rFonts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539" w:type="dxa"/>
            <w:vAlign w:val="center"/>
          </w:tcPr>
          <w:p>
            <w:pPr>
              <w:spacing w:after="100" w:line="360" w:lineRule="auto"/>
              <w:rPr>
                <w:rFonts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color w:val="auto"/>
                <w:sz w:val="24"/>
              </w:rPr>
            </w:pPr>
            <w:r>
              <w:rPr>
                <w:rFonts w:hint="eastAsia" w:ascii="宋体" w:hAnsi="宋体" w:cs="宋体"/>
                <w:color w:val="auto"/>
                <w:sz w:val="24"/>
              </w:rPr>
              <w:t>投 标 人：</w:t>
            </w:r>
          </w:p>
        </w:tc>
        <w:tc>
          <w:tcPr>
            <w:tcW w:w="4539"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line="360" w:lineRule="auto"/>
        <w:rPr>
          <w:rFonts w:ascii="宋体" w:hAnsi="宋体" w:cs="宋体"/>
          <w:b/>
          <w:color w:val="auto"/>
          <w:sz w:val="30"/>
          <w:szCs w:val="30"/>
        </w:rPr>
      </w:pPr>
      <w:bookmarkStart w:id="43" w:name="_Toc60421814"/>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pStyle w:val="35"/>
        <w:rPr>
          <w:rFonts w:ascii="宋体" w:hAnsi="宋体" w:cs="宋体"/>
          <w:b/>
          <w:color w:val="auto"/>
          <w:sz w:val="30"/>
          <w:szCs w:val="30"/>
        </w:rPr>
      </w:pPr>
    </w:p>
    <w:p>
      <w:pPr>
        <w:pStyle w:val="35"/>
        <w:rPr>
          <w:rFonts w:ascii="宋体" w:hAnsi="宋体" w:cs="宋体"/>
          <w:b/>
          <w:color w:val="auto"/>
          <w:sz w:val="30"/>
          <w:szCs w:val="30"/>
        </w:rPr>
      </w:pPr>
    </w:p>
    <w:p>
      <w:pPr>
        <w:pStyle w:val="35"/>
        <w:rPr>
          <w:rFonts w:ascii="宋体" w:hAnsi="宋体" w:cs="宋体"/>
          <w:b/>
          <w:color w:val="auto"/>
          <w:sz w:val="30"/>
          <w:szCs w:val="30"/>
        </w:rPr>
      </w:pPr>
    </w:p>
    <w:p>
      <w:pPr>
        <w:pStyle w:val="35"/>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r>
        <w:rPr>
          <w:rFonts w:hint="eastAsia" w:ascii="宋体" w:hAnsi="宋体" w:cs="宋体"/>
          <w:b/>
          <w:color w:val="auto"/>
          <w:sz w:val="30"/>
          <w:szCs w:val="30"/>
        </w:rPr>
        <w:t>格式二  报价格式</w:t>
      </w:r>
    </w:p>
    <w:p>
      <w:pPr>
        <w:spacing w:line="360" w:lineRule="auto"/>
        <w:rPr>
          <w:rFonts w:ascii="宋体" w:cs="宋体"/>
          <w:b/>
          <w:color w:val="auto"/>
          <w:szCs w:val="21"/>
        </w:rPr>
      </w:pPr>
      <w:r>
        <w:rPr>
          <w:rFonts w:hint="eastAsia" w:ascii="宋体" w:hAnsi="宋体" w:cs="宋体"/>
          <w:b/>
          <w:color w:val="auto"/>
          <w:szCs w:val="21"/>
        </w:rPr>
        <w:t>1、报价一览表格式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报价一览表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032"/>
        <w:gridCol w:w="1972"/>
        <w:gridCol w:w="6677"/>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2032"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972"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6677"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2626"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PrEx>
        <w:trPr>
          <w:cantSplit/>
          <w:trHeight w:val="531" w:hRule="atLeast"/>
        </w:trPr>
        <w:tc>
          <w:tcPr>
            <w:tcW w:w="851" w:type="dxa"/>
          </w:tcPr>
          <w:p>
            <w:pPr>
              <w:spacing w:line="360" w:lineRule="auto"/>
              <w:rPr>
                <w:rFonts w:ascii="宋体" w:hAnsi="宋体" w:cs="仿宋"/>
                <w:color w:val="auto"/>
              </w:rPr>
            </w:pPr>
            <w:r>
              <w:rPr>
                <w:rFonts w:hint="eastAsia" w:ascii="宋体" w:hAnsi="宋体" w:cs="仿宋"/>
                <w:color w:val="auto"/>
              </w:rPr>
              <w:t>合计</w:t>
            </w:r>
          </w:p>
        </w:tc>
        <w:tc>
          <w:tcPr>
            <w:tcW w:w="13307" w:type="dxa"/>
            <w:gridSpan w:val="4"/>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注：</w:t>
      </w:r>
      <w:r>
        <w:rPr>
          <w:rFonts w:ascii="宋体" w:hAnsi="宋体" w:cs="宋体"/>
          <w:color w:val="auto"/>
          <w:szCs w:val="21"/>
        </w:rPr>
        <w:t xml:space="preserve"> </w:t>
      </w:r>
      <w:r>
        <w:rPr>
          <w:rFonts w:hint="eastAsia" w:ascii="宋体" w:hAnsi="宋体" w:cs="宋体"/>
          <w:color w:val="auto"/>
          <w:szCs w:val="21"/>
        </w:rPr>
        <w:t>此开标信应按“投标人须知”的规定密封标记密封单独提交。此表每一包一份，单独分开递交。</w:t>
      </w:r>
    </w:p>
    <w:p>
      <w:pPr>
        <w:spacing w:line="360" w:lineRule="auto"/>
        <w:rPr>
          <w:rFonts w:ascii="宋体" w:cs="宋体"/>
          <w:color w:val="auto"/>
          <w:szCs w:val="21"/>
        </w:rPr>
      </w:pPr>
      <w:r>
        <w:rPr>
          <w:rFonts w:hint="eastAsia" w:ascii="宋体" w:hAnsi="宋体" w:cs="宋体"/>
          <w:color w:val="auto"/>
          <w:szCs w:val="21"/>
        </w:rPr>
        <w:t>单独提交“开标一览表”为多页的，每页均需由法定代表人或委托代理人签字并盖投标人印章，并必须装订，否则为无效投标。</w:t>
      </w:r>
    </w:p>
    <w:p>
      <w:pPr>
        <w:spacing w:line="360" w:lineRule="auto"/>
        <w:rPr>
          <w:rFonts w:hint="eastAsia" w:ascii="宋体" w:hAnsi="宋体" w:cs="宋体"/>
          <w:color w:val="auto"/>
          <w:szCs w:val="21"/>
        </w:rPr>
      </w:pPr>
      <w:r>
        <w:rPr>
          <w:rFonts w:hint="eastAsia" w:ascii="宋体" w:hAnsi="宋体" w:cs="宋体"/>
          <w:color w:val="auto"/>
          <w:szCs w:val="21"/>
        </w:rPr>
        <w:t>投标价格含屏体、控制系统、外围设备、钢结构、不锈钢包边、物流、搬运、安装等为完成该项目及投入正常使用的所有费用。</w:t>
      </w:r>
    </w:p>
    <w:p>
      <w:pPr>
        <w:pStyle w:val="35"/>
        <w:rPr>
          <w:rFonts w:hint="eastAsia" w:ascii="宋体" w:hAnsi="宋体" w:cs="宋体"/>
          <w:color w:val="auto"/>
          <w:szCs w:val="21"/>
        </w:rPr>
      </w:pPr>
    </w:p>
    <w:p>
      <w:pPr>
        <w:pStyle w:val="35"/>
        <w:rPr>
          <w:rFonts w:hint="eastAsia" w:ascii="宋体" w:hAnsi="宋体" w:cs="宋体"/>
          <w:color w:val="auto"/>
          <w:szCs w:val="21"/>
        </w:rPr>
      </w:pPr>
    </w:p>
    <w:p>
      <w:pPr>
        <w:spacing w:line="360" w:lineRule="auto"/>
        <w:rPr>
          <w:rFonts w:ascii="宋体" w:cs="宋体"/>
          <w:color w:val="auto"/>
          <w:szCs w:val="21"/>
        </w:rPr>
      </w:pPr>
    </w:p>
    <w:p>
      <w:pPr>
        <w:spacing w:line="360" w:lineRule="auto"/>
        <w:rPr>
          <w:rFonts w:ascii="宋体" w:cs="宋体"/>
          <w:b/>
          <w:color w:val="auto"/>
          <w:szCs w:val="21"/>
        </w:rPr>
      </w:pPr>
      <w:r>
        <w:rPr>
          <w:rFonts w:hint="eastAsia" w:ascii="宋体" w:hAnsi="宋体" w:cs="宋体"/>
          <w:b/>
          <w:color w:val="auto"/>
          <w:szCs w:val="21"/>
        </w:rPr>
        <w:t>2、投标报价明细表格式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投标报价明细表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p>
      <w:pPr>
        <w:spacing w:line="360" w:lineRule="auto"/>
        <w:rPr>
          <w:rFonts w:ascii="宋体" w:cs="宋体"/>
          <w:color w:val="auto"/>
          <w:szCs w:val="21"/>
        </w:rPr>
      </w:pPr>
      <w:r>
        <w:rPr>
          <w:rFonts w:hint="eastAsia" w:ascii="宋体" w:hAnsi="宋体" w:cs="宋体"/>
          <w:color w:val="auto"/>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4123"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703" w:type="dxa"/>
            <w:tcBorders>
              <w:righ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投标单价（元）</w:t>
            </w:r>
          </w:p>
        </w:tc>
        <w:tc>
          <w:tcPr>
            <w:tcW w:w="1561" w:type="dxa"/>
            <w:tcBorders>
              <w:lef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数量</w:t>
            </w:r>
          </w:p>
        </w:tc>
        <w:tc>
          <w:tcPr>
            <w:tcW w:w="2271"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170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1278"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color w:val="auto"/>
              </w:rPr>
            </w:pPr>
            <w:r>
              <w:rPr>
                <w:rFonts w:hint="eastAsia" w:ascii="宋体" w:hAnsi="宋体" w:cs="仿宋"/>
                <w:color w:val="auto"/>
              </w:rPr>
              <w:t>1</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2</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3</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4</w:t>
            </w:r>
          </w:p>
        </w:tc>
        <w:tc>
          <w:tcPr>
            <w:tcW w:w="4123" w:type="dxa"/>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5</w:t>
            </w:r>
          </w:p>
        </w:tc>
        <w:tc>
          <w:tcPr>
            <w:tcW w:w="4123" w:type="dxa"/>
          </w:tcPr>
          <w:p>
            <w:pPr>
              <w:spacing w:line="360" w:lineRule="auto"/>
              <w:jc w:val="center"/>
              <w:rPr>
                <w:rFonts w:ascii="宋体" w:hAnsi="宋体" w:cs="仿宋"/>
                <w:color w:val="auto"/>
              </w:rPr>
            </w:pPr>
            <w:r>
              <w:rPr>
                <w:rFonts w:hint="eastAsia" w:ascii="宋体" w:hAnsi="宋体" w:cs="仿宋"/>
                <w:color w:val="auto"/>
              </w:rPr>
              <w:t>..........</w:t>
            </w: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color w:val="auto"/>
              </w:rPr>
            </w:pPr>
            <w:r>
              <w:rPr>
                <w:rFonts w:hint="eastAsia" w:ascii="宋体" w:hAnsi="宋体" w:cs="仿宋"/>
                <w:color w:val="auto"/>
              </w:rPr>
              <w:t>合计</w:t>
            </w:r>
          </w:p>
        </w:tc>
        <w:tc>
          <w:tcPr>
            <w:tcW w:w="11361" w:type="dxa"/>
            <w:gridSpan w:val="5"/>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color w:val="auto"/>
              </w:rPr>
            </w:pP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说明：</w:t>
      </w:r>
      <w:r>
        <w:rPr>
          <w:rFonts w:ascii="宋体" w:hAnsi="宋体" w:cs="宋体"/>
          <w:color w:val="auto"/>
          <w:szCs w:val="21"/>
        </w:rPr>
        <w:t>1.</w:t>
      </w:r>
      <w:r>
        <w:rPr>
          <w:rFonts w:hint="eastAsia" w:ascii="宋体" w:hAnsi="宋体" w:cs="宋体"/>
          <w:color w:val="auto"/>
          <w:szCs w:val="21"/>
        </w:rPr>
        <w:t>投标人必须按“报价明细表”的格式详细报出投标总价的各个组成部分的报价，否则作无效投标处理。</w:t>
      </w:r>
    </w:p>
    <w:p>
      <w:pPr>
        <w:spacing w:line="360" w:lineRule="auto"/>
        <w:rPr>
          <w:rFonts w:ascii="宋体" w:cs="宋体"/>
          <w:color w:val="auto"/>
          <w:szCs w:val="21"/>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r>
        <w:rPr>
          <w:rFonts w:ascii="宋体" w:hAnsi="宋体" w:cs="宋体"/>
          <w:color w:val="auto"/>
          <w:szCs w:val="21"/>
        </w:rPr>
        <w:t>2.</w:t>
      </w:r>
      <w:r>
        <w:rPr>
          <w:rFonts w:hint="eastAsia" w:ascii="宋体" w:hAnsi="宋体" w:cs="宋体"/>
          <w:color w:val="auto"/>
          <w:szCs w:val="21"/>
        </w:rPr>
        <w:t>“报价明细表”各分项报价合计应当与“开标一览表”报价合计相等</w:t>
      </w:r>
    </w:p>
    <w:p>
      <w:pPr>
        <w:spacing w:line="360" w:lineRule="auto"/>
        <w:rPr>
          <w:rFonts w:ascii="宋体" w:hAnsi="宋体" w:cs="宋体"/>
          <w:b/>
          <w:color w:val="auto"/>
          <w:sz w:val="28"/>
          <w:szCs w:val="28"/>
        </w:rPr>
      </w:pPr>
    </w:p>
    <w:p>
      <w:pPr>
        <w:spacing w:line="360" w:lineRule="auto"/>
        <w:rPr>
          <w:rFonts w:ascii="宋体" w:hAnsi="宋体" w:cs="宋体"/>
          <w:b/>
          <w:color w:val="auto"/>
          <w:sz w:val="28"/>
          <w:szCs w:val="28"/>
        </w:rPr>
      </w:pPr>
      <w:r>
        <w:rPr>
          <w:rFonts w:hint="eastAsia" w:ascii="宋体" w:hAnsi="宋体" w:cs="宋体"/>
          <w:b/>
          <w:color w:val="auto"/>
          <w:sz w:val="28"/>
          <w:szCs w:val="28"/>
        </w:rPr>
        <w:t>格式三</w:t>
      </w:r>
      <w:bookmarkEnd w:id="43"/>
      <w:r>
        <w:rPr>
          <w:rFonts w:hint="eastAsia" w:ascii="宋体" w:hAnsi="宋体" w:cs="宋体"/>
          <w:b/>
          <w:color w:val="auto"/>
          <w:sz w:val="28"/>
          <w:szCs w:val="28"/>
        </w:rPr>
        <w:t xml:space="preserve">  投标函格式</w:t>
      </w:r>
    </w:p>
    <w:p>
      <w:pPr>
        <w:spacing w:line="360" w:lineRule="auto"/>
        <w:jc w:val="center"/>
        <w:rPr>
          <w:rFonts w:ascii="宋体" w:hAnsi="宋体" w:cs="宋体"/>
          <w:b/>
          <w:bCs/>
          <w:color w:val="auto"/>
          <w:sz w:val="28"/>
        </w:rPr>
      </w:pPr>
      <w:r>
        <w:rPr>
          <w:rFonts w:hint="eastAsia" w:ascii="宋体" w:hAnsi="宋体" w:cs="宋体"/>
          <w:b/>
          <w:bCs/>
          <w:color w:val="auto"/>
          <w:sz w:val="28"/>
        </w:rPr>
        <w:t>投     标     函</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致：兰州职业技术学院 </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根据你方磋商项目编号为 </w:t>
      </w:r>
      <w:r>
        <w:rPr>
          <w:rFonts w:hint="eastAsia" w:ascii="宋体" w:hAnsi="宋体" w:cs="宋体"/>
          <w:color w:val="auto"/>
          <w:szCs w:val="21"/>
          <w:u w:val="single"/>
        </w:rPr>
        <w:t xml:space="preserve">             </w:t>
      </w:r>
      <w:r>
        <w:rPr>
          <w:rFonts w:hint="eastAsia" w:ascii="宋体" w:hAnsi="宋体" w:cs="宋体"/>
          <w:color w:val="auto"/>
          <w:szCs w:val="21"/>
        </w:rPr>
        <w:t>的</w:t>
      </w:r>
      <w:r>
        <w:rPr>
          <w:rFonts w:hint="eastAsia" w:ascii="宋体" w:hAnsi="宋体" w:cs="宋体"/>
          <w:color w:val="auto"/>
          <w:szCs w:val="21"/>
          <w:u w:val="single"/>
        </w:rPr>
        <w:t xml:space="preserve">           </w:t>
      </w:r>
      <w:r>
        <w:rPr>
          <w:rFonts w:hint="eastAsia" w:ascii="宋体" w:hAnsi="宋体" w:cs="宋体"/>
          <w:color w:val="auto"/>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color w:val="auto"/>
          <w:szCs w:val="21"/>
        </w:rPr>
      </w:pPr>
      <w:r>
        <w:rPr>
          <w:rFonts w:hint="eastAsia" w:ascii="宋体" w:hAnsi="宋体" w:cs="宋体"/>
          <w:color w:val="auto"/>
          <w:szCs w:val="21"/>
        </w:rPr>
        <w:t>在此提交的磋商响应文件，正本一份，副本二份，报价信封一份,电子文本一份。包括如下等内容：</w:t>
      </w:r>
    </w:p>
    <w:p>
      <w:pPr>
        <w:numPr>
          <w:ilvl w:val="0"/>
          <w:numId w:val="8"/>
        </w:numPr>
        <w:spacing w:line="360" w:lineRule="auto"/>
        <w:rPr>
          <w:rFonts w:ascii="宋体" w:hAnsi="宋体" w:cs="宋体"/>
          <w:color w:val="auto"/>
          <w:szCs w:val="21"/>
        </w:rPr>
      </w:pPr>
      <w:r>
        <w:rPr>
          <w:rFonts w:hint="eastAsia" w:ascii="宋体" w:hAnsi="宋体" w:cs="宋体"/>
          <w:color w:val="auto"/>
          <w:szCs w:val="21"/>
        </w:rPr>
        <w:t>报价一览表；</w:t>
      </w:r>
    </w:p>
    <w:p>
      <w:pPr>
        <w:numPr>
          <w:ilvl w:val="0"/>
          <w:numId w:val="8"/>
        </w:numPr>
        <w:spacing w:line="360" w:lineRule="auto"/>
        <w:rPr>
          <w:rFonts w:ascii="宋体" w:hAnsi="宋体" w:cs="宋体"/>
          <w:color w:val="auto"/>
          <w:szCs w:val="21"/>
        </w:rPr>
      </w:pPr>
      <w:r>
        <w:rPr>
          <w:rFonts w:hint="eastAsia" w:ascii="宋体" w:hAnsi="宋体" w:cs="宋体"/>
          <w:color w:val="auto"/>
          <w:szCs w:val="21"/>
        </w:rPr>
        <w:t>技术说明文件；</w:t>
      </w:r>
    </w:p>
    <w:p>
      <w:pPr>
        <w:numPr>
          <w:ilvl w:val="0"/>
          <w:numId w:val="8"/>
        </w:numPr>
        <w:spacing w:line="360" w:lineRule="auto"/>
        <w:rPr>
          <w:rFonts w:ascii="宋体" w:hAnsi="宋体" w:cs="宋体"/>
          <w:color w:val="auto"/>
          <w:szCs w:val="21"/>
        </w:rPr>
      </w:pPr>
      <w:r>
        <w:rPr>
          <w:rFonts w:hint="eastAsia" w:ascii="宋体" w:hAnsi="宋体" w:cs="宋体"/>
          <w:color w:val="auto"/>
          <w:szCs w:val="21"/>
        </w:rPr>
        <w:t>资格证明文件；</w:t>
      </w:r>
    </w:p>
    <w:p>
      <w:pPr>
        <w:numPr>
          <w:ilvl w:val="0"/>
          <w:numId w:val="8"/>
        </w:numPr>
        <w:spacing w:line="360" w:lineRule="auto"/>
        <w:rPr>
          <w:rFonts w:ascii="宋体" w:hAnsi="宋体" w:cs="宋体"/>
          <w:color w:val="auto"/>
          <w:szCs w:val="21"/>
        </w:rPr>
      </w:pPr>
      <w:r>
        <w:rPr>
          <w:rFonts w:hint="eastAsia" w:ascii="宋体" w:hAnsi="宋体" w:cs="宋体"/>
          <w:color w:val="auto"/>
          <w:szCs w:val="21"/>
        </w:rPr>
        <w:t>法人授权书；</w:t>
      </w:r>
    </w:p>
    <w:p>
      <w:pPr>
        <w:numPr>
          <w:ilvl w:val="0"/>
          <w:numId w:val="8"/>
        </w:numPr>
        <w:spacing w:line="360" w:lineRule="auto"/>
        <w:rPr>
          <w:rFonts w:ascii="宋体" w:hAnsi="宋体" w:cs="宋体"/>
          <w:color w:val="auto"/>
          <w:szCs w:val="21"/>
        </w:rPr>
      </w:pPr>
      <w:r>
        <w:rPr>
          <w:rFonts w:hint="eastAsia" w:ascii="宋体" w:hAnsi="宋体" w:cs="宋体"/>
          <w:color w:val="auto"/>
          <w:szCs w:val="21"/>
        </w:rPr>
        <w:t>其他。</w:t>
      </w:r>
    </w:p>
    <w:p>
      <w:pPr>
        <w:spacing w:line="360" w:lineRule="auto"/>
        <w:rPr>
          <w:rFonts w:ascii="宋体" w:hAnsi="宋体" w:cs="宋体"/>
          <w:color w:val="auto"/>
          <w:szCs w:val="21"/>
        </w:rPr>
      </w:pPr>
      <w:r>
        <w:rPr>
          <w:rFonts w:hint="eastAsia" w:ascii="宋体" w:hAnsi="宋体" w:cs="宋体"/>
          <w:color w:val="auto"/>
          <w:szCs w:val="21"/>
        </w:rPr>
        <w:t xml:space="preserve">   我方已完全明白磋商文件的所有条款要求，并重申以下几点：</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我方决定参加：磋商编号为</w:t>
      </w:r>
      <w:r>
        <w:rPr>
          <w:rFonts w:hint="eastAsia" w:ascii="宋体" w:hAnsi="宋体" w:cs="宋体"/>
          <w:b/>
          <w:bCs/>
          <w:color w:val="auto"/>
          <w:szCs w:val="21"/>
          <w:u w:val="single"/>
        </w:rPr>
        <w:t xml:space="preserve">                       </w:t>
      </w:r>
      <w:r>
        <w:rPr>
          <w:rFonts w:hint="eastAsia" w:ascii="宋体" w:hAnsi="宋体" w:cs="宋体"/>
          <w:color w:val="auto"/>
          <w:szCs w:val="21"/>
        </w:rPr>
        <w:t>号的投标；</w:t>
      </w:r>
    </w:p>
    <w:p>
      <w:pPr>
        <w:numPr>
          <w:ilvl w:val="0"/>
          <w:numId w:val="9"/>
        </w:numPr>
        <w:spacing w:line="360" w:lineRule="auto"/>
        <w:rPr>
          <w:rFonts w:ascii="宋体" w:hAnsi="宋体" w:cs="宋体"/>
          <w:color w:val="auto"/>
          <w:szCs w:val="21"/>
        </w:rPr>
      </w:pPr>
      <w:r>
        <w:rPr>
          <w:rFonts w:hint="eastAsia" w:ascii="宋体" w:hAnsi="宋体" w:cs="宋体"/>
          <w:color w:val="auto"/>
          <w:szCs w:val="21"/>
        </w:rPr>
        <w:t>全部货物及服务的投标总价为：</w:t>
      </w:r>
      <w:r>
        <w:rPr>
          <w:rFonts w:hint="eastAsia" w:ascii="宋体" w:hAnsi="宋体" w:cs="宋体"/>
          <w:color w:val="auto"/>
          <w:szCs w:val="21"/>
          <w:u w:val="single"/>
        </w:rPr>
        <w:t xml:space="preserve">               （大、小写）；</w:t>
      </w:r>
    </w:p>
    <w:p>
      <w:pPr>
        <w:numPr>
          <w:ilvl w:val="0"/>
          <w:numId w:val="9"/>
        </w:numPr>
        <w:spacing w:line="360" w:lineRule="auto"/>
        <w:rPr>
          <w:rFonts w:ascii="宋体" w:hAnsi="宋体" w:cs="宋体"/>
          <w:color w:val="auto"/>
          <w:szCs w:val="21"/>
        </w:rPr>
      </w:pPr>
      <w:r>
        <w:rPr>
          <w:rFonts w:hint="eastAsia" w:ascii="宋体" w:hAnsi="宋体" w:cs="宋体"/>
          <w:color w:val="auto"/>
          <w:szCs w:val="21"/>
        </w:rPr>
        <w:t>本磋商响应文件的有效期在投标截止日后90天有效，如中标，有效期将</w:t>
      </w:r>
    </w:p>
    <w:p>
      <w:pPr>
        <w:spacing w:line="360" w:lineRule="auto"/>
        <w:rPr>
          <w:rFonts w:ascii="宋体" w:hAnsi="宋体" w:cs="宋体"/>
          <w:color w:val="auto"/>
          <w:szCs w:val="21"/>
        </w:rPr>
      </w:pPr>
      <w:r>
        <w:rPr>
          <w:rFonts w:hint="eastAsia" w:ascii="宋体" w:hAnsi="宋体" w:cs="宋体"/>
          <w:color w:val="auto"/>
          <w:szCs w:val="21"/>
        </w:rPr>
        <w:t>延至合同终止日为止；</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我方已详细研究了磋商文件的所有内容包括修正文（如果有）和所有已</w:t>
      </w:r>
    </w:p>
    <w:p>
      <w:pPr>
        <w:spacing w:line="360" w:lineRule="auto"/>
        <w:rPr>
          <w:rFonts w:ascii="宋体" w:hAnsi="宋体" w:cs="宋体"/>
          <w:color w:val="auto"/>
          <w:szCs w:val="21"/>
        </w:rPr>
      </w:pPr>
      <w:r>
        <w:rPr>
          <w:rFonts w:hint="eastAsia" w:ascii="宋体" w:hAnsi="宋体" w:cs="宋体"/>
          <w:color w:val="auto"/>
          <w:szCs w:val="21"/>
        </w:rPr>
        <w:t>提供的参考资料以及有关附件并完全明白，我方放弃在此方面提出含糊意见或误解的一切权力。</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我方明白并愿意在规定的谈判时间和日期之后、投标有效期之内撤回投</w:t>
      </w:r>
    </w:p>
    <w:p>
      <w:pPr>
        <w:spacing w:line="360" w:lineRule="auto"/>
        <w:rPr>
          <w:rFonts w:ascii="宋体" w:hAnsi="宋体" w:cs="宋体"/>
          <w:color w:val="auto"/>
          <w:szCs w:val="21"/>
        </w:rPr>
      </w:pPr>
      <w:r>
        <w:rPr>
          <w:rFonts w:hint="eastAsia" w:ascii="宋体" w:hAnsi="宋体" w:cs="宋体"/>
          <w:color w:val="auto"/>
          <w:szCs w:val="21"/>
        </w:rPr>
        <w:t>标，则投标保证金将被贵方没收。</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我方同意按照贵方可能提出的要求而提供与投标有关的任何其它数据或</w:t>
      </w:r>
    </w:p>
    <w:p>
      <w:pPr>
        <w:spacing w:line="360" w:lineRule="auto"/>
        <w:rPr>
          <w:rFonts w:ascii="宋体" w:hAnsi="宋体" w:cs="宋体"/>
          <w:color w:val="auto"/>
          <w:szCs w:val="21"/>
        </w:rPr>
      </w:pPr>
      <w:r>
        <w:rPr>
          <w:rFonts w:hint="eastAsia" w:ascii="宋体" w:hAnsi="宋体" w:cs="宋体"/>
          <w:color w:val="auto"/>
          <w:szCs w:val="21"/>
        </w:rPr>
        <w:t>信息。</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我方如果成交，将保证履行磋商文件及其补充文件中的全部责任和义务，</w:t>
      </w:r>
    </w:p>
    <w:p>
      <w:pPr>
        <w:spacing w:line="360" w:lineRule="auto"/>
        <w:rPr>
          <w:rFonts w:ascii="宋体" w:hAnsi="宋体" w:cs="宋体"/>
          <w:color w:val="auto"/>
          <w:szCs w:val="21"/>
        </w:rPr>
      </w:pPr>
      <w:r>
        <w:rPr>
          <w:rFonts w:hint="eastAsia" w:ascii="宋体" w:hAnsi="宋体" w:cs="宋体"/>
          <w:color w:val="auto"/>
          <w:szCs w:val="21"/>
        </w:rPr>
        <w:t>按质、按量、按期完成《合同书》中的全部任务。</w:t>
      </w:r>
    </w:p>
    <w:p>
      <w:pPr>
        <w:numPr>
          <w:ilvl w:val="0"/>
          <w:numId w:val="9"/>
        </w:numPr>
        <w:spacing w:line="360" w:lineRule="auto"/>
        <w:rPr>
          <w:rFonts w:ascii="宋体" w:hAnsi="宋体" w:cs="宋体"/>
          <w:color w:val="auto"/>
          <w:szCs w:val="21"/>
        </w:rPr>
      </w:pPr>
      <w:r>
        <w:rPr>
          <w:rFonts w:hint="eastAsia" w:ascii="宋体" w:hAnsi="宋体" w:cs="宋体"/>
          <w:color w:val="auto"/>
          <w:szCs w:val="21"/>
        </w:rPr>
        <w:t>所有与本招标有关的函件请发往下列地址：</w:t>
      </w: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spacing w:after="100" w:line="360" w:lineRule="auto"/>
        <w:ind w:left="482"/>
        <w:rPr>
          <w:rFonts w:ascii="宋体" w:hAnsi="宋体" w:cs="宋体"/>
          <w:color w:val="auto"/>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传真</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电话</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电子函件</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供应商代表签字</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公章</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bl>
    <w:p>
      <w:pPr>
        <w:pStyle w:val="5"/>
        <w:jc w:val="both"/>
        <w:rPr>
          <w:rFonts w:ascii="宋体" w:hAnsi="宋体" w:eastAsia="宋体" w:cs="宋体"/>
          <w:color w:val="auto"/>
          <w:sz w:val="28"/>
          <w:szCs w:val="28"/>
        </w:rPr>
        <w:sectPr>
          <w:footerReference r:id="rId14" w:type="default"/>
          <w:pgSz w:w="11906" w:h="16838"/>
          <w:pgMar w:top="1191" w:right="1587" w:bottom="1191" w:left="1587" w:header="851" w:footer="992" w:gutter="0"/>
          <w:cols w:space="720" w:num="1"/>
          <w:titlePg/>
          <w:docGrid w:linePitch="286" w:charSpace="0"/>
        </w:sectPr>
      </w:pPr>
      <w:bookmarkStart w:id="44" w:name="_Toc60421818"/>
    </w:p>
    <w:bookmarkEnd w:id="44"/>
    <w:p>
      <w:pPr>
        <w:spacing w:after="160" w:line="360" w:lineRule="auto"/>
        <w:rPr>
          <w:rFonts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ascii="宋体" w:hAnsi="宋体" w:cs="宋体"/>
          <w:b/>
          <w:bCs/>
          <w:color w:val="auto"/>
          <w:szCs w:val="21"/>
        </w:rPr>
      </w:pPr>
      <w:r>
        <w:rPr>
          <w:rFonts w:hint="eastAsia" w:ascii="宋体" w:hAnsi="宋体" w:cs="宋体"/>
          <w:b/>
          <w:bCs/>
          <w:color w:val="auto"/>
          <w:szCs w:val="21"/>
        </w:rPr>
        <w:t>致：</w:t>
      </w:r>
      <w:r>
        <w:rPr>
          <w:rFonts w:hint="eastAsia" w:ascii="宋体" w:hAnsi="宋体" w:cs="宋体"/>
          <w:b/>
          <w:color w:val="auto"/>
          <w:szCs w:val="21"/>
        </w:rPr>
        <w:t xml:space="preserve">兰州职业技术学院 </w:t>
      </w:r>
    </w:p>
    <w:p>
      <w:pPr>
        <w:spacing w:line="360" w:lineRule="auto"/>
        <w:ind w:firstLine="600"/>
        <w:rPr>
          <w:rFonts w:ascii="宋体" w:hAnsi="宋体" w:cs="宋体"/>
          <w:color w:val="auto"/>
          <w:szCs w:val="21"/>
          <w:u w:val="single"/>
        </w:rPr>
      </w:pPr>
      <w:r>
        <w:rPr>
          <w:rFonts w:hint="eastAsia" w:ascii="宋体" w:hAnsi="宋体" w:cs="宋体"/>
          <w:color w:val="auto"/>
          <w:szCs w:val="21"/>
        </w:rPr>
        <w:t>本授权书声明：注册于</w:t>
      </w:r>
      <w:r>
        <w:rPr>
          <w:rFonts w:hint="eastAsia" w:ascii="宋体" w:hAnsi="宋体" w:cs="宋体"/>
          <w:color w:val="auto"/>
          <w:szCs w:val="21"/>
          <w:u w:val="single"/>
        </w:rPr>
        <w:t xml:space="preserve">              </w:t>
      </w:r>
      <w:r>
        <w:rPr>
          <w:rFonts w:hint="eastAsia" w:ascii="宋体" w:hAnsi="宋体" w:cs="宋体"/>
          <w:color w:val="auto"/>
          <w:szCs w:val="21"/>
        </w:rPr>
        <w:t>（国家或地区）的</w:t>
      </w:r>
      <w:r>
        <w:rPr>
          <w:rFonts w:hint="eastAsia" w:ascii="宋体" w:hAnsi="宋体" w:cs="宋体"/>
          <w:color w:val="auto"/>
          <w:szCs w:val="21"/>
          <w:u w:val="single"/>
        </w:rPr>
        <w:t xml:space="preserve">               </w:t>
      </w:r>
    </w:p>
    <w:p>
      <w:pPr>
        <w:snapToGrid w:val="0"/>
        <w:spacing w:before="238" w:line="360" w:lineRule="auto"/>
        <w:rPr>
          <w:rFonts w:ascii="宋体" w:hAnsi="宋体" w:cs="宋体"/>
          <w:bCs/>
          <w:color w:val="auto"/>
          <w:szCs w:val="21"/>
        </w:rPr>
      </w:pPr>
      <w:r>
        <w:rPr>
          <w:rFonts w:hint="eastAsia" w:ascii="宋体" w:hAnsi="宋体" w:cs="宋体"/>
          <w:color w:val="auto"/>
          <w:szCs w:val="21"/>
        </w:rPr>
        <w:t>（供应商名称）的在下面签字的</w:t>
      </w:r>
      <w:r>
        <w:rPr>
          <w:rFonts w:hint="eastAsia" w:ascii="宋体" w:hAnsi="宋体" w:cs="宋体"/>
          <w:color w:val="auto"/>
          <w:szCs w:val="21"/>
          <w:u w:val="single"/>
        </w:rPr>
        <w:t xml:space="preserve">                         </w:t>
      </w:r>
      <w:r>
        <w:rPr>
          <w:rFonts w:hint="eastAsia" w:ascii="宋体" w:hAnsi="宋体" w:cs="宋体"/>
          <w:color w:val="auto"/>
          <w:szCs w:val="21"/>
        </w:rPr>
        <w:t>（法定代表人姓名、职务）代表本公司授权在下面签字的</w:t>
      </w:r>
      <w:r>
        <w:rPr>
          <w:rFonts w:hint="eastAsia" w:ascii="宋体" w:hAnsi="宋体" w:cs="宋体"/>
          <w:color w:val="auto"/>
          <w:szCs w:val="21"/>
          <w:u w:val="single"/>
        </w:rPr>
        <w:t xml:space="preserve">                  </w:t>
      </w:r>
      <w:r>
        <w:rPr>
          <w:rFonts w:hint="eastAsia" w:ascii="宋体" w:hAnsi="宋体" w:cs="宋体"/>
          <w:color w:val="auto"/>
          <w:szCs w:val="21"/>
        </w:rPr>
        <w:t>（被授权人的姓名、职务）为本公司的合法代表人，就</w:t>
      </w:r>
      <w:r>
        <w:rPr>
          <w:rFonts w:hint="eastAsia" w:ascii="宋体" w:hAnsi="宋体" w:cs="宋体"/>
          <w:b/>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项目编号为</w:t>
      </w:r>
      <w:r>
        <w:rPr>
          <w:rFonts w:hint="eastAsia" w:ascii="宋体" w:hAnsi="宋体" w:cs="宋体"/>
          <w:b/>
          <w:bCs/>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的</w:t>
      </w:r>
      <w:r>
        <w:rPr>
          <w:rFonts w:hint="eastAsia" w:ascii="宋体" w:hAnsi="宋体" w:cs="宋体"/>
          <w:color w:val="auto"/>
          <w:szCs w:val="21"/>
          <w:u w:val="single"/>
        </w:rPr>
        <w:t xml:space="preserve">                       采购项</w:t>
      </w:r>
      <w:r>
        <w:rPr>
          <w:rFonts w:hint="eastAsia" w:ascii="宋体" w:hAnsi="宋体" w:cs="宋体"/>
          <w:color w:val="auto"/>
          <w:szCs w:val="21"/>
        </w:rPr>
        <w:t>目的投标和合同执行，以我方的名义处理一切与之有关的事宜。</w:t>
      </w:r>
    </w:p>
    <w:p>
      <w:pPr>
        <w:spacing w:line="360" w:lineRule="auto"/>
        <w:ind w:firstLine="480"/>
        <w:rPr>
          <w:rFonts w:ascii="宋体" w:hAnsi="宋体" w:cs="宋体"/>
          <w:color w:val="auto"/>
          <w:szCs w:val="21"/>
        </w:rPr>
      </w:pPr>
      <w:r>
        <w:rPr>
          <w:rFonts w:hint="eastAsia" w:ascii="宋体" w:hAnsi="宋体" w:cs="宋体"/>
          <w:color w:val="auto"/>
          <w:szCs w:val="21"/>
        </w:rPr>
        <w:t>本授权书于    年  月  日签字生效，特此声明。</w:t>
      </w:r>
    </w:p>
    <w:p>
      <w:pPr>
        <w:spacing w:line="360" w:lineRule="auto"/>
        <w:rPr>
          <w:rFonts w:ascii="宋体" w:hAnsi="宋体" w:cs="宋体"/>
          <w:color w:val="auto"/>
          <w:szCs w:val="21"/>
        </w:rPr>
      </w:pPr>
      <w:r>
        <w:rPr>
          <w:rFonts w:hint="eastAsia" w:ascii="宋体" w:hAnsi="宋体" w:cs="宋体"/>
          <w:color w:val="auto"/>
          <w:szCs w:val="21"/>
        </w:rPr>
        <w:t>供应商（法人公章）：</w:t>
      </w:r>
    </w:p>
    <w:p>
      <w:pPr>
        <w:spacing w:line="360" w:lineRule="auto"/>
        <w:rPr>
          <w:rFonts w:ascii="宋体" w:hAnsi="宋体" w:cs="宋体"/>
          <w:color w:val="auto"/>
          <w:szCs w:val="21"/>
        </w:rPr>
      </w:pPr>
      <w:r>
        <w:rPr>
          <w:rFonts w:hint="eastAsia" w:ascii="宋体" w:hAnsi="宋体" w:cs="宋体"/>
          <w:color w:val="auto"/>
          <w:szCs w:val="21"/>
        </w:rPr>
        <w:t>地址：</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法定代表人（签名或盖章）：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被授权人（签名或盖章）：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b/>
          <w:color w:val="auto"/>
          <w:kern w:val="0"/>
          <w:szCs w:val="21"/>
        </w:rPr>
      </w:pPr>
      <w:r>
        <w:rPr>
          <w:rFonts w:hint="eastAsia" w:ascii="宋体" w:hAnsi="宋体" w:cs="宋体"/>
          <w:b/>
          <w:color w:val="auto"/>
          <w:kern w:val="0"/>
          <w:szCs w:val="21"/>
        </w:rPr>
        <w:t>法人代表与被授权人身份证（复印件）需附在磋商响应文件中。</w:t>
      </w:r>
    </w:p>
    <w:p>
      <w:pPr>
        <w:spacing w:after="160" w:line="360" w:lineRule="auto"/>
        <w:rPr>
          <w:rFonts w:ascii="宋体" w:hAnsi="宋体" w:cs="宋体"/>
          <w:b/>
          <w:color w:val="auto"/>
          <w:sz w:val="28"/>
          <w:szCs w:val="28"/>
        </w:rPr>
      </w:pPr>
      <w:r>
        <w:rPr>
          <w:rFonts w:hint="eastAsia" w:ascii="宋体" w:hAnsi="宋体" w:cs="宋体"/>
          <w:b/>
          <w:color w:val="auto"/>
          <w:kern w:val="0"/>
          <w:szCs w:val="21"/>
        </w:rPr>
        <w:t>被授权人需携带身份证原件至开标现场。</w:t>
      </w:r>
      <w:r>
        <w:rPr>
          <w:rFonts w:hint="eastAsia" w:ascii="宋体" w:hAnsi="宋体" w:cs="宋体"/>
          <w:color w:val="auto"/>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xml:space="preserve">   包号：</w:t>
      </w:r>
      <w:r>
        <w:rPr>
          <w:rFonts w:hint="eastAsia" w:ascii="宋体" w:hAnsi="宋体" w:cs="宋体"/>
          <w:color w:val="auto"/>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color w:val="auto"/>
                <w:szCs w:val="21"/>
              </w:rPr>
            </w:pPr>
            <w:r>
              <w:rPr>
                <w:rFonts w:hint="eastAsia" w:ascii="宋体" w:hAnsi="宋体" w:cs="宋体"/>
                <w:color w:val="auto"/>
                <w:szCs w:val="21"/>
              </w:rPr>
              <w:t>磋商文件要求</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磋商响应</w:t>
            </w:r>
          </w:p>
        </w:tc>
        <w:tc>
          <w:tcPr>
            <w:tcW w:w="2421"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color w:val="auto"/>
                <w:szCs w:val="21"/>
              </w:rPr>
            </w:pPr>
            <w:r>
              <w:rPr>
                <w:rFonts w:hint="eastAsia" w:ascii="宋体" w:hAnsi="宋体" w:cs="宋体"/>
                <w:color w:val="auto"/>
                <w:szCs w:val="21"/>
              </w:rPr>
              <w:t>名称</w:t>
            </w:r>
          </w:p>
        </w:tc>
        <w:tc>
          <w:tcPr>
            <w:tcW w:w="2679"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421" w:type="dxa"/>
            <w:vAlign w:val="center"/>
          </w:tcPr>
          <w:p>
            <w:pPr>
              <w:spacing w:line="360" w:lineRule="auto"/>
              <w:jc w:val="center"/>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bl>
    <w:p>
      <w:pPr>
        <w:spacing w:line="360" w:lineRule="auto"/>
        <w:rPr>
          <w:rFonts w:ascii="宋体" w:hAnsi="宋体" w:cs="宋体"/>
          <w:color w:val="auto"/>
          <w:sz w:val="24"/>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color w:val="auto"/>
          <w:szCs w:val="21"/>
        </w:rPr>
      </w:pPr>
      <w:r>
        <w:rPr>
          <w:rFonts w:hint="eastAsia" w:ascii="宋体" w:hAnsi="宋体" w:cs="宋体"/>
          <w:color w:val="auto"/>
          <w:szCs w:val="21"/>
        </w:rPr>
        <w:t>日期：</w:t>
      </w:r>
    </w:p>
    <w:p>
      <w:pPr>
        <w:spacing w:after="240" w:line="360" w:lineRule="auto"/>
        <w:jc w:val="left"/>
        <w:rPr>
          <w:rFonts w:ascii="宋体" w:hAnsi="宋体" w:cs="宋体"/>
          <w:b/>
          <w:color w:val="auto"/>
          <w:sz w:val="28"/>
          <w:szCs w:val="28"/>
        </w:rPr>
      </w:pPr>
      <w:r>
        <w:rPr>
          <w:rFonts w:hint="eastAsia" w:ascii="宋体" w:hAnsi="宋体" w:cs="宋体"/>
          <w:color w:val="auto"/>
          <w:szCs w:val="21"/>
        </w:rPr>
        <w:t>注：请对采购文件技术要求书中内容逐条响应。</w:t>
      </w:r>
      <w:r>
        <w:rPr>
          <w:rFonts w:hint="eastAsia" w:ascii="宋体" w:hAnsi="宋体" w:cs="宋体"/>
          <w:color w:val="auto"/>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 xml:space="preserve">                 项目编号：</w:t>
      </w:r>
      <w:r>
        <w:rPr>
          <w:rFonts w:hint="eastAsia" w:ascii="宋体" w:hAnsi="宋体" w:cs="宋体"/>
          <w:color w:val="auto"/>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序号</w:t>
            </w:r>
          </w:p>
        </w:tc>
        <w:tc>
          <w:tcPr>
            <w:tcW w:w="192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磋商文件条目号</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磋商文件的商务条款</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磋商响应文件的商务条款</w:t>
            </w:r>
          </w:p>
        </w:tc>
        <w:tc>
          <w:tcPr>
            <w:tcW w:w="1605"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bl>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b/>
          <w:color w:val="auto"/>
          <w:sz w:val="24"/>
        </w:rPr>
      </w:pPr>
    </w:p>
    <w:p>
      <w:pPr>
        <w:spacing w:after="240" w:line="360" w:lineRule="auto"/>
        <w:rPr>
          <w:rFonts w:ascii="宋体" w:hAnsi="宋体" w:cs="宋体"/>
          <w:b/>
          <w:bCs/>
          <w:color w:val="auto"/>
          <w:sz w:val="28"/>
          <w:szCs w:val="28"/>
          <w:u w:val="single"/>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spacing w:after="160" w:line="360" w:lineRule="auto"/>
        <w:rPr>
          <w:rFonts w:ascii="宋体" w:hAnsi="宋体" w:cs="宋体"/>
          <w:color w:val="auto"/>
          <w:sz w:val="24"/>
        </w:rPr>
      </w:pPr>
      <w:r>
        <w:rPr>
          <w:rFonts w:hint="eastAsia" w:ascii="宋体" w:hAnsi="宋体" w:cs="宋体"/>
          <w:b/>
          <w:color w:val="auto"/>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sz w:val="28"/>
          <w:szCs w:val="28"/>
        </w:rPr>
      </w:pPr>
    </w:p>
    <w:p>
      <w:pPr>
        <w:spacing w:after="160" w:line="360" w:lineRule="auto"/>
        <w:rPr>
          <w:rFonts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ascii="宋体" w:hAnsi="宋体" w:cs="宋体"/>
          <w:color w:val="auto"/>
          <w:szCs w:val="21"/>
        </w:rPr>
      </w:pPr>
      <w:r>
        <w:rPr>
          <w:rFonts w:hint="eastAsia" w:ascii="宋体" w:hAnsi="宋体" w:cs="宋体"/>
          <w:color w:val="auto"/>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color w:val="auto"/>
                <w:szCs w:val="21"/>
              </w:rPr>
            </w:pPr>
          </w:p>
        </w:tc>
        <w:tc>
          <w:tcPr>
            <w:tcW w:w="975" w:type="dxa"/>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color w:val="auto"/>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毕业院校及专业</w:t>
            </w:r>
          </w:p>
        </w:tc>
        <w:tc>
          <w:tcPr>
            <w:tcW w:w="3397" w:type="dxa"/>
            <w:gridSpan w:val="4"/>
            <w:vAlign w:val="center"/>
          </w:tcPr>
          <w:p>
            <w:pPr>
              <w:spacing w:after="160" w:line="360" w:lineRule="auto"/>
              <w:jc w:val="center"/>
              <w:rPr>
                <w:rFonts w:ascii="宋体" w:hAnsi="宋体" w:cs="宋体"/>
                <w:color w:val="auto"/>
                <w:szCs w:val="21"/>
              </w:rPr>
            </w:pPr>
          </w:p>
        </w:tc>
        <w:tc>
          <w:tcPr>
            <w:tcW w:w="1113" w:type="dxa"/>
            <w:gridSpan w:val="2"/>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时   间</w:t>
            </w:r>
          </w:p>
        </w:tc>
        <w:tc>
          <w:tcPr>
            <w:tcW w:w="4242" w:type="dxa"/>
            <w:gridSpan w:val="5"/>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color w:val="auto"/>
                <w:szCs w:val="21"/>
              </w:rPr>
            </w:pPr>
          </w:p>
        </w:tc>
        <w:tc>
          <w:tcPr>
            <w:tcW w:w="4242" w:type="dxa"/>
            <w:gridSpan w:val="5"/>
            <w:tcBorders>
              <w:bottom w:val="thinThickSmallGap" w:color="auto" w:sz="18" w:space="0"/>
            </w:tcBorders>
          </w:tcPr>
          <w:p>
            <w:pPr>
              <w:spacing w:after="160" w:line="360" w:lineRule="auto"/>
              <w:rPr>
                <w:rFonts w:ascii="宋体" w:hAnsi="宋体" w:cs="宋体"/>
                <w:color w:val="auto"/>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color w:val="auto"/>
          <w:szCs w:val="21"/>
        </w:rPr>
      </w:pPr>
      <w:r>
        <w:rPr>
          <w:rFonts w:hint="eastAsia" w:ascii="宋体" w:hAnsi="宋体" w:cs="宋体"/>
          <w:color w:val="auto"/>
          <w:szCs w:val="21"/>
        </w:rPr>
        <w:t xml:space="preserve">投标申请人：            （单位全称） (盖章)                </w:t>
      </w:r>
    </w:p>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r>
        <w:rPr>
          <w:rFonts w:hint="eastAsia" w:ascii="宋体" w:hAnsi="宋体" w:cs="宋体"/>
          <w:color w:val="auto"/>
          <w:szCs w:val="21"/>
        </w:rPr>
        <w:t xml:space="preserve">法定代表人或授权代表：               (签字或盖章)                    </w:t>
      </w:r>
    </w:p>
    <w:p>
      <w:pPr>
        <w:spacing w:after="160" w:line="360" w:lineRule="auto"/>
        <w:rPr>
          <w:rFonts w:ascii="宋体" w:hAnsi="宋体" w:cs="宋体"/>
          <w:color w:val="auto"/>
          <w:szCs w:val="21"/>
        </w:rPr>
      </w:pPr>
      <w:r>
        <w:rPr>
          <w:rFonts w:hint="eastAsia" w:ascii="宋体" w:hAnsi="宋体" w:cs="宋体"/>
          <w:color w:val="auto"/>
          <w:szCs w:val="21"/>
        </w:rPr>
        <w:t>日   期：     年   月   日</w:t>
      </w:r>
    </w:p>
    <w:p>
      <w:pPr>
        <w:spacing w:after="120" w:afterLines="50" w:line="360" w:lineRule="auto"/>
        <w:rPr>
          <w:rFonts w:ascii="宋体" w:hAnsi="宋体" w:cs="宋体"/>
          <w:b/>
          <w:color w:val="auto"/>
          <w:sz w:val="28"/>
          <w:szCs w:val="28"/>
        </w:rPr>
      </w:pPr>
    </w:p>
    <w:p>
      <w:pPr>
        <w:spacing w:after="120" w:afterLines="50" w:line="360" w:lineRule="auto"/>
        <w:rPr>
          <w:rFonts w:ascii="宋体" w:hAnsi="宋体" w:cs="宋体"/>
          <w:b/>
          <w:color w:val="auto"/>
          <w:sz w:val="28"/>
          <w:szCs w:val="28"/>
        </w:rPr>
      </w:pPr>
    </w:p>
    <w:p>
      <w:pPr>
        <w:spacing w:line="360" w:lineRule="auto"/>
        <w:rPr>
          <w:rFonts w:ascii="宋体" w:hAnsi="宋体" w:cs="宋体"/>
          <w:b/>
          <w:color w:val="auto"/>
          <w:sz w:val="24"/>
        </w:rPr>
      </w:pPr>
      <w:r>
        <w:rPr>
          <w:rFonts w:hint="eastAsia" w:ascii="宋体" w:hAnsi="宋体" w:cs="宋体"/>
          <w:b/>
          <w:color w:val="auto"/>
          <w:sz w:val="24"/>
        </w:rPr>
        <w:t>格式九  实施方案；</w:t>
      </w:r>
    </w:p>
    <w:p>
      <w:pPr>
        <w:spacing w:line="360" w:lineRule="auto"/>
        <w:rPr>
          <w:rFonts w:ascii="宋体" w:hAnsi="宋体" w:cs="宋体"/>
          <w:b/>
          <w:color w:val="auto"/>
          <w:sz w:val="24"/>
        </w:rPr>
      </w:pPr>
      <w:r>
        <w:rPr>
          <w:rFonts w:hint="eastAsia" w:ascii="宋体" w:hAnsi="宋体" w:cs="宋体"/>
          <w:b/>
          <w:color w:val="auto"/>
          <w:sz w:val="24"/>
        </w:rPr>
        <w:t>格式十  售后服务方案；</w:t>
      </w:r>
    </w:p>
    <w:p>
      <w:pPr>
        <w:spacing w:line="360" w:lineRule="auto"/>
        <w:rPr>
          <w:rFonts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ascii="宋体" w:hAnsi="宋体" w:cs="宋体"/>
          <w:color w:val="auto"/>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格式十三 资格证明文件</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本项目不接受联合体投标。</w:t>
      </w:r>
    </w:p>
    <w:p>
      <w:pPr>
        <w:pStyle w:val="2"/>
        <w:spacing w:line="360" w:lineRule="auto"/>
        <w:rPr>
          <w:rFonts w:ascii="宋体" w:hAnsi="宋体" w:cs="宋体"/>
          <w:color w:val="auto"/>
          <w:szCs w:val="21"/>
        </w:rPr>
      </w:pPr>
    </w:p>
    <w:p>
      <w:pPr>
        <w:spacing w:line="360" w:lineRule="auto"/>
        <w:jc w:val="center"/>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spacing w:line="360" w:lineRule="auto"/>
        <w:rPr>
          <w:rFonts w:ascii="宋体" w:hAnsi="宋体" w:cs="宋体"/>
          <w:b/>
          <w:bCs/>
          <w:color w:val="auto"/>
          <w:szCs w:val="21"/>
        </w:rPr>
      </w:pPr>
      <w:r>
        <w:rPr>
          <w:rFonts w:ascii="宋体" w:hAnsi="宋体" w:cs="宋体"/>
          <w:b/>
          <w:bCs/>
          <w:color w:val="auto"/>
          <w:szCs w:val="21"/>
        </w:rPr>
        <w:t xml:space="preserve"> </w:t>
      </w: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spacing w:line="360" w:lineRule="auto"/>
        <w:rPr>
          <w:rFonts w:ascii="宋体" w:hAnsi="宋体" w:cs="宋体"/>
          <w:b/>
          <w:bCs/>
          <w:color w:val="auto"/>
          <w:szCs w:val="21"/>
        </w:rPr>
      </w:pPr>
    </w:p>
    <w:p>
      <w:pPr>
        <w:pStyle w:val="30"/>
        <w:rPr>
          <w:color w:val="auto"/>
        </w:rPr>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rPr>
          <w:color w:val="auto"/>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rPr>
          <w:rFonts w:ascii="宋体" w:hAnsi="宋体" w:cs="宋体"/>
          <w:b/>
          <w:bCs/>
          <w:color w:val="auto"/>
          <w:szCs w:val="21"/>
        </w:rPr>
      </w:pPr>
    </w:p>
    <w:p>
      <w:pPr>
        <w:pStyle w:val="30"/>
        <w:ind w:left="0"/>
        <w:rPr>
          <w:rFonts w:ascii="宋体" w:hAnsi="宋体" w:cs="宋体"/>
          <w:b/>
          <w:bCs/>
          <w:color w:val="auto"/>
          <w:szCs w:val="21"/>
        </w:rPr>
      </w:pPr>
    </w:p>
    <w:p>
      <w:pPr>
        <w:rPr>
          <w:rFonts w:ascii="宋体" w:hAnsi="宋体" w:cs="宋体"/>
          <w:b/>
          <w:bCs/>
          <w:color w:val="auto"/>
          <w:szCs w:val="21"/>
        </w:rPr>
      </w:pPr>
    </w:p>
    <w:p>
      <w:pPr>
        <w:spacing w:line="360" w:lineRule="auto"/>
        <w:jc w:val="center"/>
        <w:rPr>
          <w:rFonts w:ascii="宋体" w:hAnsi="宋体" w:cs="宋体"/>
          <w:b/>
          <w:bCs/>
          <w:color w:val="auto"/>
          <w:sz w:val="28"/>
          <w:szCs w:val="28"/>
        </w:rPr>
      </w:pPr>
      <w:r>
        <w:rPr>
          <w:rFonts w:hint="eastAsia" w:ascii="宋体" w:hAnsi="宋体" w:cs="宋体"/>
          <w:b/>
          <w:bCs/>
          <w:color w:val="auto"/>
          <w:sz w:val="32"/>
          <w:szCs w:val="32"/>
        </w:rPr>
        <w:t>中小企业声明函（货物）</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本公司（联合体）郑重声明，根据《政府采购促进中小企业发展管理办法》（财库〔2020〕46号）的规定，本公司 （联合体）参加</w:t>
      </w:r>
      <w:r>
        <w:rPr>
          <w:rFonts w:hint="eastAsia" w:ascii="宋体" w:hAnsi="宋体" w:cs="宋体"/>
          <w:color w:val="auto"/>
          <w:szCs w:val="21"/>
          <w:u w:val="single"/>
        </w:rPr>
        <w:t>（单位名称）</w:t>
      </w:r>
      <w:r>
        <w:rPr>
          <w:rFonts w:hint="eastAsia" w:ascii="宋体" w:hAnsi="宋体" w:cs="宋体"/>
          <w:color w:val="auto"/>
          <w:szCs w:val="21"/>
        </w:rPr>
        <w:t>的</w:t>
      </w:r>
      <w:r>
        <w:rPr>
          <w:rFonts w:hint="eastAsia" w:ascii="宋体" w:hAnsi="宋体" w:cs="宋体"/>
          <w:color w:val="auto"/>
          <w:szCs w:val="21"/>
          <w:u w:val="single"/>
        </w:rPr>
        <w:t>（项目名称）</w:t>
      </w:r>
      <w:r>
        <w:rPr>
          <w:rFonts w:hint="eastAsia" w:ascii="宋体" w:hAnsi="宋体" w:cs="宋体"/>
          <w:color w:val="auto"/>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 </w:t>
      </w:r>
      <w:r>
        <w:rPr>
          <w:rFonts w:hint="eastAsia" w:ascii="宋体" w:hAnsi="宋体" w:cs="宋体"/>
          <w:color w:val="auto"/>
          <w:szCs w:val="21"/>
          <w:u w:val="single"/>
        </w:rPr>
        <w:t xml:space="preserve"> （标的名称）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w:t>
      </w:r>
      <w:r>
        <w:rPr>
          <w:rFonts w:hint="eastAsia" w:ascii="宋体" w:hAnsi="宋体" w:cs="宋体"/>
          <w:color w:val="auto"/>
          <w:szCs w:val="21"/>
        </w:rPr>
        <w:t>行业；制造商为</w:t>
      </w:r>
      <w:r>
        <w:rPr>
          <w:rFonts w:hint="eastAsia" w:ascii="宋体" w:hAnsi="宋体" w:cs="宋体"/>
          <w:color w:val="auto"/>
          <w:szCs w:val="21"/>
          <w:u w:val="single"/>
        </w:rPr>
        <w:t xml:space="preserve"> （企业名称）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w:t>
      </w:r>
      <w:r>
        <w:rPr>
          <w:rFonts w:hint="eastAsia" w:ascii="宋体" w:hAnsi="宋体" w:cs="宋体"/>
          <w:color w:val="auto"/>
          <w:szCs w:val="21"/>
          <w:vertAlign w:val="superscript"/>
        </w:rPr>
        <w:t>1</w:t>
      </w:r>
      <w:r>
        <w:rPr>
          <w:rFonts w:hint="eastAsia" w:ascii="宋体" w:hAnsi="宋体" w:cs="宋体"/>
          <w:color w:val="auto"/>
          <w:szCs w:val="21"/>
        </w:rPr>
        <w:t>，属于</w:t>
      </w:r>
      <w:r>
        <w:rPr>
          <w:rFonts w:hint="eastAsia" w:ascii="宋体" w:hAnsi="宋体" w:cs="宋体"/>
          <w:color w:val="auto"/>
          <w:szCs w:val="21"/>
          <w:u w:val="single"/>
        </w:rPr>
        <w:t>（中型企业、小 型企业、微型企业）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u w:val="single"/>
        </w:rPr>
        <w:t>（标的名称）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中明确的所属行业）行业</w:t>
      </w:r>
      <w:r>
        <w:rPr>
          <w:rFonts w:hint="eastAsia" w:ascii="宋体" w:hAnsi="宋体" w:cs="宋体"/>
          <w:color w:val="auto"/>
          <w:szCs w:val="21"/>
        </w:rPr>
        <w:t>：制造商为</w:t>
      </w:r>
      <w:r>
        <w:rPr>
          <w:rFonts w:hint="eastAsia" w:ascii="宋体" w:hAnsi="宋体" w:cs="宋体"/>
          <w:color w:val="auto"/>
          <w:szCs w:val="21"/>
          <w:u w:val="single"/>
        </w:rPr>
        <w:t>（企业名称）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u w:val="single"/>
        </w:rPr>
        <w:tab/>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万元，属于</w:t>
      </w:r>
      <w:r>
        <w:rPr>
          <w:rFonts w:hint="eastAsia" w:ascii="宋体" w:hAnsi="宋体" w:cs="宋体"/>
          <w:color w:val="auto"/>
          <w:szCs w:val="21"/>
          <w:u w:val="single"/>
        </w:rPr>
        <w:t>（中型企业、小型 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本企业对上述声明内容的真实性负责。如有虚假，将依 法承担相应责任。</w:t>
      </w:r>
    </w:p>
    <w:p>
      <w:pPr>
        <w:spacing w:line="360" w:lineRule="auto"/>
        <w:jc w:val="center"/>
        <w:rPr>
          <w:rFonts w:ascii="宋体" w:hAnsi="宋体" w:cs="宋体"/>
          <w:color w:val="auto"/>
          <w:szCs w:val="21"/>
        </w:rPr>
      </w:pPr>
      <w:r>
        <w:rPr>
          <w:rFonts w:hint="eastAsia" w:ascii="宋体" w:hAnsi="宋体" w:cs="宋体"/>
          <w:color w:val="auto"/>
          <w:szCs w:val="21"/>
        </w:rPr>
        <w:t xml:space="preserve">                  企业名称（盖章）：</w:t>
      </w:r>
    </w:p>
    <w:p>
      <w:pPr>
        <w:spacing w:line="360" w:lineRule="auto"/>
        <w:jc w:val="center"/>
        <w:rPr>
          <w:rFonts w:ascii="宋体" w:hAnsi="宋体" w:cs="宋体"/>
          <w:color w:val="auto"/>
          <w:szCs w:val="21"/>
        </w:rPr>
      </w:pPr>
      <w:r>
        <w:rPr>
          <w:rFonts w:hint="eastAsia" w:ascii="宋体" w:hAnsi="宋体" w:cs="宋体"/>
          <w:color w:val="auto"/>
          <w:szCs w:val="21"/>
        </w:rPr>
        <w:t xml:space="preserve">        日 期：</w:t>
      </w:r>
    </w:p>
    <w:p>
      <w:pPr>
        <w:pStyle w:val="30"/>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ascii="宋体" w:hAnsi="宋体" w:cs="宋体"/>
          <w:b/>
          <w:bCs/>
          <w:color w:val="auto"/>
          <w:sz w:val="24"/>
        </w:rPr>
      </w:pPr>
      <w:r>
        <w:rPr>
          <w:rFonts w:hint="eastAsia" w:ascii="宋体" w:hAnsi="宋体" w:cs="宋体"/>
          <w:b/>
          <w:bCs/>
          <w:color w:val="auto"/>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color w:val="auto"/>
              </w:rPr>
            </w:pPr>
            <w:r>
              <w:rPr>
                <w:rFonts w:hint="eastAsia" w:ascii="宋体" w:hAnsi="宋体" w:cs="宋体"/>
                <w:color w:val="auto"/>
              </w:rPr>
              <w:t>序号</w:t>
            </w:r>
          </w:p>
        </w:tc>
        <w:tc>
          <w:tcPr>
            <w:tcW w:w="1753" w:type="dxa"/>
            <w:vAlign w:val="center"/>
          </w:tcPr>
          <w:p>
            <w:pPr>
              <w:spacing w:after="160" w:line="360" w:lineRule="auto"/>
              <w:jc w:val="center"/>
              <w:rPr>
                <w:rFonts w:ascii="宋体" w:hAnsi="宋体" w:cs="宋体"/>
                <w:color w:val="auto"/>
              </w:rPr>
            </w:pPr>
            <w:r>
              <w:rPr>
                <w:rFonts w:hint="eastAsia" w:ascii="宋体" w:hAnsi="宋体" w:cs="宋体"/>
                <w:color w:val="auto"/>
              </w:rPr>
              <w:t>项目名称</w:t>
            </w:r>
          </w:p>
        </w:tc>
        <w:tc>
          <w:tcPr>
            <w:tcW w:w="2141" w:type="dxa"/>
            <w:vAlign w:val="center"/>
          </w:tcPr>
          <w:p>
            <w:pPr>
              <w:spacing w:after="160" w:line="360" w:lineRule="auto"/>
              <w:jc w:val="center"/>
              <w:rPr>
                <w:rFonts w:ascii="宋体" w:hAnsi="宋体" w:cs="宋体"/>
                <w:color w:val="auto"/>
              </w:rPr>
            </w:pPr>
            <w:r>
              <w:rPr>
                <w:rFonts w:hint="eastAsia" w:ascii="宋体" w:hAnsi="宋体" w:cs="宋体"/>
                <w:color w:val="auto"/>
              </w:rPr>
              <w:t>项目地址及电话</w:t>
            </w:r>
          </w:p>
        </w:tc>
        <w:tc>
          <w:tcPr>
            <w:tcW w:w="1558" w:type="dxa"/>
            <w:vAlign w:val="center"/>
          </w:tcPr>
          <w:p>
            <w:pPr>
              <w:spacing w:after="160" w:line="360" w:lineRule="auto"/>
              <w:jc w:val="center"/>
              <w:rPr>
                <w:rFonts w:ascii="宋体" w:hAnsi="宋体" w:cs="宋体"/>
                <w:color w:val="auto"/>
              </w:rPr>
            </w:pPr>
            <w:r>
              <w:rPr>
                <w:rFonts w:hint="eastAsia" w:ascii="宋体" w:hAnsi="宋体" w:cs="宋体"/>
                <w:color w:val="auto"/>
              </w:rPr>
              <w:t>合同内容</w:t>
            </w:r>
          </w:p>
        </w:tc>
        <w:tc>
          <w:tcPr>
            <w:tcW w:w="1556" w:type="dxa"/>
            <w:vAlign w:val="center"/>
          </w:tcPr>
          <w:p>
            <w:pPr>
              <w:spacing w:after="160" w:line="360" w:lineRule="auto"/>
              <w:jc w:val="center"/>
              <w:rPr>
                <w:rFonts w:ascii="宋体" w:hAnsi="宋体" w:cs="宋体"/>
                <w:color w:val="auto"/>
              </w:rPr>
            </w:pPr>
            <w:r>
              <w:rPr>
                <w:rFonts w:hint="eastAsia" w:ascii="宋体" w:hAnsi="宋体" w:cs="宋体"/>
                <w:color w:val="auto"/>
              </w:rPr>
              <w:t>合同总价</w:t>
            </w:r>
          </w:p>
        </w:tc>
        <w:tc>
          <w:tcPr>
            <w:tcW w:w="1315" w:type="dxa"/>
            <w:vAlign w:val="center"/>
          </w:tcPr>
          <w:p>
            <w:pPr>
              <w:spacing w:after="160" w:line="360" w:lineRule="auto"/>
              <w:jc w:val="center"/>
              <w:rPr>
                <w:rFonts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bl>
    <w:p>
      <w:pPr>
        <w:pStyle w:val="2"/>
        <w:ind w:firstLine="0" w:firstLineChars="0"/>
        <w:rPr>
          <w:rFonts w:ascii="宋体" w:hAnsi="宋体" w:cs="宋体"/>
          <w:color w:val="auto"/>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13B10A72"/>
    <w:multiLevelType w:val="singleLevel"/>
    <w:tmpl w:val="13B10A72"/>
    <w:lvl w:ilvl="0" w:tentative="0">
      <w:start w:val="1"/>
      <w:numFmt w:val="decimal"/>
      <w:lvlText w:val="(%1)"/>
      <w:lvlJc w:val="left"/>
      <w:pPr>
        <w:ind w:left="425" w:hanging="425"/>
      </w:pPr>
      <w:rPr>
        <w:rFonts w:hint="default"/>
      </w:rPr>
    </w:lvl>
  </w:abstractNum>
  <w:abstractNum w:abstractNumId="6">
    <w:nsid w:val="1E2301AE"/>
    <w:multiLevelType w:val="singleLevel"/>
    <w:tmpl w:val="1E2301AE"/>
    <w:lvl w:ilvl="0" w:tentative="0">
      <w:start w:val="1"/>
      <w:numFmt w:val="chineseCounting"/>
      <w:suff w:val="nothing"/>
      <w:lvlText w:val="%1、"/>
      <w:lvlJc w:val="left"/>
      <w:rPr>
        <w:rFonts w:hint="eastAsia"/>
      </w:rPr>
    </w:lvl>
  </w:abstractNum>
  <w:abstractNum w:abstractNumId="7">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8">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8"/>
  </w:num>
  <w:num w:numId="2">
    <w:abstractNumId w:val="7"/>
  </w:num>
  <w:num w:numId="3">
    <w:abstractNumId w:val="5"/>
  </w:num>
  <w:num w:numId="4">
    <w:abstractNumId w:val="1"/>
  </w:num>
  <w:num w:numId="5">
    <w:abstractNumId w:val="0"/>
  </w:num>
  <w:num w:numId="6">
    <w:abstractNumId w:val="6"/>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80164E3"/>
    <w:rsid w:val="08C558E2"/>
    <w:rsid w:val="0979146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7AA14A7"/>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4A043A"/>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A1F02B7"/>
    <w:rsid w:val="7A2E28E1"/>
    <w:rsid w:val="7B342267"/>
    <w:rsid w:val="7B44777D"/>
    <w:rsid w:val="7B573CF1"/>
    <w:rsid w:val="7B5B3903"/>
    <w:rsid w:val="7B840D5C"/>
    <w:rsid w:val="7C4058CB"/>
    <w:rsid w:val="7D517DCF"/>
    <w:rsid w:val="7E0D213D"/>
    <w:rsid w:val="7E2B3E16"/>
    <w:rsid w:val="7E666319"/>
    <w:rsid w:val="7E7C537B"/>
    <w:rsid w:val="7ED20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6">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7">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8">
    <w:name w:val="heading 5"/>
    <w:basedOn w:val="1"/>
    <w:next w:val="1"/>
    <w:link w:val="84"/>
    <w:qFormat/>
    <w:uiPriority w:val="0"/>
    <w:pPr>
      <w:keepNext/>
      <w:keepLines/>
      <w:spacing w:before="280" w:after="290" w:line="376" w:lineRule="auto"/>
      <w:outlineLvl w:val="4"/>
    </w:pPr>
    <w:rPr>
      <w:b/>
      <w:sz w:val="28"/>
      <w:szCs w:val="20"/>
    </w:rPr>
  </w:style>
  <w:style w:type="paragraph" w:styleId="9">
    <w:name w:val="heading 6"/>
    <w:basedOn w:val="1"/>
    <w:next w:val="2"/>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2"/>
    <w:qFormat/>
    <w:uiPriority w:val="0"/>
    <w:pPr>
      <w:keepNext/>
      <w:keepLines/>
      <w:spacing w:before="240" w:after="64" w:line="320" w:lineRule="auto"/>
      <w:outlineLvl w:val="6"/>
    </w:pPr>
    <w:rPr>
      <w:b/>
      <w:sz w:val="24"/>
      <w:szCs w:val="20"/>
    </w:rPr>
  </w:style>
  <w:style w:type="paragraph" w:styleId="11">
    <w:name w:val="heading 8"/>
    <w:basedOn w:val="1"/>
    <w:next w:val="2"/>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2"/>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2">
    <w:name w:val="Normal Indent"/>
    <w:basedOn w:val="1"/>
    <w:next w:val="3"/>
    <w:link w:val="92"/>
    <w:qFormat/>
    <w:uiPriority w:val="0"/>
    <w:pPr>
      <w:ind w:firstLine="420" w:firstLineChars="200"/>
    </w:pPr>
  </w:style>
  <w:style w:type="paragraph" w:styleId="3">
    <w:name w:val="Body Text"/>
    <w:basedOn w:val="1"/>
    <w:next w:val="1"/>
    <w:qFormat/>
    <w:uiPriority w:val="0"/>
    <w:pPr>
      <w:spacing w:line="480" w:lineRule="auto"/>
    </w:pPr>
    <w:rPr>
      <w:color w:val="000000"/>
      <w:sz w:val="24"/>
    </w:r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9"/>
    <w:qFormat/>
    <w:uiPriority w:val="0"/>
    <w:rPr>
      <w:rFonts w:ascii="宋体"/>
      <w:sz w:val="18"/>
      <w:szCs w:val="18"/>
    </w:rPr>
  </w:style>
  <w:style w:type="paragraph" w:styleId="15">
    <w:name w:val="annotation text"/>
    <w:basedOn w:val="1"/>
    <w:link w:val="85"/>
    <w:qFormat/>
    <w:uiPriority w:val="0"/>
    <w:pPr>
      <w:jc w:val="left"/>
    </w:p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next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8"/>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1"/>
    <w:qFormat/>
    <w:uiPriority w:val="0"/>
    <w:rPr>
      <w:b/>
      <w:bCs/>
    </w:rPr>
  </w:style>
  <w:style w:type="paragraph" w:styleId="35">
    <w:name w:val="Body Text First Indent"/>
    <w:basedOn w:val="3"/>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1">
    <w:name w:val="样式 正文缩进 + 首行缩进:  2 字符"/>
    <w:basedOn w:val="2"/>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3"/>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4"/>
    <w:qFormat/>
    <w:uiPriority w:val="0"/>
    <w:rPr>
      <w:rFonts w:eastAsia="宋体"/>
      <w:kern w:val="2"/>
      <w:sz w:val="18"/>
      <w:szCs w:val="18"/>
      <w:lang w:val="en-US" w:eastAsia="zh-CN" w:bidi="ar-SA"/>
    </w:rPr>
  </w:style>
  <w:style w:type="character" w:customStyle="1" w:styleId="80">
    <w:name w:val="标题 4 字符"/>
    <w:link w:val="7"/>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6"/>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8"/>
    <w:qFormat/>
    <w:locked/>
    <w:uiPriority w:val="0"/>
    <w:rPr>
      <w:b/>
      <w:kern w:val="2"/>
      <w:sz w:val="28"/>
    </w:rPr>
  </w:style>
  <w:style w:type="character" w:customStyle="1" w:styleId="85">
    <w:name w:val="批注文字 字符"/>
    <w:link w:val="15"/>
    <w:qFormat/>
    <w:uiPriority w:val="0"/>
    <w:rPr>
      <w:kern w:val="2"/>
      <w:sz w:val="21"/>
      <w:szCs w:val="24"/>
    </w:rPr>
  </w:style>
  <w:style w:type="character" w:customStyle="1" w:styleId="86">
    <w:name w:val="标题 2 字符"/>
    <w:link w:val="5"/>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2"/>
    <w:qFormat/>
    <w:uiPriority w:val="0"/>
    <w:rPr>
      <w:rFonts w:eastAsia="宋体"/>
      <w:kern w:val="2"/>
      <w:sz w:val="21"/>
      <w:szCs w:val="24"/>
      <w:lang w:val="en-US" w:eastAsia="zh-CN" w:bidi="ar-SA"/>
    </w:rPr>
  </w:style>
  <w:style w:type="character" w:customStyle="1" w:styleId="89">
    <w:name w:val="文档结构图 字符"/>
    <w:link w:val="14"/>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4"/>
    <w:qFormat/>
    <w:uiPriority w:val="0"/>
    <w:rPr>
      <w:rFonts w:eastAsia="宋体"/>
      <w:b/>
      <w:bCs/>
      <w:kern w:val="44"/>
      <w:sz w:val="44"/>
      <w:szCs w:val="44"/>
      <w:lang w:val="en-US" w:eastAsia="zh-CN" w:bidi="ar-SA"/>
    </w:rPr>
  </w:style>
  <w:style w:type="character" w:customStyle="1" w:styleId="92">
    <w:name w:val="正文缩进 字符"/>
    <w:link w:val="2"/>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29"/>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 w:type="character" w:customStyle="1" w:styleId="121">
    <w:name w:val="fontstyle01"/>
    <w:basedOn w:val="39"/>
    <w:qFormat/>
    <w:uiPriority w:val="0"/>
    <w:rPr>
      <w:rFonts w:hint="eastAsia" w:ascii="宋体" w:hAnsi="宋体" w:eastAsia="宋体"/>
      <w:color w:val="000000"/>
      <w:sz w:val="22"/>
      <w:szCs w:val="22"/>
    </w:rPr>
  </w:style>
  <w:style w:type="paragraph" w:customStyle="1" w:styleId="122">
    <w:name w:val="HPC题2"/>
    <w:basedOn w:val="1"/>
    <w:next w:val="1"/>
    <w:qFormat/>
    <w:uiPriority w:val="0"/>
    <w:pPr>
      <w:keepNext/>
      <w:keepLines/>
      <w:numPr>
        <w:ilvl w:val="1"/>
        <w:numId w:val="3"/>
      </w:numPr>
      <w:tabs>
        <w:tab w:val="left" w:pos="1440"/>
      </w:tabs>
      <w:adjustRightInd w:val="0"/>
      <w:snapToGrid w:val="0"/>
      <w:spacing w:before="100" w:beforeAutospacing="1" w:after="100" w:afterAutospacing="1"/>
      <w:outlineLvl w:val="1"/>
    </w:pPr>
    <w:rPr>
      <w:rFonts w:ascii="微软雅黑" w:hAnsi="微软雅黑" w:eastAsia="微软雅黑" w:cstheme="minorBidi"/>
      <w:b/>
      <w:bCs/>
      <w:kern w:val="44"/>
      <w:sz w:val="30"/>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38</Pages>
  <Words>14718</Words>
  <Characters>15457</Characters>
  <Lines>127</Lines>
  <Paragraphs>35</Paragraphs>
  <TotalTime>0</TotalTime>
  <ScaleCrop>false</ScaleCrop>
  <LinksUpToDate>false</LinksUpToDate>
  <CharactersWithSpaces>16963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口天马尧</cp:lastModifiedBy>
  <cp:lastPrinted>2019-07-19T04:31:00Z</cp:lastPrinted>
  <dcterms:modified xsi:type="dcterms:W3CDTF">2023-05-23T06:59:05Z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F38F38C4DEC94D8D9A069C4CEE8AF115</vt:lpwstr>
  </property>
</Properties>
</file>