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bookmarkStart w:id="38" w:name="_GoBack"/>
    </w:p>
    <w:p>
      <w:pPr>
        <w:spacing w:line="360" w:lineRule="auto"/>
        <w:jc w:val="center"/>
        <w:rPr>
          <w:rFonts w:ascii="宋体" w:hAnsi="宋体" w:cs="宋体"/>
          <w:b/>
          <w:color w:val="auto"/>
          <w:w w:val="90"/>
          <w:sz w:val="44"/>
          <w:szCs w:val="44"/>
        </w:rPr>
      </w:pP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兰州职业技术学院实训场所配套设施项目</w:t>
      </w:r>
    </w:p>
    <w:p>
      <w:pPr>
        <w:spacing w:line="360" w:lineRule="auto"/>
        <w:rPr>
          <w:rFonts w:ascii="仿宋" w:hAnsi="仿宋" w:eastAsia="仿宋" w:cs="仿宋"/>
          <w:b/>
          <w:color w:val="auto"/>
          <w:sz w:val="36"/>
          <w:szCs w:val="36"/>
        </w:rPr>
      </w:pPr>
    </w:p>
    <w:p>
      <w:pPr>
        <w:spacing w:line="360" w:lineRule="auto"/>
        <w:ind w:firstLine="1789" w:firstLineChars="495"/>
        <w:rPr>
          <w:rFonts w:ascii="仿宋" w:hAnsi="仿宋" w:eastAsia="仿宋" w:cs="仿宋"/>
          <w:b/>
          <w:color w:val="auto"/>
          <w:sz w:val="36"/>
          <w:szCs w:val="36"/>
        </w:rPr>
      </w:pPr>
    </w:p>
    <w:p>
      <w:pPr>
        <w:spacing w:line="360" w:lineRule="auto"/>
        <w:rPr>
          <w:rFonts w:ascii="仿宋" w:hAnsi="仿宋" w:eastAsia="仿宋" w:cs="仿宋"/>
          <w:color w:val="auto"/>
          <w:szCs w:val="21"/>
        </w:rPr>
      </w:pPr>
    </w:p>
    <w:p>
      <w:pPr>
        <w:pStyle w:val="9"/>
        <w:rPr>
          <w:rFonts w:ascii="仿宋" w:hAnsi="仿宋" w:eastAsia="仿宋" w:cs="仿宋"/>
          <w:color w:val="auto"/>
          <w:szCs w:val="21"/>
        </w:rPr>
      </w:pPr>
    </w:p>
    <w:p>
      <w:pPr>
        <w:pStyle w:val="9"/>
        <w:rPr>
          <w:rFonts w:ascii="仿宋" w:hAnsi="仿宋" w:eastAsia="仿宋" w:cs="仿宋"/>
          <w:color w:val="auto"/>
          <w:szCs w:val="21"/>
        </w:rPr>
      </w:pPr>
    </w:p>
    <w:p>
      <w:pPr>
        <w:spacing w:line="360" w:lineRule="auto"/>
        <w:jc w:val="center"/>
        <w:rPr>
          <w:rFonts w:ascii="仿宋" w:hAnsi="仿宋" w:eastAsia="仿宋" w:cs="仿宋"/>
          <w:b/>
          <w:color w:val="auto"/>
          <w:sz w:val="72"/>
          <w:szCs w:val="72"/>
        </w:rPr>
      </w:pPr>
      <w:r>
        <w:rPr>
          <w:rFonts w:hint="eastAsia" w:ascii="仿宋" w:hAnsi="仿宋" w:eastAsia="仿宋" w:cs="仿宋"/>
          <w:b/>
          <w:color w:val="auto"/>
          <w:sz w:val="72"/>
          <w:szCs w:val="72"/>
        </w:rPr>
        <w:t>竞争性磋商文件</w:t>
      </w:r>
    </w:p>
    <w:p>
      <w:pPr>
        <w:snapToGrid w:val="0"/>
        <w:spacing w:line="360" w:lineRule="auto"/>
        <w:ind w:firstLine="1807" w:firstLineChars="500"/>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w:t>
      </w:r>
      <w:r>
        <w:rPr>
          <w:rFonts w:hint="eastAsia" w:ascii="仿宋" w:hAnsi="仿宋" w:eastAsia="仿宋" w:cs="仿宋"/>
          <w:b/>
          <w:color w:val="auto"/>
          <w:sz w:val="36"/>
          <w:szCs w:val="36"/>
        </w:rPr>
        <w:t>LZCS—2021</w:t>
      </w:r>
      <w:r>
        <w:rPr>
          <w:rFonts w:hint="eastAsia" w:ascii="仿宋" w:hAnsi="仿宋" w:eastAsia="仿宋" w:cs="仿宋"/>
          <w:b/>
          <w:color w:val="auto"/>
          <w:sz w:val="36"/>
          <w:szCs w:val="36"/>
          <w:lang w:val="en-US" w:eastAsia="zh-CN"/>
        </w:rPr>
        <w:t>008</w:t>
      </w:r>
    </w:p>
    <w:p>
      <w:pPr>
        <w:spacing w:line="360" w:lineRule="auto"/>
        <w:jc w:val="center"/>
        <w:rPr>
          <w:rFonts w:ascii="仿宋" w:hAnsi="仿宋" w:eastAsia="仿宋" w:cs="仿宋"/>
          <w:b/>
          <w:color w:val="auto"/>
          <w:sz w:val="36"/>
          <w:szCs w:val="36"/>
        </w:rPr>
      </w:pP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rPr>
        <w:t>2021年</w:t>
      </w:r>
      <w:r>
        <w:rPr>
          <w:rFonts w:ascii="仿宋" w:hAnsi="仿宋" w:eastAsia="仿宋" w:cs="仿宋"/>
          <w:b/>
          <w:color w:val="auto"/>
          <w:sz w:val="36"/>
          <w:szCs w:val="36"/>
        </w:rPr>
        <w:t>1</w:t>
      </w:r>
      <w:r>
        <w:rPr>
          <w:rFonts w:hint="eastAsia" w:ascii="仿宋" w:hAnsi="仿宋" w:eastAsia="仿宋" w:cs="仿宋"/>
          <w:b/>
          <w:color w:val="auto"/>
          <w:sz w:val="36"/>
          <w:szCs w:val="36"/>
        </w:rPr>
        <w:t>1月</w:t>
      </w:r>
      <w:bookmarkEnd w:id="0"/>
      <w:bookmarkStart w:id="3" w:name="_Toc361769627"/>
      <w:bookmarkStart w:id="4" w:name="_Toc361769761"/>
    </w:p>
    <w:p>
      <w:pPr>
        <w:spacing w:line="360" w:lineRule="auto"/>
        <w:rPr>
          <w:rFonts w:ascii="仿宋" w:hAnsi="仿宋" w:eastAsia="仿宋" w:cs="仿宋"/>
          <w:bCs/>
          <w:color w:val="auto"/>
        </w:rPr>
      </w:pPr>
    </w:p>
    <w:p>
      <w:pPr>
        <w:pStyle w:val="3"/>
        <w:snapToGrid w:val="0"/>
        <w:spacing w:before="0" w:after="0" w:line="360" w:lineRule="auto"/>
        <w:jc w:val="center"/>
        <w:rPr>
          <w:rFonts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ascii="仿宋" w:hAnsi="仿宋" w:eastAsia="仿宋" w:cs="仿宋"/>
          <w:color w:val="auto"/>
        </w:rPr>
      </w:pPr>
    </w:p>
    <w:p>
      <w:pPr>
        <w:pStyle w:val="27"/>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7"/>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7"/>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7"/>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7" w:name="_Toc361769762"/>
      <w:bookmarkStart w:id="8" w:name="_Toc361769628"/>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3"/>
        <w:spacing w:line="360" w:lineRule="auto"/>
        <w:jc w:val="center"/>
        <w:rPr>
          <w:rFonts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start="1"/>
          <w:cols w:space="720" w:num="1"/>
          <w:titlePg/>
        </w:sectPr>
      </w:pPr>
    </w:p>
    <w:p>
      <w:pPr>
        <w:rPr>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宋体" w:hAnsi="宋体" w:cs="宋体"/>
          <w:bCs w:val="0"/>
          <w:color w:val="auto"/>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rPr>
        <w:t>公告</w:t>
      </w:r>
    </w:p>
    <w:p>
      <w:pPr>
        <w:snapToGrid w:val="0"/>
        <w:spacing w:line="360" w:lineRule="auto"/>
        <w:jc w:val="center"/>
        <w:rPr>
          <w:rFonts w:ascii="宋体" w:hAnsi="宋体" w:cs="宋体"/>
          <w:b/>
          <w:bCs/>
          <w:color w:val="auto"/>
          <w:sz w:val="28"/>
          <w:szCs w:val="32"/>
        </w:rPr>
      </w:pPr>
      <w:r>
        <w:rPr>
          <w:rFonts w:hint="eastAsia" w:ascii="仿宋" w:hAnsi="仿宋" w:eastAsia="仿宋" w:cs="仿宋"/>
          <w:b/>
          <w:bCs/>
          <w:color w:val="auto"/>
          <w:sz w:val="44"/>
        </w:rPr>
        <w:br w:type="page"/>
      </w:r>
      <w:r>
        <w:rPr>
          <w:rFonts w:hint="eastAsia" w:ascii="宋体" w:hAnsi="宋体" w:cs="宋体"/>
          <w:b/>
          <w:bCs/>
          <w:color w:val="auto"/>
          <w:sz w:val="28"/>
          <w:szCs w:val="32"/>
        </w:rPr>
        <w:t>兰州职业技术学院实训场所配套设施项目公告</w:t>
      </w:r>
    </w:p>
    <w:p>
      <w:pPr>
        <w:jc w:val="left"/>
        <w:rPr>
          <w:rFonts w:ascii="宋体" w:hAnsi="宋体" w:cs="宋体"/>
          <w:color w:val="auto"/>
          <w:szCs w:val="21"/>
        </w:rPr>
      </w:pPr>
      <w:r>
        <w:rPr>
          <w:rFonts w:hint="eastAsia" w:ascii="宋体" w:hAnsi="宋体" w:cs="宋体"/>
          <w:color w:val="auto"/>
          <w:sz w:val="24"/>
        </w:rPr>
        <w:t xml:space="preserve">    </w:t>
      </w:r>
      <w:r>
        <w:rPr>
          <w:rFonts w:hint="eastAsia" w:ascii="宋体" w:hAnsi="宋体" w:cs="宋体"/>
          <w:color w:val="auto"/>
          <w:szCs w:val="21"/>
        </w:rPr>
        <w:t>兰州职业技术学院实训场所配套设施项目以竞争性磋商方式进行采购，欢迎符合资格条件的供应商前来参加。</w:t>
      </w:r>
    </w:p>
    <w:p>
      <w:pPr>
        <w:numPr>
          <w:ilvl w:val="0"/>
          <w:numId w:val="3"/>
        </w:numPr>
        <w:snapToGrid w:val="0"/>
        <w:spacing w:line="360" w:lineRule="auto"/>
        <w:ind w:left="-2" w:leftChars="0" w:firstLine="422" w:firstLineChars="0"/>
        <w:rPr>
          <w:rFonts w:ascii="宋体" w:hAnsi="宋体" w:cs="宋体"/>
          <w:b/>
          <w:color w:val="auto"/>
          <w:szCs w:val="21"/>
        </w:rPr>
      </w:pPr>
      <w:r>
        <w:rPr>
          <w:rFonts w:hint="eastAsia" w:ascii="宋体" w:hAnsi="宋体" w:cs="宋体"/>
          <w:b/>
          <w:color w:val="auto"/>
          <w:szCs w:val="21"/>
        </w:rPr>
        <w:t>磋商文件编号：</w:t>
      </w:r>
      <w:r>
        <w:rPr>
          <w:rFonts w:hint="eastAsia" w:ascii="宋体" w:hAnsi="宋体" w:cs="宋体"/>
          <w:b/>
          <w:color w:val="auto"/>
          <w:szCs w:val="21"/>
        </w:rPr>
        <w:t>LZCS—2021</w:t>
      </w:r>
      <w:r>
        <w:rPr>
          <w:rFonts w:hint="eastAsia" w:ascii="宋体" w:hAnsi="宋体" w:cs="宋体"/>
          <w:b/>
          <w:color w:val="auto"/>
          <w:szCs w:val="21"/>
          <w:lang w:val="en-US" w:eastAsia="zh-CN"/>
        </w:rPr>
        <w:t>008</w:t>
      </w:r>
    </w:p>
    <w:p>
      <w:pPr>
        <w:numPr>
          <w:ilvl w:val="0"/>
          <w:numId w:val="3"/>
        </w:numPr>
        <w:snapToGrid w:val="0"/>
        <w:spacing w:line="360" w:lineRule="auto"/>
        <w:ind w:left="-2" w:leftChars="0" w:firstLine="422" w:firstLineChars="0"/>
        <w:rPr>
          <w:rFonts w:ascii="宋体" w:hAnsi="宋体" w:cs="宋体"/>
          <w:b/>
          <w:color w:val="auto"/>
          <w:szCs w:val="21"/>
        </w:rPr>
      </w:pPr>
      <w:r>
        <w:rPr>
          <w:rFonts w:hint="eastAsia" w:ascii="宋体" w:hAnsi="宋体" w:cs="宋体"/>
          <w:b/>
          <w:color w:val="auto"/>
          <w:szCs w:val="21"/>
        </w:rPr>
        <w:t>磋商内容：</w:t>
      </w:r>
      <w:r>
        <w:rPr>
          <w:rFonts w:hint="eastAsia" w:ascii="宋体" w:hAnsi="宋体" w:cs="宋体"/>
          <w:color w:val="auto"/>
          <w:szCs w:val="21"/>
        </w:rPr>
        <w:t>实训场所配套设施项目</w:t>
      </w:r>
    </w:p>
    <w:p>
      <w:pPr>
        <w:snapToGrid w:val="0"/>
        <w:spacing w:line="360" w:lineRule="auto"/>
        <w:ind w:firstLine="422" w:firstLineChars="200"/>
        <w:jc w:val="left"/>
        <w:rPr>
          <w:rFonts w:ascii="宋体" w:hAnsi="宋体" w:cs="宋体"/>
          <w:b/>
          <w:color w:val="auto"/>
          <w:szCs w:val="21"/>
        </w:rPr>
      </w:pPr>
      <w:r>
        <w:rPr>
          <w:rFonts w:hint="eastAsia" w:ascii="宋体" w:hAnsi="宋体" w:cs="宋体"/>
          <w:b/>
          <w:color w:val="auto"/>
          <w:szCs w:val="21"/>
        </w:rPr>
        <w:t>三、供应商资格要求：</w:t>
      </w:r>
    </w:p>
    <w:p>
      <w:pPr>
        <w:ind w:firstLine="420" w:firstLineChars="200"/>
        <w:jc w:val="left"/>
        <w:rPr>
          <w:rFonts w:ascii="宋体" w:hAnsi="宋体" w:cs="宋体"/>
          <w:color w:val="auto"/>
          <w:szCs w:val="21"/>
        </w:rPr>
      </w:pPr>
      <w:r>
        <w:rPr>
          <w:rFonts w:hint="eastAsia" w:ascii="宋体" w:hAnsi="宋体" w:cs="宋体"/>
          <w:color w:val="auto"/>
          <w:szCs w:val="21"/>
        </w:rPr>
        <w:t>1.供应商必须符合《中华人民共和国政府采购法》第二十二条要求；</w:t>
      </w:r>
    </w:p>
    <w:p>
      <w:pPr>
        <w:ind w:firstLine="420" w:firstLineChars="200"/>
        <w:jc w:val="left"/>
        <w:rPr>
          <w:rFonts w:ascii="宋体" w:hAnsi="宋体" w:cs="宋体"/>
          <w:color w:val="auto"/>
          <w:szCs w:val="21"/>
        </w:rPr>
      </w:pPr>
      <w:r>
        <w:rPr>
          <w:rFonts w:hint="eastAsia" w:ascii="宋体" w:hAnsi="宋体" w:cs="宋体"/>
          <w:color w:val="auto"/>
          <w:szCs w:val="21"/>
        </w:rPr>
        <w:t>2.供应商应是在中华人民共和国境内注册取得营业执照的独立法人或其他组织，具有相应经营范围；</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6.20</w:t>
      </w:r>
      <w:r>
        <w:rPr>
          <w:rFonts w:hint="eastAsia" w:ascii="宋体" w:hAnsi="宋体" w:cs="宋体"/>
          <w:color w:val="auto"/>
          <w:szCs w:val="21"/>
          <w:lang w:val="en-US" w:eastAsia="zh-CN"/>
        </w:rPr>
        <w:t>20</w:t>
      </w:r>
      <w:r>
        <w:rPr>
          <w:rFonts w:hint="eastAsia" w:ascii="宋体" w:hAnsi="宋体" w:cs="宋体"/>
          <w:color w:val="auto"/>
          <w:szCs w:val="21"/>
        </w:rPr>
        <w:t>年度以来最新的经权威机构审计的完整的财务报告（复印件）（不满一年的新公司不提供该报告）；</w:t>
      </w:r>
    </w:p>
    <w:p>
      <w:pPr>
        <w:ind w:firstLine="420" w:firstLineChars="200"/>
        <w:jc w:val="left"/>
        <w:rPr>
          <w:rFonts w:ascii="宋体" w:hAnsi="宋体" w:cs="宋体"/>
          <w:color w:val="auto"/>
          <w:szCs w:val="21"/>
        </w:rPr>
      </w:pPr>
      <w:r>
        <w:rPr>
          <w:rFonts w:hint="eastAsia" w:ascii="宋体" w:hAnsi="宋体" w:cs="宋体"/>
          <w:color w:val="auto"/>
          <w:szCs w:val="21"/>
        </w:rPr>
        <w:t>7.提供本项目采购活动前三年内在经营活动中没有重大违法记录的书面声明(必须为公告发布之日至投标截止时间内出具的原件，原件装订于投标文件内)；</w:t>
      </w:r>
    </w:p>
    <w:p>
      <w:pPr>
        <w:ind w:firstLine="420" w:firstLineChars="200"/>
        <w:jc w:val="left"/>
        <w:rPr>
          <w:rFonts w:ascii="宋体" w:hAnsi="宋体" w:cs="宋体"/>
          <w:color w:val="auto"/>
          <w:szCs w:val="21"/>
        </w:rPr>
      </w:pPr>
      <w:r>
        <w:rPr>
          <w:rFonts w:hint="eastAsia" w:ascii="宋体" w:hAnsi="宋体" w:cs="宋体"/>
          <w:color w:val="auto"/>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ascii="宋体" w:hAnsi="宋体" w:cs="宋体"/>
          <w:color w:val="auto"/>
          <w:szCs w:val="21"/>
        </w:rPr>
      </w:pPr>
      <w:r>
        <w:rPr>
          <w:rFonts w:hint="eastAsia" w:ascii="宋体" w:hAnsi="宋体" w:cs="宋体"/>
          <w:color w:val="auto"/>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color w:val="auto"/>
          <w:szCs w:val="21"/>
        </w:rPr>
      </w:pPr>
      <w:r>
        <w:rPr>
          <w:rFonts w:hint="eastAsia" w:ascii="宋体" w:hAnsi="宋体" w:cs="宋体"/>
          <w:color w:val="auto"/>
          <w:szCs w:val="21"/>
        </w:rPr>
        <w:t>10.本项目不接受联合体竞价。</w:t>
      </w:r>
    </w:p>
    <w:p>
      <w:pPr>
        <w:ind w:firstLine="422" w:firstLineChars="200"/>
        <w:jc w:val="left"/>
        <w:rPr>
          <w:rFonts w:ascii="宋体" w:hAnsi="宋体" w:cs="宋体"/>
          <w:b/>
          <w:bCs/>
          <w:color w:val="auto"/>
          <w:szCs w:val="21"/>
        </w:rPr>
      </w:pPr>
      <w:r>
        <w:rPr>
          <w:rFonts w:hint="eastAsia" w:ascii="宋体" w:hAnsi="宋体" w:cs="宋体"/>
          <w:b/>
          <w:bCs/>
          <w:color w:val="auto"/>
          <w:szCs w:val="21"/>
        </w:rPr>
        <w:t>四、项目需要落实的采购政策:</w:t>
      </w:r>
    </w:p>
    <w:p>
      <w:pPr>
        <w:pStyle w:val="9"/>
        <w:spacing w:line="360" w:lineRule="auto"/>
        <w:rPr>
          <w:rFonts w:ascii="宋体" w:cs="宋体"/>
          <w:color w:val="auto"/>
          <w:szCs w:val="21"/>
        </w:rPr>
      </w:pPr>
      <w:r>
        <w:rPr>
          <w:rFonts w:hint="eastAsia" w:ascii="宋体" w:hAnsi="宋体" w:cs="宋体"/>
          <w:color w:val="auto"/>
          <w:szCs w:val="21"/>
        </w:rPr>
        <w:t>（一）根据财政部发布的《政府采购促进中小企业发展暂行办法》规定，本项目对小型和微型企业产品的价格给予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0" w:firstLineChars="200"/>
        <w:rPr>
          <w:rFonts w:ascii="宋体" w:cs="宋体"/>
          <w:color w:val="auto"/>
          <w:szCs w:val="21"/>
        </w:rPr>
      </w:pPr>
      <w:r>
        <w:rPr>
          <w:rFonts w:hint="eastAsia" w:ascii="宋体" w:hAnsi="宋体" w:cs="宋体"/>
          <w:color w:val="auto"/>
          <w:szCs w:val="21"/>
        </w:rPr>
        <w:t>（二）根据财政部发布的《关于政府采购支持监狱企业发展有关问题的通知》规定，本项目对监狱企业产品的价格给予</w:t>
      </w:r>
      <w:r>
        <w:rPr>
          <w:rFonts w:ascii="宋体" w:hAnsi="宋体" w:cs="宋体"/>
          <w:color w:val="auto"/>
          <w:szCs w:val="21"/>
        </w:rPr>
        <w:t>6%</w:t>
      </w:r>
      <w:r>
        <w:rPr>
          <w:rFonts w:hint="eastAsia" w:ascii="宋体" w:hAnsi="宋体" w:cs="宋体"/>
          <w:color w:val="auto"/>
          <w:szCs w:val="21"/>
        </w:rPr>
        <w:t>的扣除。</w:t>
      </w:r>
    </w:p>
    <w:p>
      <w:pPr>
        <w:pStyle w:val="9"/>
        <w:spacing w:line="360" w:lineRule="auto"/>
        <w:rPr>
          <w:rFonts w:ascii="宋体" w:cs="宋体"/>
          <w:color w:val="auto"/>
          <w:szCs w:val="21"/>
        </w:rPr>
      </w:pPr>
      <w:r>
        <w:rPr>
          <w:rFonts w:hint="eastAsia" w:ascii="宋体" w:hAnsi="宋体" w:cs="宋体"/>
          <w:color w:val="auto"/>
          <w:szCs w:val="21"/>
        </w:rPr>
        <w:t>（三）根据财政部、民政部、中国残疾人联合会发布的《关于促进残疾人就业政府采购政策的通知》规定，本项目对残疾人福利性单位产品的价格给予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2" w:firstLineChars="200"/>
        <w:rPr>
          <w:rFonts w:ascii="宋体" w:cs="宋体"/>
          <w:color w:val="auto"/>
          <w:szCs w:val="21"/>
        </w:rPr>
      </w:pPr>
      <w:r>
        <w:rPr>
          <w:rFonts w:hint="eastAsia" w:ascii="宋体" w:hAnsi="宋体" w:cs="宋体"/>
          <w:b/>
          <w:bCs/>
          <w:color w:val="auto"/>
          <w:szCs w:val="21"/>
        </w:rPr>
        <w:t>五、获取磋商文件的时间期限、地点、方式及招标文件获取</w:t>
      </w:r>
    </w:p>
    <w:p>
      <w:pPr>
        <w:spacing w:line="360" w:lineRule="auto"/>
        <w:ind w:firstLine="420" w:firstLineChars="200"/>
        <w:rPr>
          <w:rFonts w:ascii="宋体" w:cs="宋体"/>
          <w:color w:val="auto"/>
          <w:szCs w:val="21"/>
        </w:rPr>
      </w:pPr>
      <w:r>
        <w:rPr>
          <w:rFonts w:hint="eastAsia" w:ascii="宋体" w:hAnsi="宋体" w:cs="宋体"/>
          <w:color w:val="auto"/>
          <w:szCs w:val="21"/>
        </w:rPr>
        <w:t>磋商文件获取时间：2021年</w:t>
      </w:r>
      <w:r>
        <w:rPr>
          <w:rFonts w:hint="eastAsia" w:ascii="宋体" w:hAnsi="宋体" w:cs="宋体"/>
          <w:color w:val="auto"/>
          <w:szCs w:val="21"/>
          <w:lang w:val="en-US" w:eastAsia="zh-CN"/>
        </w:rPr>
        <w:t>11</w:t>
      </w:r>
      <w:r>
        <w:rPr>
          <w:rFonts w:hint="eastAsia" w:ascii="宋体" w:hAnsi="宋体" w:cs="宋体"/>
          <w:color w:val="auto"/>
          <w:szCs w:val="21"/>
        </w:rPr>
        <w:t>月</w:t>
      </w:r>
      <w:r>
        <w:rPr>
          <w:rFonts w:hint="eastAsia" w:ascii="宋体" w:hAnsi="宋体" w:cs="宋体"/>
          <w:color w:val="auto"/>
          <w:szCs w:val="21"/>
          <w:lang w:val="en-US" w:eastAsia="zh-CN"/>
        </w:rPr>
        <w:t>23</w:t>
      </w:r>
      <w:r>
        <w:rPr>
          <w:rFonts w:hint="eastAsia" w:ascii="宋体" w:hAnsi="宋体" w:cs="宋体"/>
          <w:color w:val="auto"/>
          <w:szCs w:val="21"/>
        </w:rPr>
        <w:t>日至</w:t>
      </w:r>
      <w:r>
        <w:rPr>
          <w:rFonts w:ascii="宋体" w:hAnsi="宋体" w:cs="宋体"/>
          <w:color w:val="auto"/>
          <w:szCs w:val="21"/>
        </w:rPr>
        <w:t xml:space="preserve"> </w:t>
      </w:r>
      <w:r>
        <w:rPr>
          <w:rFonts w:hint="eastAsia" w:ascii="宋体" w:hAnsi="宋体" w:cs="宋体"/>
          <w:color w:val="auto"/>
          <w:szCs w:val="21"/>
        </w:rPr>
        <w:t>2021</w:t>
      </w:r>
      <w:r>
        <w:rPr>
          <w:rFonts w:ascii="宋体" w:hAnsi="宋体" w:cs="宋体"/>
          <w:color w:val="auto"/>
          <w:szCs w:val="21"/>
        </w:rPr>
        <w:t xml:space="preserve"> </w:t>
      </w:r>
      <w:r>
        <w:rPr>
          <w:rFonts w:hint="eastAsia" w:ascii="宋体" w:hAnsi="宋体" w:cs="宋体"/>
          <w:color w:val="auto"/>
          <w:szCs w:val="21"/>
        </w:rPr>
        <w:t>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p>
    <w:p>
      <w:pPr>
        <w:spacing w:line="360" w:lineRule="auto"/>
        <w:ind w:firstLine="420" w:firstLineChars="200"/>
        <w:rPr>
          <w:rFonts w:ascii="宋体" w:hAnsi="宋体" w:cs="宋体"/>
          <w:color w:val="auto"/>
          <w:szCs w:val="21"/>
        </w:rPr>
      </w:pPr>
      <w:r>
        <w:rPr>
          <w:rFonts w:hint="eastAsia" w:ascii="宋体" w:hAnsi="宋体" w:cs="宋体"/>
          <w:color w:val="auto"/>
          <w:szCs w:val="21"/>
        </w:rPr>
        <w:t>获取方式及地点：网上自行获取：兰州职业技术学院官方网站（http:// http://www.lvu.edu.cn/）在线获得</w:t>
      </w:r>
    </w:p>
    <w:p>
      <w:pPr>
        <w:spacing w:line="360" w:lineRule="auto"/>
        <w:ind w:firstLine="420" w:firstLineChars="200"/>
        <w:rPr>
          <w:rFonts w:ascii="宋体" w:cs="宋体"/>
          <w:color w:val="auto"/>
          <w:szCs w:val="21"/>
        </w:rPr>
      </w:pPr>
      <w:r>
        <w:rPr>
          <w:rFonts w:hint="eastAsia" w:ascii="宋体" w:hAnsi="宋体" w:cs="宋体"/>
          <w:color w:val="auto"/>
          <w:szCs w:val="21"/>
        </w:rPr>
        <w:t>获磋商文件售价：免费</w:t>
      </w:r>
    </w:p>
    <w:p>
      <w:pPr>
        <w:spacing w:line="360" w:lineRule="auto"/>
        <w:ind w:firstLine="422" w:firstLineChars="200"/>
        <w:rPr>
          <w:rFonts w:ascii="宋体" w:cs="宋体"/>
          <w:color w:val="auto"/>
          <w:szCs w:val="21"/>
        </w:rPr>
      </w:pPr>
      <w:r>
        <w:rPr>
          <w:rFonts w:hint="eastAsia" w:ascii="宋体" w:hAnsi="宋体" w:cs="宋体"/>
          <w:b/>
          <w:bCs/>
          <w:color w:val="auto"/>
          <w:szCs w:val="21"/>
        </w:rPr>
        <w:t>六、磋商截止时间、磋商时间及地点</w:t>
      </w:r>
      <w:r>
        <w:rPr>
          <w:rFonts w:ascii="宋体" w:hAnsi="宋体" w:cs="宋体"/>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（一）磋商截止时间：2021年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日9时30分（北京时间）。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（二）磋商文件递交地点：兰州职业技术学院</w:t>
      </w:r>
    </w:p>
    <w:p>
      <w:pPr>
        <w:spacing w:line="360" w:lineRule="auto"/>
        <w:ind w:firstLine="420" w:firstLineChars="200"/>
        <w:rPr>
          <w:rFonts w:ascii="宋体" w:cs="宋体"/>
          <w:color w:val="auto"/>
          <w:szCs w:val="21"/>
        </w:rPr>
      </w:pPr>
      <w:r>
        <w:rPr>
          <w:rFonts w:hint="eastAsia" w:ascii="宋体" w:hAnsi="宋体" w:cs="宋体"/>
          <w:color w:val="auto"/>
          <w:szCs w:val="21"/>
        </w:rPr>
        <w:t>（三）磋商时间：2021年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日9时3</w:t>
      </w:r>
      <w:r>
        <w:rPr>
          <w:rFonts w:ascii="宋体" w:cs="宋体"/>
          <w:color w:val="auto"/>
          <w:szCs w:val="21"/>
        </w:rPr>
        <w:t>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（四）磋商地点：兰州职业技术学院综合楼801会议室</w:t>
      </w:r>
    </w:p>
    <w:p>
      <w:pPr>
        <w:spacing w:line="360" w:lineRule="auto"/>
        <w:ind w:firstLine="422" w:firstLineChars="200"/>
        <w:rPr>
          <w:rFonts w:ascii="宋体" w:cs="宋体"/>
          <w:b/>
          <w:bCs/>
          <w:color w:val="auto"/>
          <w:szCs w:val="21"/>
        </w:rPr>
      </w:pPr>
      <w:r>
        <w:rPr>
          <w:rFonts w:hint="eastAsia" w:ascii="宋体" w:hAnsi="宋体" w:cs="宋体"/>
          <w:b/>
          <w:bCs/>
          <w:color w:val="auto"/>
          <w:szCs w:val="21"/>
        </w:rPr>
        <w:t>七、联系方式</w:t>
      </w:r>
      <w:r>
        <w:rPr>
          <w:rFonts w:ascii="宋体" w:hAnsi="宋体" w:cs="宋体"/>
          <w:b/>
          <w:bCs/>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采</w:t>
      </w:r>
      <w:r>
        <w:rPr>
          <w:rFonts w:ascii="宋体" w:hAnsi="宋体" w:cs="宋体"/>
          <w:color w:val="auto"/>
          <w:szCs w:val="21"/>
        </w:rPr>
        <w:t xml:space="preserve"> </w:t>
      </w:r>
      <w:r>
        <w:rPr>
          <w:rFonts w:hint="eastAsia" w:ascii="宋体" w:hAnsi="宋体" w:cs="宋体"/>
          <w:color w:val="auto"/>
          <w:szCs w:val="21"/>
        </w:rPr>
        <w:t>购</w:t>
      </w:r>
      <w:r>
        <w:rPr>
          <w:rFonts w:ascii="宋体" w:hAnsi="宋体" w:cs="宋体"/>
          <w:color w:val="auto"/>
          <w:szCs w:val="21"/>
        </w:rPr>
        <w:t xml:space="preserve"> </w:t>
      </w:r>
      <w:r>
        <w:rPr>
          <w:rFonts w:hint="eastAsia" w:ascii="宋体" w:hAnsi="宋体" w:cs="宋体"/>
          <w:color w:val="auto"/>
          <w:szCs w:val="21"/>
        </w:rPr>
        <w:t>人：兰州职业技术学院</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联 系 人：</w:t>
      </w:r>
      <w:r>
        <w:rPr>
          <w:rFonts w:hint="eastAsia" w:ascii="宋体" w:hAnsi="宋体" w:cs="宋体"/>
          <w:color w:val="auto"/>
          <w:szCs w:val="21"/>
          <w:lang w:val="en-US" w:eastAsia="zh-CN"/>
        </w:rPr>
        <w:t>吴</w:t>
      </w:r>
      <w:r>
        <w:rPr>
          <w:rFonts w:hint="eastAsia" w:ascii="宋体" w:hAnsi="宋体" w:cs="宋体"/>
          <w:color w:val="auto"/>
          <w:szCs w:val="21"/>
        </w:rPr>
        <w:t xml:space="preserve">老师  </w:t>
      </w:r>
    </w:p>
    <w:p>
      <w:pPr>
        <w:spacing w:line="360" w:lineRule="auto"/>
        <w:ind w:firstLine="420" w:firstLineChars="200"/>
        <w:rPr>
          <w:rFonts w:ascii="宋体" w:hAnsi="宋体" w:cs="宋体"/>
          <w:color w:val="auto"/>
          <w:szCs w:val="21"/>
        </w:rPr>
      </w:pPr>
      <w:r>
        <w:rPr>
          <w:rFonts w:hint="eastAsia" w:ascii="宋体" w:hAnsi="宋体" w:cs="宋体"/>
          <w:color w:val="auto"/>
          <w:szCs w:val="21"/>
        </w:rPr>
        <w:t>联系地址：兰州市安宁区刘沙公路37号</w:t>
      </w:r>
    </w:p>
    <w:p>
      <w:pPr>
        <w:spacing w:line="360" w:lineRule="auto"/>
        <w:ind w:firstLine="420" w:firstLineChars="200"/>
        <w:rPr>
          <w:rFonts w:hint="default" w:ascii="宋体" w:hAnsi="宋体" w:eastAsia="宋体" w:cs="宋体"/>
          <w:color w:val="auto"/>
          <w:szCs w:val="21"/>
          <w:lang w:val="en-US" w:eastAsia="zh-CN"/>
        </w:rPr>
      </w:pPr>
      <w:r>
        <w:rPr>
          <w:rFonts w:hint="eastAsia" w:ascii="宋体" w:hAnsi="宋体" w:cs="宋体"/>
          <w:color w:val="auto"/>
          <w:szCs w:val="21"/>
        </w:rPr>
        <w:t>联系电话：</w:t>
      </w:r>
      <w:r>
        <w:rPr>
          <w:rFonts w:hint="eastAsia" w:ascii="宋体" w:hAnsi="宋体" w:cs="宋体"/>
          <w:color w:val="auto"/>
          <w:szCs w:val="21"/>
          <w:lang w:val="en-US" w:eastAsia="zh-CN"/>
        </w:rPr>
        <w:t>0931-7619761</w:t>
      </w:r>
    </w:p>
    <w:p>
      <w:pPr>
        <w:spacing w:line="360" w:lineRule="auto"/>
        <w:jc w:val="center"/>
        <w:rPr>
          <w:rFonts w:ascii="宋体" w:hAnsi="宋体" w:cs="宋体"/>
          <w:color w:val="auto"/>
          <w:szCs w:val="21"/>
        </w:rPr>
      </w:pPr>
    </w:p>
    <w:p>
      <w:pPr>
        <w:spacing w:line="360" w:lineRule="auto"/>
        <w:jc w:val="right"/>
        <w:rPr>
          <w:rFonts w:ascii="宋体" w:hAnsi="宋体" w:cs="宋体"/>
          <w:color w:val="auto"/>
          <w:szCs w:val="21"/>
        </w:rPr>
      </w:pPr>
      <w:r>
        <w:rPr>
          <w:rFonts w:hint="eastAsia" w:ascii="宋体" w:hAnsi="宋体" w:cs="宋体"/>
          <w:color w:val="auto"/>
          <w:szCs w:val="21"/>
        </w:rPr>
        <w:t>兰州职业技术学院</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2021年</w:t>
      </w:r>
      <w:r>
        <w:rPr>
          <w:rFonts w:hint="eastAsia" w:ascii="宋体" w:hAnsi="宋体" w:cs="宋体"/>
          <w:color w:val="auto"/>
          <w:szCs w:val="21"/>
          <w:lang w:val="en-US" w:eastAsia="zh-CN"/>
        </w:rPr>
        <w:t>11</w:t>
      </w:r>
      <w:r>
        <w:rPr>
          <w:rFonts w:hint="eastAsia" w:ascii="宋体" w:hAnsi="宋体" w:cs="宋体"/>
          <w:color w:val="auto"/>
          <w:szCs w:val="21"/>
        </w:rPr>
        <w:t>月</w:t>
      </w:r>
      <w:r>
        <w:rPr>
          <w:rFonts w:hint="eastAsia" w:ascii="宋体" w:hAnsi="宋体" w:cs="宋体"/>
          <w:color w:val="auto"/>
          <w:szCs w:val="21"/>
          <w:lang w:val="en-US" w:eastAsia="zh-CN"/>
        </w:rPr>
        <w:t>23</w:t>
      </w:r>
      <w:r>
        <w:rPr>
          <w:rFonts w:hint="eastAsia" w:ascii="宋体" w:hAnsi="宋体" w:cs="宋体"/>
          <w:color w:val="auto"/>
          <w:szCs w:val="21"/>
        </w:rPr>
        <w:t>日</w:t>
      </w:r>
      <w:r>
        <w:rPr>
          <w:rFonts w:ascii="宋体" w:hAnsi="宋体" w:cs="宋体"/>
          <w:color w:val="auto"/>
          <w:szCs w:val="21"/>
        </w:rPr>
        <w:t xml:space="preserve"> </w:t>
      </w:r>
    </w:p>
    <w:p>
      <w:pPr>
        <w:spacing w:line="360" w:lineRule="auto"/>
        <w:rPr>
          <w:rFonts w:ascii="仿宋" w:hAnsi="仿宋" w:eastAsia="仿宋" w:cs="仿宋"/>
          <w:color w:val="auto"/>
          <w:sz w:val="24"/>
        </w:rPr>
      </w:pPr>
    </w:p>
    <w:p>
      <w:pPr>
        <w:pStyle w:val="3"/>
        <w:spacing w:line="360" w:lineRule="auto"/>
        <w:jc w:val="center"/>
        <w:rPr>
          <w:rFonts w:ascii="仿宋" w:hAnsi="仿宋" w:eastAsia="仿宋" w:cs="仿宋"/>
          <w:bCs w:val="0"/>
          <w:color w:val="auto"/>
        </w:rPr>
      </w:pPr>
      <w:bookmarkStart w:id="10" w:name="_Toc361769629"/>
      <w:bookmarkStart w:id="11" w:name="_Toc361769763"/>
    </w:p>
    <w:p>
      <w:pPr>
        <w:rPr>
          <w:color w:val="auto"/>
        </w:rPr>
      </w:pPr>
    </w:p>
    <w:p>
      <w:pPr>
        <w:pStyle w:val="3"/>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3"/>
        <w:spacing w:line="360" w:lineRule="auto"/>
        <w:jc w:val="center"/>
        <w:rPr>
          <w:rFonts w:ascii="宋体" w:hAnsi="宋体" w:cs="宋体"/>
          <w:bCs w:val="0"/>
          <w:color w:val="auto"/>
        </w:rPr>
      </w:pPr>
    </w:p>
    <w:p>
      <w:pPr>
        <w:pStyle w:val="3"/>
        <w:spacing w:line="360" w:lineRule="auto"/>
        <w:jc w:val="center"/>
        <w:rPr>
          <w:rFonts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20"/>
        <w:spacing w:line="360" w:lineRule="auto"/>
        <w:jc w:val="center"/>
        <w:rPr>
          <w:rFonts w:ascii="仿宋" w:hAnsi="仿宋" w:eastAsia="仿宋" w:cs="仿宋"/>
          <w:b/>
          <w:bCs/>
          <w:color w:val="auto"/>
          <w:sz w:val="32"/>
          <w:szCs w:val="32"/>
        </w:rPr>
      </w:pPr>
      <w:bookmarkStart w:id="13" w:name="_Toc361769630"/>
      <w:bookmarkStart w:id="14" w:name="_Toc361769764"/>
    </w:p>
    <w:p>
      <w:pPr>
        <w:pStyle w:val="20"/>
        <w:spacing w:line="360" w:lineRule="auto"/>
        <w:jc w:val="center"/>
        <w:rPr>
          <w:rFonts w:ascii="仿宋" w:hAnsi="仿宋" w:eastAsia="仿宋" w:cs="仿宋"/>
          <w:b/>
          <w:bCs/>
          <w:color w:val="auto"/>
          <w:sz w:val="32"/>
          <w:szCs w:val="32"/>
        </w:rPr>
      </w:pPr>
    </w:p>
    <w:p>
      <w:pPr>
        <w:pStyle w:val="20"/>
        <w:spacing w:line="360" w:lineRule="auto"/>
        <w:jc w:val="center"/>
        <w:rPr>
          <w:rFonts w:ascii="仿宋" w:hAnsi="仿宋" w:eastAsia="仿宋" w:cs="仿宋"/>
          <w:b/>
          <w:bCs/>
          <w:color w:val="auto"/>
          <w:sz w:val="32"/>
          <w:szCs w:val="32"/>
        </w:rPr>
      </w:pPr>
    </w:p>
    <w:p>
      <w:pPr>
        <w:pStyle w:val="20"/>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20"/>
        <w:spacing w:line="360" w:lineRule="auto"/>
        <w:jc w:val="center"/>
        <w:outlineLvl w:val="1"/>
        <w:rPr>
          <w:rFonts w:hAnsi="宋体" w:cs="宋体"/>
          <w:b/>
          <w:color w:val="auto"/>
          <w:sz w:val="32"/>
          <w:szCs w:val="32"/>
        </w:rPr>
      </w:pPr>
      <w:bookmarkStart w:id="15" w:name="_Toc14913"/>
      <w:bookmarkStart w:id="16" w:name="_Toc17640"/>
      <w:r>
        <w:rPr>
          <w:rFonts w:hint="eastAsia" w:hAnsi="宋体" w:cs="宋体"/>
          <w:b/>
          <w:color w:val="auto"/>
          <w:sz w:val="32"/>
          <w:szCs w:val="32"/>
        </w:rPr>
        <w:t>一、供应商须知前附表</w:t>
      </w:r>
      <w:bookmarkEnd w:id="13"/>
      <w:bookmarkEnd w:id="14"/>
      <w:bookmarkEnd w:id="15"/>
      <w:bookmarkEnd w:id="16"/>
    </w:p>
    <w:p>
      <w:pPr>
        <w:pStyle w:val="20"/>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20"/>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w:t>
            </w:r>
            <w:r>
              <w:rPr>
                <w:rFonts w:hint="eastAsia" w:ascii="宋体" w:hAnsi="宋体" w:cs="宋体"/>
                <w:color w:val="auto"/>
                <w:szCs w:val="21"/>
              </w:rPr>
              <w:t>兰州职业技术学院实训场所配套设施项目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磋商内容：</w:t>
            </w:r>
            <w:r>
              <w:rPr>
                <w:rFonts w:hint="eastAsia" w:ascii="宋体" w:hAnsi="宋体" w:cs="宋体"/>
                <w:color w:val="auto"/>
                <w:szCs w:val="21"/>
              </w:rPr>
              <w:t>实训场所配套设施项目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numPr>
                <w:ilvl w:val="0"/>
                <w:numId w:val="3"/>
              </w:numPr>
              <w:snapToGrid w:val="0"/>
              <w:spacing w:line="360" w:lineRule="auto"/>
              <w:ind w:left="-2" w:leftChars="0" w:firstLine="420" w:firstLineChars="0"/>
              <w:rPr>
                <w:rFonts w:ascii="宋体" w:hAnsi="宋体" w:cs="宋体"/>
                <w:bCs/>
                <w:color w:val="auto"/>
                <w:szCs w:val="21"/>
                <w:lang w:bidi="ar"/>
              </w:rPr>
            </w:pPr>
            <w:r>
              <w:rPr>
                <w:rFonts w:hint="eastAsia" w:ascii="宋体" w:hAnsi="宋体" w:cs="宋体"/>
                <w:bCs/>
                <w:color w:val="auto"/>
                <w:szCs w:val="21"/>
                <w:lang w:bidi="ar"/>
              </w:rPr>
              <w:t>本项目预算：</w:t>
            </w:r>
            <w:r>
              <w:rPr>
                <w:rFonts w:hint="eastAsia" w:ascii="宋体" w:hAnsi="宋体" w:cs="宋体"/>
                <w:bCs/>
                <w:color w:val="auto"/>
                <w:szCs w:val="21"/>
                <w:lang w:val="en-US" w:eastAsia="zh-CN" w:bidi="ar"/>
              </w:rPr>
              <w:t>12</w:t>
            </w:r>
            <w:r>
              <w:rPr>
                <w:rFonts w:ascii="宋体" w:hAnsi="宋体" w:cs="宋体"/>
                <w:bCs/>
                <w:color w:val="auto"/>
                <w:szCs w:val="21"/>
                <w:lang w:bidi="ar"/>
              </w:rPr>
              <w:t>0000</w:t>
            </w:r>
            <w:r>
              <w:rPr>
                <w:rFonts w:hint="eastAsia" w:ascii="宋体" w:hAnsi="宋体" w:cs="宋体"/>
                <w:b/>
                <w:color w:val="auto"/>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6.20</w:t>
            </w:r>
            <w:r>
              <w:rPr>
                <w:rFonts w:hint="eastAsia" w:ascii="宋体" w:hAnsi="宋体" w:cs="宋体"/>
                <w:bCs/>
                <w:color w:val="auto"/>
                <w:szCs w:val="21"/>
                <w:lang w:val="en-US" w:eastAsia="zh-CN" w:bidi="ar"/>
              </w:rPr>
              <w:t>20</w:t>
            </w:r>
            <w:r>
              <w:rPr>
                <w:rFonts w:hint="eastAsia" w:ascii="宋体" w:hAnsi="宋体" w:cs="宋体"/>
                <w:bCs/>
                <w:color w:val="auto"/>
                <w:szCs w:val="21"/>
                <w:lang w:bidi="ar"/>
              </w:rPr>
              <w:t>年度以来最新的经权威机构审计的完整的财务报告（复印件）（不满一年的新公司不提供该报告）；</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20"/>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20"/>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供应商于2021 年</w:t>
            </w:r>
            <w:r>
              <w:rPr>
                <w:rFonts w:hint="eastAsia" w:ascii="宋体" w:hAnsi="宋体" w:cs="宋体"/>
                <w:color w:val="auto"/>
                <w:szCs w:val="21"/>
                <w:lang w:val="en-US" w:eastAsia="zh-CN"/>
              </w:rPr>
              <w:t>11</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递交磋商文件的地点：兰州职业技术学院综合楼801会议室</w:t>
            </w:r>
          </w:p>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递交磋商文件时间：2021年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日9:30之前。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int="default" w:hAnsi="宋体" w:eastAsia="宋体" w:cs="宋体"/>
                <w:b/>
                <w:color w:val="auto"/>
                <w:szCs w:val="21"/>
                <w:lang w:val="en-US" w:eastAsia="zh-CN" w:bidi="ar"/>
              </w:rPr>
            </w:pPr>
            <w:bookmarkStart w:id="17" w:name="_Toc361769631"/>
            <w:bookmarkStart w:id="18" w:name="_Toc361769765"/>
            <w:r>
              <w:rPr>
                <w:rFonts w:hint="eastAsia" w:hAnsi="宋体" w:cs="宋体"/>
                <w:b/>
                <w:color w:val="auto"/>
                <w:szCs w:val="21"/>
                <w:lang w:val="en-US" w:eastAsia="zh-CN" w:bidi="ar"/>
              </w:rPr>
              <w:t>13</w:t>
            </w:r>
          </w:p>
        </w:tc>
        <w:tc>
          <w:tcPr>
            <w:tcW w:w="8507" w:type="dxa"/>
            <w:vAlign w:val="center"/>
          </w:tcPr>
          <w:p>
            <w:pPr>
              <w:spacing w:line="360" w:lineRule="auto"/>
              <w:ind w:firstLine="420" w:firstLineChars="200"/>
              <w:rPr>
                <w:rFonts w:hint="default" w:ascii="宋体" w:hAnsi="宋体" w:eastAsia="宋体" w:cs="宋体"/>
                <w:color w:val="auto"/>
                <w:szCs w:val="21"/>
                <w:lang w:val="en-US" w:eastAsia="zh-CN"/>
              </w:rPr>
            </w:pPr>
            <w:r>
              <w:rPr>
                <w:rFonts w:hint="eastAsia" w:ascii="宋体" w:hAnsi="宋体" w:cs="宋体"/>
                <w:color w:val="auto"/>
                <w:szCs w:val="21"/>
                <w:lang w:val="en-US" w:eastAsia="zh-CN"/>
              </w:rPr>
              <w:t>供货期：合同签订之日起7天内供货完毕。</w:t>
            </w:r>
          </w:p>
        </w:tc>
      </w:tr>
    </w:tbl>
    <w:p>
      <w:pPr>
        <w:pStyle w:val="20"/>
        <w:spacing w:line="360" w:lineRule="auto"/>
        <w:outlineLvl w:val="1"/>
        <w:rPr>
          <w:rFonts w:ascii="仿宋" w:hAnsi="仿宋" w:eastAsia="仿宋" w:cs="仿宋"/>
          <w:b/>
          <w:bCs/>
          <w:color w:val="auto"/>
          <w:sz w:val="32"/>
          <w:szCs w:val="32"/>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ind w:firstLine="0" w:firstLineChars="0"/>
        <w:rPr>
          <w:rFonts w:ascii="仿宋" w:hAnsi="仿宋" w:eastAsia="仿宋" w:cs="仿宋"/>
          <w:color w:val="auto"/>
        </w:rPr>
      </w:pPr>
    </w:p>
    <w:p>
      <w:pPr>
        <w:pStyle w:val="9"/>
        <w:rPr>
          <w:rFonts w:ascii="仿宋" w:hAnsi="仿宋" w:eastAsia="仿宋" w:cs="仿宋"/>
          <w:color w:val="auto"/>
        </w:rPr>
      </w:pPr>
    </w:p>
    <w:p>
      <w:pPr>
        <w:pStyle w:val="20"/>
        <w:spacing w:line="360" w:lineRule="auto"/>
        <w:jc w:val="center"/>
        <w:outlineLvl w:val="1"/>
        <w:rPr>
          <w:rFonts w:ascii="仿宋" w:hAnsi="仿宋" w:eastAsia="仿宋" w:cs="仿宋"/>
          <w:b/>
          <w:bCs/>
          <w:color w:val="auto"/>
          <w:sz w:val="28"/>
          <w:szCs w:val="28"/>
        </w:rPr>
      </w:pPr>
      <w:bookmarkStart w:id="19" w:name="_Toc19997"/>
      <w:bookmarkStart w:id="20" w:name="_Toc23106"/>
      <w:r>
        <w:rPr>
          <w:rFonts w:hint="eastAsia" w:ascii="仿宋" w:hAnsi="仿宋" w:eastAsia="仿宋" w:cs="仿宋"/>
          <w:b/>
          <w:bCs/>
          <w:color w:val="auto"/>
          <w:sz w:val="28"/>
          <w:szCs w:val="28"/>
        </w:rPr>
        <w:t>二、供 应 商 须 知</w:t>
      </w:r>
      <w:bookmarkEnd w:id="17"/>
      <w:bookmarkEnd w:id="18"/>
      <w:bookmarkEnd w:id="19"/>
      <w:bookmarkEnd w:id="20"/>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1" w:name="_Toc24615"/>
      <w:r>
        <w:rPr>
          <w:rFonts w:hint="eastAsia" w:ascii="宋体" w:hAnsi="宋体" w:cs="宋体"/>
          <w:b/>
          <w:bCs/>
          <w:color w:val="auto"/>
          <w:szCs w:val="21"/>
        </w:rPr>
        <w:t>3.3.4 磋商响应文件的密封和标注：</w:t>
      </w:r>
      <w:bookmarkEnd w:id="21"/>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2" w:name="_Toc504477602"/>
      <w:bookmarkStart w:id="23" w:name="_Toc29548"/>
      <w:bookmarkStart w:id="24" w:name="_Toc361769766"/>
      <w:bookmarkStart w:id="25" w:name="_Toc361769632"/>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2"/>
      <w:bookmarkEnd w:id="23"/>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6"/>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7"/>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（7）未参加现场踏勘的 </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综合评标细则打分表</w:t>
      </w:r>
    </w:p>
    <w:p>
      <w:pPr>
        <w:spacing w:line="360" w:lineRule="auto"/>
        <w:rPr>
          <w:rFonts w:hAnsi="宋体"/>
          <w:color w:val="auto"/>
          <w:sz w:val="24"/>
          <w:szCs w:val="24"/>
        </w:rPr>
      </w:pPr>
      <w:r>
        <w:rPr>
          <w:rFonts w:hint="eastAsia" w:hAnsi="宋体"/>
          <w:color w:val="auto"/>
          <w:sz w:val="24"/>
          <w:szCs w:val="24"/>
        </w:rPr>
        <w:t xml:space="preserve"> 3.综合评分；</w:t>
      </w:r>
    </w:p>
    <w:tbl>
      <w:tblPr>
        <w:tblStyle w:val="37"/>
        <w:tblW w:w="8925"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9"/>
        <w:gridCol w:w="866"/>
        <w:gridCol w:w="1337"/>
        <w:gridCol w:w="5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9" w:type="dxa"/>
            <w:vAlign w:val="center"/>
          </w:tcPr>
          <w:p>
            <w:pPr>
              <w:pStyle w:val="119"/>
              <w:spacing w:before="60"/>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序号</w:t>
            </w:r>
          </w:p>
        </w:tc>
        <w:tc>
          <w:tcPr>
            <w:tcW w:w="866" w:type="dxa"/>
            <w:vAlign w:val="center"/>
          </w:tcPr>
          <w:p>
            <w:pPr>
              <w:pStyle w:val="119"/>
              <w:spacing w:before="60"/>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项目</w:t>
            </w:r>
          </w:p>
        </w:tc>
        <w:tc>
          <w:tcPr>
            <w:tcW w:w="1337" w:type="dxa"/>
            <w:vAlign w:val="center"/>
          </w:tcPr>
          <w:p>
            <w:pPr>
              <w:pStyle w:val="119"/>
              <w:spacing w:before="60"/>
              <w:ind w:left="2"/>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基础分值</w:t>
            </w:r>
          </w:p>
        </w:tc>
        <w:tc>
          <w:tcPr>
            <w:tcW w:w="5993" w:type="dxa"/>
          </w:tcPr>
          <w:p>
            <w:pPr>
              <w:pStyle w:val="119"/>
              <w:spacing w:before="60"/>
              <w:ind w:left="2132"/>
              <w:jc w:val="lef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评 分 细 则 及 标</w:t>
            </w:r>
            <w:r>
              <w:rPr>
                <w:rFonts w:hint="eastAsia" w:asciiTheme="minorEastAsia" w:hAnsiTheme="minorEastAsia" w:eastAsiaTheme="minorEastAsia" w:cstheme="minorEastAsia"/>
                <w:b/>
                <w:bCs/>
                <w:color w:val="auto"/>
                <w:spacing w:val="-19"/>
                <w:sz w:val="21"/>
                <w:szCs w:val="21"/>
              </w:rPr>
              <w:t xml:space="preserve"> </w:t>
            </w:r>
            <w:r>
              <w:rPr>
                <w:rFonts w:hint="eastAsia" w:asciiTheme="minorEastAsia" w:hAnsiTheme="minorEastAsia" w:eastAsiaTheme="minorEastAsia" w:cstheme="minorEastAsia"/>
                <w:b/>
                <w:bCs/>
                <w:color w:val="auto"/>
                <w:sz w:val="21"/>
                <w:szCs w:val="21"/>
              </w:rPr>
              <w:t>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9" w:type="dxa"/>
            <w:vAlign w:val="center"/>
          </w:tcPr>
          <w:p>
            <w:pPr>
              <w:pStyle w:val="119"/>
              <w:spacing w:before="202"/>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866" w:type="dxa"/>
            <w:vAlign w:val="center"/>
          </w:tcPr>
          <w:p>
            <w:pPr>
              <w:pStyle w:val="119"/>
              <w:spacing w:before="202"/>
              <w:ind w:right="152"/>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  报价</w:t>
            </w:r>
          </w:p>
        </w:tc>
        <w:tc>
          <w:tcPr>
            <w:tcW w:w="1337" w:type="dxa"/>
            <w:vAlign w:val="center"/>
          </w:tcPr>
          <w:p>
            <w:pPr>
              <w:pStyle w:val="119"/>
              <w:spacing w:line="271"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投标报价</w:t>
            </w:r>
          </w:p>
          <w:p>
            <w:pPr>
              <w:pStyle w:val="119"/>
              <w:spacing w:line="241" w:lineRule="exact"/>
              <w:ind w:right="1"/>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（30</w:t>
            </w:r>
            <w:r>
              <w:rPr>
                <w:rFonts w:hint="eastAsia" w:asciiTheme="minorEastAsia" w:hAnsiTheme="minorEastAsia" w:eastAsiaTheme="minorEastAsia" w:cstheme="minorEastAsia"/>
                <w:color w:val="auto"/>
                <w:spacing w:val="12"/>
                <w:sz w:val="21"/>
                <w:szCs w:val="21"/>
              </w:rPr>
              <w:t xml:space="preserve"> </w:t>
            </w:r>
            <w:r>
              <w:rPr>
                <w:rFonts w:hint="eastAsia" w:asciiTheme="minorEastAsia" w:hAnsiTheme="minorEastAsia" w:eastAsiaTheme="minorEastAsia" w:cstheme="minorEastAsia"/>
                <w:color w:val="auto"/>
                <w:sz w:val="21"/>
                <w:szCs w:val="21"/>
              </w:rPr>
              <w:t>分）</w:t>
            </w:r>
          </w:p>
        </w:tc>
        <w:tc>
          <w:tcPr>
            <w:tcW w:w="599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color w:val="auto"/>
              </w:rPr>
              <w:t>1、投标报价超过采购预算的，投标无效。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2、满足招标文件实质性要求，且投标报价最低的为评标基准价，其报价得分为满分。其他投标人的报价得分分别按照下列公式计算：投标报价得分=（评标基准价/投标报价）×30（保留小数点后两位，第三位四舍五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rPr>
            </w:pPr>
            <w:r>
              <w:rPr>
                <w:rFonts w:hint="eastAsia" w:ascii="Times New Roman" w:hAnsi="Times New Roman" w:eastAsia="宋体" w:cs="Times New Roman"/>
                <w:color w:val="auto"/>
                <w:lang w:val="en-US" w:eastAsia="zh-CN"/>
              </w:rPr>
              <w:t>磋商小组</w:t>
            </w:r>
            <w:r>
              <w:rPr>
                <w:rFonts w:hint="eastAsia" w:ascii="Times New Roman" w:hAnsi="Times New Roman" w:eastAsia="宋体" w:cs="Times New Roman"/>
                <w:color w:val="auto"/>
              </w:rPr>
              <w:t>认为供应商的报价明显低于其他通过符合性审查供应商的报价，有可能影响产品质量或者不能诚信履约的，</w:t>
            </w:r>
            <w:r>
              <w:rPr>
                <w:rFonts w:hint="eastAsia" w:ascii="Times New Roman" w:hAnsi="Times New Roman" w:eastAsia="宋体" w:cs="Times New Roman"/>
                <w:color w:val="auto"/>
                <w:lang w:val="en-US" w:eastAsia="zh-CN"/>
              </w:rPr>
              <w:t>磋商小组</w:t>
            </w:r>
            <w:r>
              <w:rPr>
                <w:rFonts w:hint="eastAsia" w:ascii="Times New Roman" w:hAnsi="Times New Roman" w:eastAsia="宋体" w:cs="Times New Roman"/>
                <w:color w:val="auto"/>
              </w:rPr>
              <w:t>有权要求其在评标现场合理的时间内提供书面说明，必要时提交相关证明材料；供应商如不能证明其报价合理性的，</w:t>
            </w:r>
            <w:r>
              <w:rPr>
                <w:rFonts w:hint="eastAsia" w:ascii="Times New Roman" w:hAnsi="Times New Roman" w:eastAsia="宋体" w:cs="Times New Roman"/>
                <w:color w:val="auto"/>
                <w:lang w:val="en-US" w:eastAsia="zh-CN"/>
              </w:rPr>
              <w:t>磋商小组</w:t>
            </w:r>
            <w:r>
              <w:rPr>
                <w:rFonts w:hint="eastAsia" w:ascii="Times New Roman" w:hAnsi="Times New Roman" w:eastAsia="宋体" w:cs="Times New Roman"/>
                <w:color w:val="auto"/>
              </w:rPr>
              <w:t>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9" w:type="dxa"/>
            <w:vMerge w:val="restart"/>
            <w:vAlign w:val="center"/>
          </w:tcPr>
          <w:p>
            <w:pPr>
              <w:pStyle w:val="119"/>
              <w:spacing w:line="24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866" w:type="dxa"/>
            <w:vMerge w:val="restart"/>
            <w:vAlign w:val="center"/>
          </w:tcPr>
          <w:p>
            <w:pPr>
              <w:pStyle w:val="119"/>
              <w:spacing w:before="37"/>
              <w:ind w:right="152"/>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商务部分</w:t>
            </w:r>
          </w:p>
          <w:p>
            <w:pPr>
              <w:pStyle w:val="119"/>
              <w:spacing w:line="241" w:lineRule="exact"/>
              <w:ind w:right="92"/>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23</w:t>
            </w:r>
            <w:r>
              <w:rPr>
                <w:rFonts w:hint="eastAsia" w:asciiTheme="minorEastAsia" w:hAnsiTheme="minorEastAsia" w:eastAsiaTheme="minorEastAsia" w:cstheme="minorEastAsia"/>
                <w:color w:val="auto"/>
                <w:sz w:val="21"/>
                <w:szCs w:val="21"/>
              </w:rPr>
              <w:t>）</w:t>
            </w:r>
          </w:p>
        </w:tc>
        <w:tc>
          <w:tcPr>
            <w:tcW w:w="1337" w:type="dxa"/>
            <w:vAlign w:val="center"/>
          </w:tcPr>
          <w:p>
            <w:pPr>
              <w:pStyle w:val="119"/>
              <w:spacing w:before="10"/>
              <w:rPr>
                <w:rFonts w:asciiTheme="minorEastAsia" w:hAnsiTheme="minorEastAsia" w:eastAsiaTheme="minorEastAsia" w:cstheme="minorEastAsia"/>
                <w:color w:val="auto"/>
                <w:sz w:val="21"/>
                <w:szCs w:val="21"/>
              </w:rPr>
            </w:pPr>
          </w:p>
          <w:p>
            <w:pPr>
              <w:pStyle w:val="119"/>
              <w:ind w:left="2"/>
              <w:rPr>
                <w:rFonts w:asciiTheme="minorEastAsia" w:hAnsiTheme="minorEastAsia" w:eastAsiaTheme="minorEastAsia" w:cstheme="minorEastAsia"/>
                <w:color w:val="auto"/>
                <w:spacing w:val="-4"/>
                <w:sz w:val="21"/>
                <w:szCs w:val="21"/>
              </w:rPr>
            </w:pPr>
            <w:r>
              <w:rPr>
                <w:rFonts w:hint="eastAsia" w:asciiTheme="minorEastAsia" w:hAnsiTheme="minorEastAsia" w:eastAsiaTheme="minorEastAsia" w:cstheme="minorEastAsia"/>
                <w:color w:val="auto"/>
                <w:spacing w:val="-4"/>
                <w:sz w:val="21"/>
                <w:szCs w:val="21"/>
              </w:rPr>
              <w:t>业绩</w:t>
            </w:r>
          </w:p>
          <w:p>
            <w:pPr>
              <w:pStyle w:val="119"/>
              <w:spacing w:line="241" w:lineRule="exact"/>
              <w:ind w:left="5"/>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w:t>
            </w:r>
            <w:r>
              <w:rPr>
                <w:rFonts w:hint="eastAsia" w:asciiTheme="minorEastAsia" w:hAnsiTheme="minorEastAsia" w:eastAsiaTheme="minorEastAsia" w:cstheme="minorEastAsia"/>
                <w:color w:val="auto"/>
                <w:spacing w:val="-3"/>
                <w:sz w:val="21"/>
                <w:szCs w:val="21"/>
                <w:lang w:val="en-US" w:eastAsia="zh-CN"/>
              </w:rPr>
              <w:t>8</w:t>
            </w:r>
            <w:r>
              <w:rPr>
                <w:rFonts w:hint="eastAsia" w:asciiTheme="minorEastAsia" w:hAnsiTheme="minorEastAsia" w:eastAsiaTheme="minorEastAsia" w:cstheme="minorEastAsia"/>
                <w:color w:val="auto"/>
                <w:spacing w:val="-4"/>
                <w:sz w:val="21"/>
                <w:szCs w:val="21"/>
              </w:rPr>
              <w:t>分）</w:t>
            </w:r>
          </w:p>
          <w:p>
            <w:pPr>
              <w:pStyle w:val="119"/>
              <w:spacing w:line="241" w:lineRule="exact"/>
              <w:jc w:val="both"/>
              <w:rPr>
                <w:rFonts w:asciiTheme="minorEastAsia" w:hAnsiTheme="minorEastAsia" w:eastAsiaTheme="minorEastAsia" w:cstheme="minorEastAsia"/>
                <w:color w:val="auto"/>
                <w:sz w:val="21"/>
                <w:szCs w:val="21"/>
              </w:rPr>
            </w:pPr>
          </w:p>
        </w:tc>
        <w:tc>
          <w:tcPr>
            <w:tcW w:w="5993" w:type="dxa"/>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投标人提供2019年1月1日以来同类项目业绩，（</w:t>
            </w:r>
            <w:r>
              <w:rPr>
                <w:rFonts w:hint="eastAsia" w:asciiTheme="minorEastAsia" w:hAnsiTheme="minorEastAsia" w:eastAsiaTheme="minorEastAsia" w:cstheme="minorEastAsia"/>
                <w:b/>
                <w:bCs/>
                <w:color w:val="auto"/>
                <w:sz w:val="21"/>
                <w:szCs w:val="21"/>
                <w:lang w:val="en-US" w:eastAsia="zh-CN"/>
              </w:rPr>
              <w:t>业绩证明材料以</w:t>
            </w:r>
            <w:r>
              <w:rPr>
                <w:rFonts w:hint="eastAsia" w:asciiTheme="minorEastAsia" w:hAnsiTheme="minorEastAsia" w:eastAsiaTheme="minorEastAsia" w:cstheme="minorEastAsia"/>
                <w:b/>
                <w:bCs/>
                <w:color w:val="auto"/>
                <w:sz w:val="21"/>
                <w:szCs w:val="21"/>
              </w:rPr>
              <w:t>中标（成交）通知书或合同原件彩色扫描件</w:t>
            </w:r>
            <w:r>
              <w:rPr>
                <w:rFonts w:hint="eastAsia" w:asciiTheme="minorEastAsia" w:hAnsiTheme="minorEastAsia" w:eastAsiaTheme="minorEastAsia" w:cstheme="minorEastAsia"/>
                <w:b/>
                <w:bCs/>
                <w:color w:val="auto"/>
                <w:sz w:val="21"/>
                <w:szCs w:val="21"/>
                <w:lang w:val="en-US" w:eastAsia="zh-CN"/>
              </w:rPr>
              <w:t>为准</w:t>
            </w:r>
            <w:r>
              <w:rPr>
                <w:rFonts w:hint="eastAsia" w:asciiTheme="minorEastAsia" w:hAnsiTheme="minorEastAsia" w:eastAsiaTheme="minorEastAsia" w:cstheme="minorEastAsia"/>
                <w:color w:val="auto"/>
                <w:sz w:val="21"/>
                <w:szCs w:val="21"/>
              </w:rPr>
              <w:t xml:space="preserve">）每提供一份得 </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 xml:space="preserve">分；共计 </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9" w:hRule="atLeast"/>
        </w:trPr>
        <w:tc>
          <w:tcPr>
            <w:tcW w:w="729" w:type="dxa"/>
            <w:vMerge w:val="continue"/>
            <w:vAlign w:val="center"/>
          </w:tcPr>
          <w:p>
            <w:pPr>
              <w:jc w:val="center"/>
              <w:rPr>
                <w:rFonts w:asciiTheme="minorEastAsia" w:hAnsiTheme="minorEastAsia" w:eastAsiaTheme="minorEastAsia" w:cstheme="minorEastAsia"/>
                <w:color w:val="auto"/>
                <w:sz w:val="21"/>
                <w:szCs w:val="21"/>
              </w:rPr>
            </w:pPr>
          </w:p>
        </w:tc>
        <w:tc>
          <w:tcPr>
            <w:tcW w:w="866" w:type="dxa"/>
            <w:vMerge w:val="continue"/>
            <w:vAlign w:val="center"/>
          </w:tcPr>
          <w:p>
            <w:pPr>
              <w:jc w:val="center"/>
              <w:rPr>
                <w:rFonts w:asciiTheme="minorEastAsia" w:hAnsiTheme="minorEastAsia" w:eastAsiaTheme="minorEastAsia" w:cstheme="minorEastAsia"/>
                <w:color w:val="auto"/>
                <w:sz w:val="21"/>
                <w:szCs w:val="21"/>
              </w:rPr>
            </w:pPr>
          </w:p>
        </w:tc>
        <w:tc>
          <w:tcPr>
            <w:tcW w:w="1337" w:type="dxa"/>
            <w:vAlign w:val="center"/>
          </w:tcPr>
          <w:p>
            <w:pPr>
              <w:jc w:val="center"/>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企业认证（</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rPr>
              <w:t>）</w:t>
            </w:r>
          </w:p>
          <w:p>
            <w:pPr>
              <w:pStyle w:val="119"/>
              <w:spacing w:before="10"/>
              <w:rPr>
                <w:rFonts w:asciiTheme="minorEastAsia" w:hAnsiTheme="minorEastAsia" w:eastAsiaTheme="minorEastAsia" w:cstheme="minorEastAsia"/>
                <w:color w:val="auto"/>
                <w:sz w:val="21"/>
                <w:szCs w:val="21"/>
              </w:rPr>
            </w:pPr>
          </w:p>
          <w:p>
            <w:pPr>
              <w:pStyle w:val="119"/>
              <w:spacing w:line="241" w:lineRule="exact"/>
              <w:rPr>
                <w:rFonts w:asciiTheme="minorEastAsia" w:hAnsiTheme="minorEastAsia" w:eastAsiaTheme="minorEastAsia" w:cstheme="minorEastAsia"/>
                <w:color w:val="auto"/>
                <w:sz w:val="21"/>
                <w:szCs w:val="21"/>
              </w:rPr>
            </w:pPr>
          </w:p>
        </w:tc>
        <w:tc>
          <w:tcPr>
            <w:tcW w:w="5993" w:type="dxa"/>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1、</w:t>
            </w:r>
            <w:r>
              <w:rPr>
                <w:rFonts w:hint="eastAsia" w:asciiTheme="minorEastAsia" w:hAnsiTheme="minorEastAsia" w:eastAsiaTheme="minorEastAsia" w:cstheme="minorEastAsia"/>
                <w:color w:val="auto"/>
                <w:sz w:val="21"/>
                <w:szCs w:val="21"/>
              </w:rPr>
              <w:t>投标人获得</w:t>
            </w:r>
            <w:r>
              <w:rPr>
                <w:rFonts w:hint="eastAsia" w:asciiTheme="minorEastAsia" w:hAnsiTheme="minorEastAsia" w:eastAsiaTheme="minorEastAsia" w:cstheme="minorEastAsia"/>
                <w:color w:val="auto"/>
                <w:sz w:val="21"/>
                <w:szCs w:val="21"/>
              </w:rPr>
              <w:t>质</w:t>
            </w:r>
            <w:r>
              <w:rPr>
                <w:rFonts w:hint="eastAsia" w:asciiTheme="minorEastAsia" w:hAnsiTheme="minorEastAsia" w:eastAsiaTheme="minorEastAsia" w:cstheme="minorEastAsia"/>
                <w:color w:val="auto"/>
                <w:sz w:val="21"/>
                <w:szCs w:val="21"/>
              </w:rPr>
              <w:t>量管理体系认证、环境管理体系认证、职业健康安全管理体系认证，每提供一个得 1 分，满分 3 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bCs/>
                <w:color w:val="auto"/>
                <w:sz w:val="21"/>
                <w:szCs w:val="21"/>
              </w:rPr>
              <w:t>2、</w:t>
            </w:r>
            <w:r>
              <w:rPr>
                <w:rFonts w:hint="eastAsia" w:asciiTheme="minorEastAsia" w:hAnsiTheme="minorEastAsia" w:eastAsiaTheme="minorEastAsia" w:cstheme="minorEastAsia"/>
                <w:color w:val="auto"/>
                <w:sz w:val="21"/>
                <w:szCs w:val="21"/>
              </w:rPr>
              <w:t>投标人或生产厂家获得中国环保产品认证证书</w:t>
            </w:r>
            <w:r>
              <w:rPr>
                <w:rFonts w:hint="eastAsia" w:asciiTheme="minorEastAsia" w:hAnsiTheme="minorEastAsia" w:eastAsiaTheme="minorEastAsia" w:cstheme="minorEastAsia"/>
                <w:color w:val="auto"/>
                <w:sz w:val="21"/>
                <w:szCs w:val="21"/>
                <w:lang w:val="en-US" w:eastAsia="zh-CN"/>
              </w:rPr>
              <w:t>的</w:t>
            </w:r>
            <w:r>
              <w:rPr>
                <w:rFonts w:hint="eastAsia" w:asciiTheme="minorEastAsia" w:hAnsiTheme="minorEastAsia" w:eastAsiaTheme="minorEastAsia" w:cstheme="minorEastAsia"/>
                <w:color w:val="auto"/>
                <w:sz w:val="21"/>
                <w:szCs w:val="21"/>
              </w:rPr>
              <w:t>得3分</w:t>
            </w:r>
            <w:r>
              <w:rPr>
                <w:rFonts w:hint="eastAsia" w:asciiTheme="minorEastAsia" w:hAnsiTheme="minorEastAsia" w:eastAsiaTheme="minorEastAsia" w:cstheme="minorEastAsia"/>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3、</w:t>
            </w:r>
            <w:r>
              <w:rPr>
                <w:rFonts w:hint="eastAsia" w:asciiTheme="minorEastAsia" w:hAnsiTheme="minorEastAsia" w:eastAsiaTheme="minorEastAsia" w:cstheme="minorEastAsia"/>
                <w:color w:val="auto"/>
                <w:sz w:val="21"/>
                <w:szCs w:val="21"/>
              </w:rPr>
              <w:t>投标人或生产厂家获得中国环境标志产品认证证书</w:t>
            </w:r>
            <w:r>
              <w:rPr>
                <w:rFonts w:hint="eastAsia" w:asciiTheme="minorEastAsia" w:hAnsiTheme="minorEastAsia" w:eastAsiaTheme="minorEastAsia" w:cstheme="minorEastAsia"/>
                <w:color w:val="auto"/>
                <w:sz w:val="21"/>
                <w:szCs w:val="21"/>
                <w:lang w:val="en-US" w:eastAsia="zh-CN"/>
              </w:rPr>
              <w:t>的</w:t>
            </w:r>
            <w:r>
              <w:rPr>
                <w:rFonts w:hint="eastAsia" w:asciiTheme="minorEastAsia" w:hAnsiTheme="minorEastAsia" w:eastAsiaTheme="minorEastAsia" w:cstheme="minorEastAsia"/>
                <w:color w:val="auto"/>
                <w:sz w:val="21"/>
                <w:szCs w:val="21"/>
              </w:rPr>
              <w:t>得</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分</w:t>
            </w:r>
            <w:r>
              <w:rPr>
                <w:rFonts w:hint="eastAsia" w:asciiTheme="minorEastAsia" w:hAnsiTheme="minorEastAsia" w:eastAsiaTheme="minorEastAsia" w:cstheme="minorEastAsia"/>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4</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color w:val="auto"/>
                <w:sz w:val="21"/>
                <w:szCs w:val="21"/>
              </w:rPr>
              <w:t xml:space="preserve"> 投标人或生产厂家获得人类工效学认证证书，认证产品需包含（办公桌、办公椅</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，每提供一份得</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rPr>
              <w:t>分，满分共3分，未提供或不符合要求不得分。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5、</w:t>
            </w:r>
            <w:r>
              <w:rPr>
                <w:rFonts w:hint="eastAsia" w:asciiTheme="minorEastAsia" w:hAnsiTheme="minorEastAsia" w:eastAsiaTheme="minorEastAsia" w:cstheme="minorEastAsia"/>
                <w:color w:val="auto"/>
                <w:sz w:val="21"/>
                <w:szCs w:val="21"/>
              </w:rPr>
              <w:t>投标人或生产厂家获得家具中有害物质限量认证证书，认证范围需包含</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钢木家具：桌类、椅类；</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木家具：桌类、椅类、柜类；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每提供一个得 </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rPr>
              <w:t xml:space="preserve"> 分，满分得 3 分；未提供或不符合要求不得分。</w:t>
            </w:r>
          </w:p>
          <w:p>
            <w:pPr>
              <w:pStyle w:val="2"/>
              <w:rPr>
                <w:color w:val="auto"/>
              </w:rPr>
            </w:pPr>
          </w:p>
          <w:p>
            <w:pPr>
              <w:spacing w:line="360" w:lineRule="auto"/>
              <w:rPr>
                <w:color w:val="auto"/>
                <w:sz w:val="21"/>
                <w:szCs w:val="21"/>
              </w:rPr>
            </w:pPr>
            <w:r>
              <w:rPr>
                <w:rFonts w:hint="eastAsia" w:asciiTheme="minorEastAsia" w:hAnsiTheme="minorEastAsia" w:eastAsiaTheme="minorEastAsia" w:cstheme="minorEastAsia"/>
                <w:b/>
                <w:bCs/>
                <w:color w:val="auto"/>
                <w:sz w:val="21"/>
                <w:szCs w:val="21"/>
              </w:rPr>
              <w:t>（以上证书需在投标文件中提供有效期内的证书原件扫描件，以及国家认证监督委员会官网查询截图。）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9" w:type="dxa"/>
            <w:vMerge w:val="restart"/>
            <w:vAlign w:val="center"/>
          </w:tcPr>
          <w:p>
            <w:pPr>
              <w:pStyle w:val="119"/>
              <w:spacing w:line="242"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866" w:type="dxa"/>
            <w:vMerge w:val="restart"/>
            <w:vAlign w:val="center"/>
          </w:tcPr>
          <w:p>
            <w:pPr>
              <w:pStyle w:val="119"/>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技术部分</w:t>
            </w:r>
          </w:p>
          <w:p>
            <w:pPr>
              <w:pStyle w:val="119"/>
              <w:spacing w:before="170"/>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47</w:t>
            </w:r>
            <w:r>
              <w:rPr>
                <w:rFonts w:hint="eastAsia" w:asciiTheme="minorEastAsia" w:hAnsiTheme="minorEastAsia" w:eastAsiaTheme="minorEastAsia" w:cstheme="minorEastAsia"/>
                <w:color w:val="auto"/>
                <w:spacing w:val="-60"/>
                <w:sz w:val="21"/>
                <w:szCs w:val="21"/>
              </w:rPr>
              <w:t xml:space="preserve"> </w:t>
            </w:r>
            <w:r>
              <w:rPr>
                <w:rFonts w:hint="eastAsia" w:asciiTheme="minorEastAsia" w:hAnsiTheme="minorEastAsia" w:eastAsiaTheme="minorEastAsia" w:cstheme="minorEastAsia"/>
                <w:color w:val="auto"/>
                <w:sz w:val="21"/>
                <w:szCs w:val="21"/>
              </w:rPr>
              <w:t>分）</w:t>
            </w:r>
          </w:p>
        </w:tc>
        <w:tc>
          <w:tcPr>
            <w:tcW w:w="1337" w:type="dxa"/>
            <w:vAlign w:val="center"/>
          </w:tcPr>
          <w:p>
            <w:pPr>
              <w:pStyle w:val="119"/>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技术参数</w:t>
            </w:r>
          </w:p>
          <w:p>
            <w:pPr>
              <w:pStyle w:val="119"/>
              <w:spacing w:before="170"/>
              <w:ind w:right="1"/>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w:t>
            </w:r>
          </w:p>
        </w:tc>
        <w:tc>
          <w:tcPr>
            <w:tcW w:w="5993" w:type="dxa"/>
          </w:tcPr>
          <w:p>
            <w:p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根据招标文件的技术参数对投标产品进行综合评价 ：</w:t>
            </w:r>
          </w:p>
          <w:p>
            <w:p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完全满足招标文件要求的得</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 ，投标产品每有一项负偏离扣</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 xml:space="preserve"> 分，扣完为止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9" w:type="dxa"/>
            <w:vMerge w:val="continue"/>
            <w:vAlign w:val="center"/>
          </w:tcPr>
          <w:p>
            <w:pPr>
              <w:jc w:val="center"/>
              <w:rPr>
                <w:rFonts w:asciiTheme="minorEastAsia" w:hAnsiTheme="minorEastAsia" w:eastAsiaTheme="minorEastAsia" w:cstheme="minorEastAsia"/>
                <w:color w:val="auto"/>
                <w:sz w:val="21"/>
                <w:szCs w:val="21"/>
              </w:rPr>
            </w:pPr>
          </w:p>
        </w:tc>
        <w:tc>
          <w:tcPr>
            <w:tcW w:w="866" w:type="dxa"/>
            <w:vMerge w:val="continue"/>
            <w:vAlign w:val="center"/>
          </w:tcPr>
          <w:p>
            <w:pPr>
              <w:jc w:val="center"/>
              <w:rPr>
                <w:rFonts w:asciiTheme="minorEastAsia" w:hAnsiTheme="minorEastAsia" w:eastAsiaTheme="minorEastAsia" w:cstheme="minorEastAsia"/>
                <w:color w:val="auto"/>
                <w:sz w:val="21"/>
                <w:szCs w:val="21"/>
              </w:rPr>
            </w:pPr>
          </w:p>
        </w:tc>
        <w:tc>
          <w:tcPr>
            <w:tcW w:w="1337" w:type="dxa"/>
            <w:vAlign w:val="center"/>
          </w:tcPr>
          <w:p>
            <w:pPr>
              <w:pStyle w:val="119"/>
              <w:spacing w:before="1"/>
              <w:rPr>
                <w:rFonts w:asciiTheme="minorEastAsia" w:hAnsiTheme="minorEastAsia" w:eastAsiaTheme="minorEastAsia" w:cstheme="minorEastAsia"/>
                <w:color w:val="auto"/>
                <w:sz w:val="21"/>
                <w:szCs w:val="21"/>
              </w:rPr>
            </w:pPr>
          </w:p>
          <w:p>
            <w:pPr>
              <w:pStyle w:val="119"/>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项目实施方案</w:t>
            </w:r>
          </w:p>
          <w:p>
            <w:pPr>
              <w:pStyle w:val="119"/>
              <w:spacing w:line="241" w:lineRule="exact"/>
              <w:ind w:right="1"/>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rPr>
              <w:t>分）</w:t>
            </w:r>
          </w:p>
        </w:tc>
        <w:tc>
          <w:tcPr>
            <w:tcW w:w="5993" w:type="dxa"/>
          </w:tcPr>
          <w:p>
            <w:p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投标人提供详细的技术方案，方案完整可行,科学合理，</w:t>
            </w:r>
          </w:p>
          <w:p>
            <w:p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工期短，质量好，技术力量和人力资源配备齐全，技术方案及措施合理可行得</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rPr>
              <w:t xml:space="preserve">分；方案较完整可行,较科学合理，工期较短，质量较好，技术力量和人力资源配备较齐全，技术方案及措施较技术方案合理可行得 </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 xml:space="preserve"> 分；方案可行性、完整性、合理性、科学性一般,工期较长，质量一般，技术力量和人力资源配备一般，技术方案及措施一般得 </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 xml:space="preserve"> 分；方案可行性、完整性、合理性、科学性较差,工期长，质量差，技术力量和人力资源配备较差，技术方案及措施较差得 0 分；不提供也不得分      (满分</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3" w:hRule="atLeast"/>
        </w:trPr>
        <w:tc>
          <w:tcPr>
            <w:tcW w:w="729" w:type="dxa"/>
            <w:vMerge w:val="continue"/>
            <w:vAlign w:val="center"/>
          </w:tcPr>
          <w:p>
            <w:pPr>
              <w:jc w:val="center"/>
              <w:rPr>
                <w:rFonts w:asciiTheme="minorEastAsia" w:hAnsiTheme="minorEastAsia" w:eastAsiaTheme="minorEastAsia" w:cstheme="minorEastAsia"/>
                <w:color w:val="auto"/>
                <w:sz w:val="21"/>
                <w:szCs w:val="21"/>
              </w:rPr>
            </w:pPr>
          </w:p>
        </w:tc>
        <w:tc>
          <w:tcPr>
            <w:tcW w:w="866" w:type="dxa"/>
            <w:vMerge w:val="continue"/>
            <w:vAlign w:val="center"/>
          </w:tcPr>
          <w:p>
            <w:pPr>
              <w:jc w:val="center"/>
              <w:rPr>
                <w:rFonts w:asciiTheme="minorEastAsia" w:hAnsiTheme="minorEastAsia" w:eastAsiaTheme="minorEastAsia" w:cstheme="minorEastAsia"/>
                <w:color w:val="auto"/>
                <w:sz w:val="21"/>
                <w:szCs w:val="21"/>
              </w:rPr>
            </w:pPr>
          </w:p>
        </w:tc>
        <w:tc>
          <w:tcPr>
            <w:tcW w:w="1337" w:type="dxa"/>
            <w:vAlign w:val="center"/>
          </w:tcPr>
          <w:p>
            <w:pPr>
              <w:pStyle w:val="119"/>
              <w:spacing w:line="241" w:lineRule="exact"/>
              <w:ind w:right="1"/>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技术响应程度（</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w:t>
            </w:r>
          </w:p>
        </w:tc>
        <w:tc>
          <w:tcPr>
            <w:tcW w:w="5993" w:type="dxa"/>
          </w:tcPr>
          <w:p>
            <w:p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所投产品具有质量检测部门出具带有</w:t>
            </w:r>
            <w:r>
              <w:rPr>
                <w:rFonts w:hint="eastAsia" w:asciiTheme="minorEastAsia" w:hAnsiTheme="minorEastAsia" w:eastAsiaTheme="minorEastAsia" w:cstheme="minorEastAsia"/>
                <w:b/>
                <w:bCs/>
                <w:color w:val="auto"/>
                <w:sz w:val="21"/>
                <w:szCs w:val="21"/>
              </w:rPr>
              <w:t>清晰二维码</w:t>
            </w:r>
            <w:r>
              <w:rPr>
                <w:rFonts w:hint="eastAsia" w:asciiTheme="minorEastAsia" w:hAnsiTheme="minorEastAsia" w:eastAsiaTheme="minorEastAsia" w:cstheme="minorEastAsia"/>
                <w:color w:val="auto"/>
                <w:sz w:val="21"/>
                <w:szCs w:val="21"/>
              </w:rPr>
              <w:t>的质检合格的产品检测报告。包括：</w:t>
            </w:r>
            <w:r>
              <w:rPr>
                <w:rFonts w:hint="eastAsia" w:asciiTheme="minorEastAsia" w:hAnsiTheme="minorEastAsia" w:eastAsiaTheme="minorEastAsia" w:cstheme="minorEastAsia"/>
                <w:color w:val="auto"/>
                <w:sz w:val="21"/>
                <w:szCs w:val="21"/>
                <w:lang w:val="en-US" w:eastAsia="zh-CN"/>
              </w:rPr>
              <w:t>原材料检测报告：三聚氰胺板、PVC封边条、热熔胶、海绵、锁具、导轨等；成品检测报告</w:t>
            </w:r>
            <w:r>
              <w:rPr>
                <w:rFonts w:hint="eastAsia" w:asciiTheme="minorEastAsia" w:hAnsiTheme="minorEastAsia" w:eastAsiaTheme="minorEastAsia" w:cstheme="minorEastAsia"/>
                <w:color w:val="auto"/>
                <w:sz w:val="21"/>
                <w:szCs w:val="21"/>
              </w:rPr>
              <w:t>办公桌、</w:t>
            </w:r>
            <w:r>
              <w:rPr>
                <w:rFonts w:hint="eastAsia" w:asciiTheme="minorEastAsia" w:hAnsiTheme="minorEastAsia" w:eastAsiaTheme="minorEastAsia" w:cstheme="minorEastAsia"/>
                <w:color w:val="auto"/>
                <w:sz w:val="21"/>
                <w:szCs w:val="21"/>
                <w:lang w:val="en-US" w:eastAsia="zh-CN"/>
              </w:rPr>
              <w:t>办公</w:t>
            </w:r>
            <w:r>
              <w:rPr>
                <w:rFonts w:hint="eastAsia" w:asciiTheme="minorEastAsia" w:hAnsiTheme="minorEastAsia" w:eastAsiaTheme="minorEastAsia" w:cstheme="minorEastAsia"/>
                <w:color w:val="auto"/>
                <w:sz w:val="21"/>
                <w:szCs w:val="21"/>
              </w:rPr>
              <w:t>椅</w:t>
            </w:r>
            <w:r>
              <w:rPr>
                <w:rFonts w:hint="eastAsia" w:asciiTheme="minorEastAsia" w:hAnsiTheme="minorEastAsia" w:eastAsiaTheme="minorEastAsia" w:cstheme="minorEastAsia"/>
                <w:color w:val="auto"/>
                <w:sz w:val="21"/>
                <w:szCs w:val="21"/>
                <w:lang w:val="en-US" w:eastAsia="zh-CN"/>
              </w:rPr>
              <w:t>齐</w:t>
            </w:r>
            <w:r>
              <w:rPr>
                <w:rFonts w:hint="eastAsia" w:asciiTheme="minorEastAsia" w:hAnsiTheme="minorEastAsia" w:eastAsiaTheme="minorEastAsia" w:cstheme="minorEastAsia"/>
                <w:color w:val="auto"/>
                <w:sz w:val="21"/>
                <w:szCs w:val="21"/>
              </w:rPr>
              <w:t>全的得</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分，每缺一项扣</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分。</w:t>
            </w:r>
          </w:p>
          <w:p>
            <w:pPr>
              <w:spacing w:line="360" w:lineRule="auto"/>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cstheme="minorEastAsia"/>
                <w:b/>
                <w:bCs/>
                <w:color w:val="auto"/>
                <w:sz w:val="21"/>
                <w:szCs w:val="21"/>
              </w:rPr>
              <w:t>检测报告需提供网上真实性查询截图）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729" w:type="dxa"/>
            <w:vMerge w:val="continue"/>
            <w:vAlign w:val="center"/>
          </w:tcPr>
          <w:p>
            <w:pPr>
              <w:jc w:val="center"/>
              <w:rPr>
                <w:rFonts w:asciiTheme="minorEastAsia" w:hAnsiTheme="minorEastAsia" w:eastAsiaTheme="minorEastAsia" w:cstheme="minorEastAsia"/>
                <w:color w:val="auto"/>
                <w:sz w:val="21"/>
                <w:szCs w:val="21"/>
              </w:rPr>
            </w:pPr>
          </w:p>
        </w:tc>
        <w:tc>
          <w:tcPr>
            <w:tcW w:w="866" w:type="dxa"/>
            <w:vMerge w:val="continue"/>
            <w:vAlign w:val="center"/>
          </w:tcPr>
          <w:p>
            <w:pPr>
              <w:jc w:val="center"/>
              <w:rPr>
                <w:rFonts w:asciiTheme="minorEastAsia" w:hAnsiTheme="minorEastAsia" w:eastAsiaTheme="minorEastAsia" w:cstheme="minorEastAsia"/>
                <w:color w:val="auto"/>
                <w:sz w:val="21"/>
                <w:szCs w:val="21"/>
              </w:rPr>
            </w:pPr>
          </w:p>
        </w:tc>
        <w:tc>
          <w:tcPr>
            <w:tcW w:w="1337" w:type="dxa"/>
            <w:vAlign w:val="center"/>
          </w:tcPr>
          <w:p>
            <w:pPr>
              <w:pageBreakBefore w:val="0"/>
              <w:widowControl w:val="0"/>
              <w:kinsoku/>
              <w:bidi w:val="0"/>
              <w:spacing w:line="360" w:lineRule="auto"/>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质量保证及供货</w:t>
            </w:r>
          </w:p>
          <w:p>
            <w:pPr>
              <w:pageBreakBefore w:val="0"/>
              <w:widowControl w:val="0"/>
              <w:kinsoku/>
              <w:bidi w:val="0"/>
              <w:spacing w:line="360" w:lineRule="auto"/>
              <w:jc w:val="center"/>
              <w:rPr>
                <w:rFonts w:hint="eastAsia" w:asciiTheme="minorEastAsia" w:hAnsiTheme="minorEastAsia" w:eastAsiaTheme="minorEastAsia" w:cstheme="minorEastAsia"/>
                <w:color w:val="auto"/>
                <w:sz w:val="21"/>
                <w:szCs w:val="21"/>
              </w:rPr>
            </w:pPr>
            <w:r>
              <w:rPr>
                <w:rFonts w:hint="eastAsia" w:ascii="宋体" w:hAnsi="宋体" w:cs="宋体"/>
                <w:bCs/>
                <w:color w:val="auto"/>
                <w:sz w:val="21"/>
                <w:szCs w:val="21"/>
                <w:highlight w:val="none"/>
                <w:lang w:val="en-US" w:eastAsia="zh-CN" w:bidi="ar-SA"/>
              </w:rPr>
              <w:t>（5分）</w:t>
            </w:r>
          </w:p>
        </w:tc>
        <w:tc>
          <w:tcPr>
            <w:tcW w:w="5993" w:type="dxa"/>
            <w:vAlign w:val="center"/>
          </w:tcPr>
          <w:p>
            <w:pPr>
              <w:pageBreakBefore w:val="0"/>
              <w:widowControl w:val="0"/>
              <w:kinsoku/>
              <w:bidi w:val="0"/>
              <w:spacing w:line="360" w:lineRule="auto"/>
              <w:ind w:firstLine="420" w:firstLineChars="200"/>
              <w:rPr>
                <w:rFonts w:hint="eastAsia" w:asciiTheme="minorEastAsia" w:hAnsiTheme="minorEastAsia" w:eastAsiaTheme="minorEastAsia" w:cstheme="minorEastAsia"/>
                <w:b/>
                <w:bCs/>
                <w:color w:val="auto"/>
                <w:sz w:val="21"/>
                <w:szCs w:val="21"/>
              </w:rPr>
            </w:pPr>
            <w:r>
              <w:rPr>
                <w:rFonts w:hint="eastAsia" w:ascii="宋体" w:hAnsi="宋体" w:cs="宋体"/>
                <w:color w:val="auto"/>
                <w:sz w:val="21"/>
                <w:szCs w:val="21"/>
                <w:lang w:val="en-US" w:eastAsia="zh-CN"/>
              </w:rPr>
              <w:t>投标供应商所投</w:t>
            </w:r>
            <w:r>
              <w:rPr>
                <w:rFonts w:hint="eastAsia" w:ascii="宋体" w:hAnsi="宋体" w:eastAsia="宋体" w:cs="宋体"/>
                <w:color w:val="auto"/>
                <w:sz w:val="21"/>
                <w:szCs w:val="21"/>
                <w:lang w:val="en-US" w:eastAsia="zh-CN"/>
              </w:rPr>
              <w:t>产品</w:t>
            </w:r>
            <w:r>
              <w:rPr>
                <w:rFonts w:hint="eastAsia" w:ascii="宋体" w:hAnsi="宋体" w:cs="宋体"/>
                <w:color w:val="auto"/>
                <w:sz w:val="21"/>
                <w:szCs w:val="21"/>
                <w:lang w:val="en-US" w:eastAsia="zh-CN"/>
              </w:rPr>
              <w:t>提供</w:t>
            </w:r>
            <w:r>
              <w:rPr>
                <w:rFonts w:hint="eastAsia" w:ascii="宋体" w:hAnsi="宋体" w:eastAsia="宋体" w:cs="宋体"/>
                <w:color w:val="auto"/>
                <w:sz w:val="21"/>
                <w:szCs w:val="21"/>
                <w:lang w:val="en-US" w:eastAsia="zh-CN"/>
              </w:rPr>
              <w:t>免费质保</w:t>
            </w:r>
            <w:r>
              <w:rPr>
                <w:rFonts w:hint="eastAsia" w:ascii="宋体" w:hAnsi="宋体" w:cs="宋体"/>
                <w:color w:val="auto"/>
                <w:sz w:val="21"/>
                <w:szCs w:val="21"/>
                <w:lang w:val="en-US" w:eastAsia="zh-CN"/>
              </w:rPr>
              <w:t>，质保期限在</w:t>
            </w:r>
            <w:r>
              <w:rPr>
                <w:rFonts w:hint="eastAsia" w:ascii="宋体" w:hAnsi="宋体" w:eastAsia="宋体" w:cs="宋体"/>
                <w:color w:val="auto"/>
                <w:sz w:val="21"/>
                <w:szCs w:val="21"/>
                <w:lang w:val="en-US" w:eastAsia="zh-CN"/>
              </w:rPr>
              <w:t>3年</w:t>
            </w:r>
            <w:r>
              <w:rPr>
                <w:rFonts w:hint="eastAsia" w:ascii="宋体" w:hAnsi="宋体" w:cs="宋体"/>
                <w:color w:val="auto"/>
                <w:sz w:val="21"/>
                <w:szCs w:val="21"/>
                <w:lang w:val="en-US" w:eastAsia="zh-CN"/>
              </w:rPr>
              <w:t>以上且能够在7日内完成货物安装并交付使用的得5分</w:t>
            </w:r>
            <w:r>
              <w:rPr>
                <w:rFonts w:hint="eastAsia" w:ascii="宋体" w:hAnsi="宋体" w:eastAsia="宋体" w:cs="宋体"/>
                <w:color w:val="auto"/>
                <w:sz w:val="21"/>
                <w:szCs w:val="21"/>
                <w:lang w:val="en-US" w:eastAsia="zh-CN"/>
              </w:rPr>
              <w:t>。（提供生产厂家证明材料或投标供应商承诺书</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未提供不得分</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9" w:type="dxa"/>
            <w:vMerge w:val="continue"/>
            <w:vAlign w:val="center"/>
          </w:tcPr>
          <w:p>
            <w:pPr>
              <w:jc w:val="center"/>
              <w:rPr>
                <w:rFonts w:asciiTheme="minorEastAsia" w:hAnsiTheme="minorEastAsia" w:eastAsiaTheme="minorEastAsia" w:cstheme="minorEastAsia"/>
                <w:color w:val="auto"/>
                <w:sz w:val="21"/>
                <w:szCs w:val="21"/>
              </w:rPr>
            </w:pPr>
          </w:p>
        </w:tc>
        <w:tc>
          <w:tcPr>
            <w:tcW w:w="866" w:type="dxa"/>
            <w:vMerge w:val="continue"/>
            <w:vAlign w:val="center"/>
          </w:tcPr>
          <w:p>
            <w:pPr>
              <w:jc w:val="center"/>
              <w:rPr>
                <w:rFonts w:asciiTheme="minorEastAsia" w:hAnsiTheme="minorEastAsia" w:eastAsiaTheme="minorEastAsia" w:cstheme="minorEastAsia"/>
                <w:color w:val="auto"/>
                <w:sz w:val="21"/>
                <w:szCs w:val="21"/>
              </w:rPr>
            </w:pPr>
          </w:p>
        </w:tc>
        <w:tc>
          <w:tcPr>
            <w:tcW w:w="1337" w:type="dxa"/>
            <w:vAlign w:val="center"/>
          </w:tcPr>
          <w:p>
            <w:pPr>
              <w:pStyle w:val="119"/>
              <w:spacing w:before="29"/>
              <w:rPr>
                <w:rFonts w:asciiTheme="minorEastAsia" w:hAnsiTheme="minorEastAsia" w:eastAsiaTheme="minorEastAsia" w:cstheme="minorEastAsia"/>
                <w:color w:val="auto"/>
                <w:sz w:val="21"/>
                <w:szCs w:val="21"/>
              </w:rPr>
            </w:pPr>
          </w:p>
          <w:p>
            <w:pPr>
              <w:pStyle w:val="119"/>
              <w:spacing w:before="29"/>
              <w:rPr>
                <w:rFonts w:asciiTheme="minorEastAsia" w:hAnsiTheme="minorEastAsia" w:eastAsiaTheme="minorEastAsia" w:cstheme="minorEastAsia"/>
                <w:color w:val="auto"/>
                <w:sz w:val="21"/>
                <w:szCs w:val="21"/>
              </w:rPr>
            </w:pPr>
          </w:p>
          <w:p>
            <w:pPr>
              <w:pStyle w:val="119"/>
              <w:spacing w:before="29"/>
              <w:rPr>
                <w:rFonts w:asciiTheme="minorEastAsia" w:hAnsiTheme="minorEastAsia" w:eastAsiaTheme="minorEastAsia" w:cstheme="minorEastAsia"/>
                <w:color w:val="auto"/>
                <w:sz w:val="21"/>
                <w:szCs w:val="21"/>
              </w:rPr>
            </w:pPr>
          </w:p>
          <w:p>
            <w:pPr>
              <w:pStyle w:val="119"/>
              <w:spacing w:before="29"/>
              <w:rPr>
                <w:rFonts w:asciiTheme="minorEastAsia" w:hAnsiTheme="minorEastAsia" w:eastAsiaTheme="minorEastAsia" w:cstheme="minorEastAsia"/>
                <w:color w:val="auto"/>
                <w:sz w:val="21"/>
                <w:szCs w:val="21"/>
              </w:rPr>
            </w:pPr>
          </w:p>
          <w:p>
            <w:pPr>
              <w:pStyle w:val="119"/>
              <w:spacing w:before="29"/>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售后服务</w:t>
            </w:r>
          </w:p>
          <w:p>
            <w:pPr>
              <w:pStyle w:val="119"/>
              <w:spacing w:before="40"/>
              <w:ind w:right="1"/>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分）</w:t>
            </w:r>
          </w:p>
        </w:tc>
        <w:tc>
          <w:tcPr>
            <w:tcW w:w="5993" w:type="dxa"/>
          </w:tcPr>
          <w:p>
            <w:pPr>
              <w:numPr>
                <w:ilvl w:val="0"/>
                <w:numId w:val="5"/>
              </w:num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投标人应具备良好的信誉和完善的售后服务体系，投标人在供货地具有售后服务机构，得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 xml:space="preserve"> 分。</w:t>
            </w:r>
            <w:r>
              <w:rPr>
                <w:rFonts w:hint="eastAsia" w:asciiTheme="minorEastAsia" w:hAnsiTheme="minorEastAsia" w:eastAsiaTheme="minorEastAsia" w:cstheme="minorEastAsia"/>
                <w:b/>
                <w:bCs/>
                <w:color w:val="auto"/>
                <w:sz w:val="21"/>
                <w:szCs w:val="21"/>
              </w:rPr>
              <w:t>(提供相关证明文件)</w:t>
            </w:r>
          </w:p>
          <w:p>
            <w:p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2</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color w:val="auto"/>
                <w:sz w:val="21"/>
                <w:szCs w:val="21"/>
              </w:rPr>
              <w:t xml:space="preserve">投标人的售后服务承诺：提供详细可行的、完善可靠地售后服务方案，（包括及时的响应时间、免费质保期、上门时间、维修时间、备品备件），其中，方案可行性强、完整度高、及时性好、售后服务能力优、专业维护人员制度完善的，得 </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 xml:space="preserve"> 分；方案可行性较强、完整度较高、及时性较好、售后服务能力较优专业维护人员制度较完善的，得 </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分；方案可行性一般、完整度一般、及时性一般、售后服务能力一般、专业维护人员制度一般的，得</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 xml:space="preserve">分；方案可行性差、完整度差、及时性差、售后服务能 力差、专业维护人员制度差的，得 0 分；不提供不得分； </w:t>
            </w:r>
          </w:p>
        </w:tc>
      </w:tr>
    </w:tbl>
    <w:p>
      <w:pPr>
        <w:spacing w:line="360" w:lineRule="auto"/>
        <w:rPr>
          <w:rFonts w:hAnsi="宋体"/>
          <w:color w:val="auto"/>
          <w:sz w:val="24"/>
          <w:szCs w:val="24"/>
        </w:rPr>
      </w:pPr>
      <w:r>
        <w:rPr>
          <w:rFonts w:hint="eastAsia" w:hAnsi="宋体"/>
          <w:color w:val="auto"/>
          <w:sz w:val="24"/>
          <w:szCs w:val="24"/>
        </w:rPr>
        <w:t xml:space="preserve"> </w:t>
      </w:r>
      <w:r>
        <w:rPr>
          <w:rFonts w:hint="eastAsia" w:hAnsi="宋体"/>
          <w:color w:val="auto"/>
          <w:sz w:val="24"/>
          <w:szCs w:val="24"/>
        </w:rPr>
        <w:t xml:space="preserve">         </w:t>
      </w: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9"/>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采购合同</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5"/>
        <w:numPr>
          <w:ilvl w:val="0"/>
          <w:numId w:val="0"/>
        </w:numPr>
        <w:ind w:left="1838"/>
        <w:rPr>
          <w:color w:val="auto"/>
        </w:rPr>
      </w:pPr>
    </w:p>
    <w:p>
      <w:pPr>
        <w:pStyle w:val="47"/>
        <w:ind w:firstLine="420"/>
        <w:rPr>
          <w:color w:val="auto"/>
        </w:rPr>
      </w:pPr>
    </w:p>
    <w:p>
      <w:pPr>
        <w:pStyle w:val="47"/>
        <w:ind w:firstLine="420"/>
        <w:rPr>
          <w:color w:val="auto"/>
        </w:rPr>
      </w:pPr>
    </w:p>
    <w:p>
      <w:pPr>
        <w:pStyle w:val="47"/>
        <w:ind w:firstLine="600"/>
        <w:rPr>
          <w:rFonts w:hAnsi="宋体" w:cs="宋体"/>
          <w:color w:val="auto"/>
          <w:sz w:val="30"/>
          <w:szCs w:val="30"/>
        </w:rPr>
      </w:pPr>
    </w:p>
    <w:p>
      <w:pPr>
        <w:pStyle w:val="47"/>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6"/>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6"/>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9"/>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5"/>
        <w:numPr>
          <w:ilvl w:val="0"/>
          <w:numId w:val="0"/>
        </w:numPr>
        <w:ind w:left="1838"/>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9"/>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rPr>
          <w:rFonts w:ascii="宋体" w:hAnsi="宋体" w:cs="宋体"/>
          <w:color w:val="auto"/>
        </w:rPr>
      </w:pPr>
    </w:p>
    <w:bookmarkEnd w:id="24"/>
    <w:bookmarkEnd w:id="25"/>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28" w:name="_Toc361769640"/>
      <w:bookmarkStart w:id="29" w:name="_Toc361769774"/>
      <w:bookmarkStart w:id="30" w:name="_Toc365276924"/>
    </w:p>
    <w:p>
      <w:pPr>
        <w:spacing w:after="160" w:line="360" w:lineRule="auto"/>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spacing w:after="160" w:line="360" w:lineRule="auto"/>
        <w:rPr>
          <w:rFonts w:ascii="宋体" w:hAnsi="宋体" w:cs="宋体"/>
          <w:color w:val="auto"/>
          <w:sz w:val="24"/>
        </w:rPr>
      </w:pPr>
    </w:p>
    <w:p>
      <w:pPr>
        <w:pStyle w:val="3"/>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1" w:name="_Toc480203888"/>
      <w:bookmarkStart w:id="32" w:name="_Toc498079263"/>
      <w:bookmarkStart w:id="33" w:name="_Toc3989"/>
      <w:r>
        <w:rPr>
          <w:rFonts w:hint="eastAsia" w:ascii="宋体" w:hAnsi="宋体" w:cs="宋体"/>
          <w:color w:val="auto"/>
        </w:rPr>
        <w:t>第三部分 技术参数及项目</w:t>
      </w:r>
      <w:bookmarkEnd w:id="31"/>
      <w:bookmarkEnd w:id="32"/>
      <w:bookmarkEnd w:id="33"/>
      <w:r>
        <w:rPr>
          <w:rFonts w:hint="eastAsia" w:ascii="宋体" w:hAnsi="宋体" w:cs="宋体"/>
          <w:color w:val="auto"/>
        </w:rPr>
        <w:t>需求</w:t>
      </w:r>
    </w:p>
    <w:p>
      <w:pPr>
        <w:pStyle w:val="3"/>
        <w:numPr>
          <w:ilvl w:val="0"/>
          <w:numId w:val="7"/>
        </w:numPr>
        <w:spacing w:line="360" w:lineRule="auto"/>
        <w:jc w:val="center"/>
        <w:rPr>
          <w:rFonts w:ascii="宋体" w:hAnsi="宋体" w:cs="宋体"/>
          <w:color w:val="auto"/>
        </w:rPr>
      </w:pPr>
      <w:r>
        <w:rPr>
          <w:rFonts w:hint="eastAsia" w:hAnsi="宋体"/>
          <w:b/>
          <w:color w:val="auto"/>
          <w:sz w:val="30"/>
          <w:szCs w:val="30"/>
          <w:lang w:val="en-US" w:eastAsia="zh-CN"/>
        </w:rPr>
        <w:t xml:space="preserve">  </w:t>
      </w:r>
      <w:bookmarkStart w:id="34" w:name="_Toc498079264"/>
    </w:p>
    <w:p>
      <w:pPr>
        <w:jc w:val="center"/>
        <w:rPr>
          <w:rFonts w:hint="eastAsia"/>
          <w:color w:val="auto"/>
          <w:sz w:val="32"/>
          <w:szCs w:val="32"/>
          <w:lang w:val="en-US" w:eastAsia="zh-CN"/>
        </w:rPr>
      </w:pPr>
      <w:r>
        <w:rPr>
          <w:rFonts w:hint="eastAsia"/>
          <w:color w:val="auto"/>
          <w:sz w:val="32"/>
          <w:szCs w:val="32"/>
          <w:lang w:val="en-US" w:eastAsia="zh-CN"/>
        </w:rPr>
        <w:t>项目需求</w:t>
      </w:r>
    </w:p>
    <w:tbl>
      <w:tblPr>
        <w:tblStyle w:val="38"/>
        <w:tblW w:w="13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215"/>
        <w:gridCol w:w="1440"/>
        <w:gridCol w:w="540"/>
        <w:gridCol w:w="720"/>
        <w:gridCol w:w="4838"/>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jc w:val="center"/>
              <w:rPr>
                <w:rFonts w:hint="eastAsia" w:eastAsia="宋体"/>
                <w:color w:val="auto"/>
                <w:vertAlign w:val="baseline"/>
                <w:lang w:val="en-US" w:eastAsia="zh-CN"/>
              </w:rPr>
            </w:pPr>
            <w:r>
              <w:rPr>
                <w:rFonts w:hint="eastAsia"/>
                <w:color w:val="auto"/>
                <w:vertAlign w:val="baseline"/>
                <w:lang w:val="en-US" w:eastAsia="zh-CN"/>
              </w:rPr>
              <w:t>序号</w:t>
            </w:r>
          </w:p>
        </w:tc>
        <w:tc>
          <w:tcPr>
            <w:tcW w:w="1215" w:type="dxa"/>
          </w:tcPr>
          <w:p>
            <w:pPr>
              <w:jc w:val="center"/>
              <w:rPr>
                <w:rFonts w:hint="default" w:eastAsia="宋体"/>
                <w:color w:val="auto"/>
                <w:vertAlign w:val="baseline"/>
                <w:lang w:val="en-US" w:eastAsia="zh-CN"/>
              </w:rPr>
            </w:pPr>
            <w:r>
              <w:rPr>
                <w:rFonts w:hint="eastAsia"/>
                <w:color w:val="auto"/>
                <w:vertAlign w:val="baseline"/>
                <w:lang w:val="en-US" w:eastAsia="zh-CN"/>
              </w:rPr>
              <w:t>产品名称</w:t>
            </w:r>
          </w:p>
        </w:tc>
        <w:tc>
          <w:tcPr>
            <w:tcW w:w="1440" w:type="dxa"/>
          </w:tcPr>
          <w:p>
            <w:pPr>
              <w:jc w:val="center"/>
              <w:rPr>
                <w:rFonts w:hint="default"/>
                <w:color w:val="auto"/>
                <w:vertAlign w:val="baseline"/>
                <w:lang w:val="en-US" w:eastAsia="zh-CN"/>
              </w:rPr>
            </w:pPr>
            <w:r>
              <w:rPr>
                <w:rFonts w:hint="eastAsia"/>
                <w:color w:val="auto"/>
                <w:vertAlign w:val="baseline"/>
                <w:lang w:val="en-US" w:eastAsia="zh-CN"/>
              </w:rPr>
              <w:t>规格</w:t>
            </w:r>
          </w:p>
        </w:tc>
        <w:tc>
          <w:tcPr>
            <w:tcW w:w="540" w:type="dxa"/>
          </w:tcPr>
          <w:p>
            <w:pPr>
              <w:jc w:val="center"/>
              <w:rPr>
                <w:rFonts w:hint="eastAsia" w:eastAsia="宋体"/>
                <w:color w:val="auto"/>
                <w:vertAlign w:val="baseline"/>
                <w:lang w:val="en-US" w:eastAsia="zh-CN"/>
              </w:rPr>
            </w:pPr>
            <w:r>
              <w:rPr>
                <w:rFonts w:hint="eastAsia"/>
                <w:color w:val="auto"/>
                <w:vertAlign w:val="baseline"/>
                <w:lang w:val="en-US" w:eastAsia="zh-CN"/>
              </w:rPr>
              <w:t>单位</w:t>
            </w:r>
          </w:p>
        </w:tc>
        <w:tc>
          <w:tcPr>
            <w:tcW w:w="720" w:type="dxa"/>
          </w:tcPr>
          <w:p>
            <w:pPr>
              <w:jc w:val="center"/>
              <w:rPr>
                <w:rFonts w:hint="eastAsia" w:eastAsia="宋体"/>
                <w:color w:val="auto"/>
                <w:vertAlign w:val="baseline"/>
                <w:lang w:val="en-US" w:eastAsia="zh-CN"/>
              </w:rPr>
            </w:pPr>
            <w:r>
              <w:rPr>
                <w:rFonts w:hint="eastAsia"/>
                <w:color w:val="auto"/>
                <w:vertAlign w:val="baseline"/>
                <w:lang w:val="en-US" w:eastAsia="zh-CN"/>
              </w:rPr>
              <w:t>数量</w:t>
            </w:r>
          </w:p>
        </w:tc>
        <w:tc>
          <w:tcPr>
            <w:tcW w:w="4838" w:type="dxa"/>
          </w:tcPr>
          <w:p>
            <w:pPr>
              <w:jc w:val="center"/>
              <w:rPr>
                <w:rFonts w:hint="default" w:eastAsia="宋体"/>
                <w:color w:val="auto"/>
                <w:vertAlign w:val="baseline"/>
                <w:lang w:val="en-US" w:eastAsia="zh-CN"/>
              </w:rPr>
            </w:pPr>
            <w:r>
              <w:rPr>
                <w:rFonts w:hint="eastAsia"/>
                <w:color w:val="auto"/>
                <w:vertAlign w:val="baseline"/>
                <w:lang w:val="en-US" w:eastAsia="zh-CN"/>
              </w:rPr>
              <w:t>技术参数</w:t>
            </w:r>
          </w:p>
        </w:tc>
        <w:tc>
          <w:tcPr>
            <w:tcW w:w="4110" w:type="dxa"/>
          </w:tcPr>
          <w:p>
            <w:pPr>
              <w:jc w:val="center"/>
              <w:rPr>
                <w:rFonts w:hint="default"/>
                <w:color w:val="auto"/>
                <w:vertAlign w:val="baseline"/>
                <w:lang w:val="en-US" w:eastAsia="zh-CN"/>
              </w:rPr>
            </w:pPr>
            <w:r>
              <w:rPr>
                <w:rFonts w:hint="eastAsia"/>
                <w:color w:val="auto"/>
                <w:vertAlign w:val="baseline"/>
                <w:lang w:val="en-US" w:eastAsia="zh-CN"/>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vAlign w:val="center"/>
          </w:tcPr>
          <w:p>
            <w:pPr>
              <w:jc w:val="center"/>
              <w:rPr>
                <w:rFonts w:hint="eastAsia" w:eastAsia="宋体"/>
                <w:color w:val="auto"/>
                <w:vertAlign w:val="baseline"/>
                <w:lang w:val="en-US" w:eastAsia="zh-CN"/>
              </w:rPr>
            </w:pPr>
            <w:r>
              <w:rPr>
                <w:rFonts w:hint="eastAsia"/>
                <w:color w:val="auto"/>
                <w:vertAlign w:val="baseline"/>
                <w:lang w:val="en-US" w:eastAsia="zh-CN"/>
              </w:rPr>
              <w:t>1</w:t>
            </w:r>
          </w:p>
        </w:tc>
        <w:tc>
          <w:tcPr>
            <w:tcW w:w="1215" w:type="dxa"/>
            <w:vAlign w:val="center"/>
          </w:tcPr>
          <w:p>
            <w:pPr>
              <w:jc w:val="center"/>
              <w:rPr>
                <w:color w:val="auto"/>
                <w:vertAlign w:val="baseline"/>
              </w:rPr>
            </w:pPr>
            <w:r>
              <w:rPr>
                <w:rFonts w:hint="eastAsia"/>
                <w:color w:val="auto"/>
                <w:vertAlign w:val="baseline"/>
              </w:rPr>
              <w:t>办公桌</w:t>
            </w:r>
          </w:p>
        </w:tc>
        <w:tc>
          <w:tcPr>
            <w:tcW w:w="1440" w:type="dxa"/>
            <w:vAlign w:val="center"/>
          </w:tcPr>
          <w:p>
            <w:pPr>
              <w:jc w:val="center"/>
              <w:rPr>
                <w:color w:val="auto"/>
                <w:vertAlign w:val="baseline"/>
              </w:rPr>
            </w:pPr>
            <w:r>
              <w:rPr>
                <w:rFonts w:hint="eastAsia"/>
                <w:color w:val="auto"/>
                <w:vertAlign w:val="baseline"/>
              </w:rPr>
              <w:t>1600*750*750mm</w:t>
            </w:r>
          </w:p>
        </w:tc>
        <w:tc>
          <w:tcPr>
            <w:tcW w:w="540" w:type="dxa"/>
            <w:vAlign w:val="center"/>
          </w:tcPr>
          <w:p>
            <w:pPr>
              <w:jc w:val="center"/>
              <w:rPr>
                <w:rFonts w:hint="eastAsia" w:eastAsia="宋体"/>
                <w:color w:val="auto"/>
                <w:vertAlign w:val="baseline"/>
                <w:lang w:val="en-US" w:eastAsia="zh-CN"/>
              </w:rPr>
            </w:pPr>
            <w:r>
              <w:rPr>
                <w:rFonts w:hint="eastAsia"/>
                <w:color w:val="auto"/>
                <w:vertAlign w:val="baseline"/>
                <w:lang w:val="en-US" w:eastAsia="zh-CN"/>
              </w:rPr>
              <w:t>张</w:t>
            </w:r>
          </w:p>
        </w:tc>
        <w:tc>
          <w:tcPr>
            <w:tcW w:w="720" w:type="dxa"/>
            <w:vAlign w:val="center"/>
          </w:tcPr>
          <w:p>
            <w:pPr>
              <w:jc w:val="center"/>
              <w:rPr>
                <w:rFonts w:hint="default" w:eastAsia="宋体"/>
                <w:color w:val="auto"/>
                <w:vertAlign w:val="baseline"/>
                <w:lang w:val="en-US" w:eastAsia="zh-CN"/>
              </w:rPr>
            </w:pPr>
            <w:r>
              <w:rPr>
                <w:rFonts w:hint="eastAsia"/>
                <w:color w:val="auto"/>
                <w:vertAlign w:val="baseline"/>
                <w:lang w:val="en-US" w:eastAsia="zh-CN"/>
              </w:rPr>
              <w:t>10</w:t>
            </w:r>
          </w:p>
        </w:tc>
        <w:tc>
          <w:tcPr>
            <w:tcW w:w="4838" w:type="dxa"/>
          </w:tcPr>
          <w:p>
            <w:pPr>
              <w:jc w:val="left"/>
              <w:rPr>
                <w:rFonts w:hint="eastAsia"/>
                <w:color w:val="auto"/>
              </w:rPr>
            </w:pPr>
            <w:r>
              <w:rPr>
                <w:rFonts w:hint="eastAsia"/>
                <w:color w:val="auto"/>
              </w:rPr>
              <w:t xml:space="preserve">1、基材：采用国产优质 E1 级环保 </w:t>
            </w:r>
            <w:r>
              <w:rPr>
                <w:rFonts w:hint="eastAsia"/>
                <w:color w:val="auto"/>
                <w:lang w:val="en-US" w:eastAsia="zh-CN"/>
              </w:rPr>
              <w:t>三聚氰胺板</w:t>
            </w:r>
            <w:r>
              <w:rPr>
                <w:rFonts w:hint="eastAsia"/>
                <w:color w:val="auto"/>
              </w:rPr>
              <w:t>材质，甲醛含量低于 1.5mg/L;经防潮、防虫、防腐处理，强度高、刚性好、不变形；</w:t>
            </w:r>
          </w:p>
          <w:p>
            <w:pPr>
              <w:jc w:val="left"/>
              <w:rPr>
                <w:rFonts w:hint="eastAsia"/>
                <w:color w:val="auto"/>
              </w:rPr>
            </w:pPr>
            <w:r>
              <w:rPr>
                <w:rFonts w:hint="eastAsia"/>
                <w:color w:val="auto"/>
              </w:rPr>
              <w:t>2、封边：采用优质</w:t>
            </w:r>
            <w:r>
              <w:rPr>
                <w:rFonts w:hint="eastAsia"/>
                <w:color w:val="auto"/>
                <w:lang w:val="en-US" w:eastAsia="zh-CN"/>
              </w:rPr>
              <w:t>PVC</w:t>
            </w:r>
            <w:r>
              <w:rPr>
                <w:rFonts w:hint="eastAsia"/>
                <w:color w:val="auto"/>
              </w:rPr>
              <w:t>封边，厚度大于 2mm，精修自动封边机进行封边处理，坚固耐用，防止因温差大的情况下使水分入侵，造成变形开 裂,40℃±2℃,相对温度 98%~99%和-20℃± 2℃,各 1h,3 周期.试验后无鼓泡,</w:t>
            </w:r>
            <w:r>
              <w:rPr>
                <w:rFonts w:hint="eastAsia"/>
                <w:color w:val="auto"/>
                <w:lang w:val="en-US" w:eastAsia="zh-CN"/>
              </w:rPr>
              <w:t>无</w:t>
            </w:r>
            <w:r>
              <w:rPr>
                <w:rFonts w:hint="eastAsia"/>
                <w:color w:val="auto"/>
              </w:rPr>
              <w:t>裂缝、</w:t>
            </w:r>
            <w:r>
              <w:rPr>
                <w:rFonts w:hint="eastAsia"/>
                <w:color w:val="auto"/>
                <w:lang w:val="en-US" w:eastAsia="zh-CN"/>
              </w:rPr>
              <w:t>不</w:t>
            </w:r>
            <w:r>
              <w:rPr>
                <w:rFonts w:hint="eastAsia"/>
                <w:color w:val="auto"/>
              </w:rPr>
              <w:t>变形。</w:t>
            </w:r>
          </w:p>
          <w:p>
            <w:pPr>
              <w:jc w:val="left"/>
              <w:rPr>
                <w:rFonts w:hint="eastAsia"/>
                <w:color w:val="auto"/>
              </w:rPr>
            </w:pPr>
            <w:r>
              <w:rPr>
                <w:rFonts w:hint="eastAsia"/>
                <w:color w:val="auto"/>
              </w:rPr>
              <w:t>3</w:t>
            </w:r>
            <w:r>
              <w:rPr>
                <w:rFonts w:hint="eastAsia"/>
                <w:color w:val="auto"/>
                <w:lang w:eastAsia="zh-CN"/>
              </w:rPr>
              <w:t>、</w:t>
            </w:r>
            <w:r>
              <w:rPr>
                <w:rFonts w:hint="eastAsia"/>
                <w:color w:val="auto"/>
              </w:rPr>
              <w:t xml:space="preserve">.粘合剂：采用热熔胶，游离甲醛释放约为 0， 耐热、耐寒、防水、绿色无污染; </w:t>
            </w:r>
          </w:p>
          <w:p>
            <w:pPr>
              <w:jc w:val="left"/>
              <w:rPr>
                <w:rFonts w:hint="eastAsia"/>
                <w:color w:val="auto"/>
              </w:rPr>
            </w:pPr>
            <w:r>
              <w:rPr>
                <w:rFonts w:hint="eastAsia"/>
                <w:color w:val="auto"/>
              </w:rPr>
              <w:t>4</w:t>
            </w:r>
            <w:r>
              <w:rPr>
                <w:rFonts w:hint="eastAsia"/>
                <w:color w:val="auto"/>
                <w:lang w:eastAsia="zh-CN"/>
              </w:rPr>
              <w:t>、</w:t>
            </w:r>
            <w:r>
              <w:rPr>
                <w:rFonts w:hint="eastAsia"/>
                <w:color w:val="auto"/>
              </w:rPr>
              <w:t>配件：静电喷涂螺丝，坚固、耐用、不生锈</w:t>
            </w:r>
            <w:r>
              <w:rPr>
                <w:rFonts w:hint="eastAsia"/>
                <w:color w:val="auto"/>
                <w:lang w:eastAsia="zh-CN"/>
              </w:rPr>
              <w:t>，</w:t>
            </w:r>
            <w:r>
              <w:rPr>
                <w:rFonts w:hint="eastAsia"/>
                <w:color w:val="auto"/>
              </w:rPr>
              <w:t>优质锁具</w:t>
            </w:r>
            <w:r>
              <w:rPr>
                <w:rFonts w:hint="eastAsia"/>
                <w:color w:val="auto"/>
                <w:lang w:eastAsia="zh-CN"/>
              </w:rPr>
              <w:t>，</w:t>
            </w:r>
            <w:r>
              <w:rPr>
                <w:rFonts w:hint="eastAsia"/>
                <w:color w:val="auto"/>
              </w:rPr>
              <w:t>优质三节导轨等</w:t>
            </w:r>
            <w:r>
              <w:rPr>
                <w:rFonts w:hint="eastAsia"/>
                <w:color w:val="auto"/>
                <w:lang w:eastAsia="zh-CN"/>
              </w:rPr>
              <w:t>，</w:t>
            </w:r>
            <w:r>
              <w:rPr>
                <w:rFonts w:hint="eastAsia"/>
                <w:color w:val="auto"/>
              </w:rPr>
              <w:t>含优质铝合金拉手条。</w:t>
            </w:r>
          </w:p>
          <w:p>
            <w:pPr>
              <w:pStyle w:val="16"/>
              <w:jc w:val="left"/>
              <w:rPr>
                <w:rFonts w:hint="default" w:eastAsia="宋体"/>
                <w:color w:val="auto"/>
                <w:lang w:val="en-US" w:eastAsia="zh-CN"/>
              </w:rPr>
            </w:pPr>
            <w:r>
              <w:rPr>
                <w:rFonts w:hint="eastAsia"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带小柜、带附柜</w:t>
            </w:r>
            <w:r>
              <w:rPr>
                <w:rFonts w:hint="eastAsia" w:cs="Times New Roman"/>
                <w:color w:val="auto"/>
                <w:kern w:val="2"/>
                <w:sz w:val="21"/>
                <w:szCs w:val="24"/>
                <w:lang w:val="en-US" w:eastAsia="zh-CN" w:bidi="ar-SA"/>
              </w:rPr>
              <w:t>）</w:t>
            </w:r>
          </w:p>
        </w:tc>
        <w:tc>
          <w:tcPr>
            <w:tcW w:w="4110" w:type="dxa"/>
          </w:tcPr>
          <w:p>
            <w:pPr>
              <w:pStyle w:val="16"/>
              <w:jc w:val="center"/>
              <w:rPr>
                <w:rFonts w:hint="eastAsia" w:ascii="Times New Roman" w:hAnsi="Times New Roman" w:eastAsia="宋体" w:cs="Times New Roman"/>
                <w:color w:val="auto"/>
                <w:kern w:val="2"/>
                <w:sz w:val="21"/>
                <w:szCs w:val="24"/>
                <w:lang w:val="en-US" w:eastAsia="zh-CN" w:bidi="ar-SA"/>
              </w:rPr>
            </w:pPr>
            <w:r>
              <w:rPr>
                <w:color w:val="auto"/>
              </w:rPr>
              <w:drawing>
                <wp:inline distT="0" distB="0" distL="114300" distR="114300">
                  <wp:extent cx="1972945" cy="1152525"/>
                  <wp:effectExtent l="0" t="0" r="825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9"/>
                          <a:stretch>
                            <a:fillRect/>
                          </a:stretch>
                        </pic:blipFill>
                        <pic:spPr>
                          <a:xfrm>
                            <a:off x="0" y="0"/>
                            <a:ext cx="1972945" cy="11525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2" w:hRule="atLeast"/>
        </w:trPr>
        <w:tc>
          <w:tcPr>
            <w:tcW w:w="616" w:type="dxa"/>
            <w:vAlign w:val="center"/>
          </w:tcPr>
          <w:p>
            <w:pPr>
              <w:jc w:val="center"/>
              <w:rPr>
                <w:rFonts w:hint="eastAsia" w:eastAsia="宋体"/>
                <w:color w:val="auto"/>
                <w:vertAlign w:val="baseline"/>
                <w:lang w:val="en-US" w:eastAsia="zh-CN"/>
              </w:rPr>
            </w:pPr>
            <w:r>
              <w:rPr>
                <w:rFonts w:hint="eastAsia"/>
                <w:color w:val="auto"/>
                <w:vertAlign w:val="baseline"/>
                <w:lang w:val="en-US" w:eastAsia="zh-CN"/>
              </w:rPr>
              <w:t>2</w:t>
            </w:r>
          </w:p>
        </w:tc>
        <w:tc>
          <w:tcPr>
            <w:tcW w:w="1215" w:type="dxa"/>
            <w:vAlign w:val="center"/>
          </w:tcPr>
          <w:p>
            <w:pPr>
              <w:jc w:val="center"/>
              <w:rPr>
                <w:color w:val="auto"/>
                <w:vertAlign w:val="baseline"/>
              </w:rPr>
            </w:pPr>
            <w:r>
              <w:rPr>
                <w:rFonts w:hint="eastAsia"/>
                <w:color w:val="auto"/>
                <w:vertAlign w:val="baseline"/>
              </w:rPr>
              <w:t>办公桌</w:t>
            </w:r>
          </w:p>
        </w:tc>
        <w:tc>
          <w:tcPr>
            <w:tcW w:w="1440" w:type="dxa"/>
            <w:vAlign w:val="center"/>
          </w:tcPr>
          <w:p>
            <w:pPr>
              <w:jc w:val="center"/>
              <w:rPr>
                <w:color w:val="auto"/>
                <w:vertAlign w:val="baseline"/>
              </w:rPr>
            </w:pPr>
            <w:r>
              <w:rPr>
                <w:rFonts w:hint="eastAsia"/>
                <w:color w:val="auto"/>
                <w:vertAlign w:val="baseline"/>
              </w:rPr>
              <w:t>1400*700*750mm</w:t>
            </w:r>
          </w:p>
        </w:tc>
        <w:tc>
          <w:tcPr>
            <w:tcW w:w="540" w:type="dxa"/>
            <w:vAlign w:val="center"/>
          </w:tcPr>
          <w:p>
            <w:pPr>
              <w:jc w:val="center"/>
              <w:rPr>
                <w:rFonts w:hint="eastAsia" w:eastAsia="宋体"/>
                <w:color w:val="auto"/>
                <w:vertAlign w:val="baseline"/>
                <w:lang w:val="en-US" w:eastAsia="zh-CN"/>
              </w:rPr>
            </w:pPr>
            <w:r>
              <w:rPr>
                <w:rFonts w:hint="eastAsia"/>
                <w:color w:val="auto"/>
                <w:vertAlign w:val="baseline"/>
                <w:lang w:val="en-US" w:eastAsia="zh-CN"/>
              </w:rPr>
              <w:t>张</w:t>
            </w:r>
          </w:p>
        </w:tc>
        <w:tc>
          <w:tcPr>
            <w:tcW w:w="720" w:type="dxa"/>
            <w:vAlign w:val="center"/>
          </w:tcPr>
          <w:p>
            <w:pPr>
              <w:jc w:val="left"/>
              <w:rPr>
                <w:rFonts w:hint="default" w:eastAsia="宋体"/>
                <w:color w:val="auto"/>
                <w:vertAlign w:val="baseline"/>
                <w:lang w:val="en-US" w:eastAsia="zh-CN"/>
              </w:rPr>
            </w:pPr>
            <w:r>
              <w:rPr>
                <w:rFonts w:hint="eastAsia"/>
                <w:color w:val="auto"/>
                <w:vertAlign w:val="baseline"/>
                <w:lang w:val="en-US" w:eastAsia="zh-CN"/>
              </w:rPr>
              <w:t>40</w:t>
            </w:r>
          </w:p>
        </w:tc>
        <w:tc>
          <w:tcPr>
            <w:tcW w:w="4838" w:type="dxa"/>
          </w:tcPr>
          <w:p>
            <w:pPr>
              <w:jc w:val="left"/>
              <w:rPr>
                <w:rFonts w:hint="eastAsia"/>
                <w:color w:val="auto"/>
              </w:rPr>
            </w:pPr>
            <w:r>
              <w:rPr>
                <w:rFonts w:hint="eastAsia"/>
                <w:color w:val="auto"/>
              </w:rPr>
              <w:t>1、基材：采用国产优质 E1 级环保</w:t>
            </w:r>
            <w:r>
              <w:rPr>
                <w:rFonts w:hint="eastAsia"/>
                <w:color w:val="auto"/>
                <w:lang w:val="en-US" w:eastAsia="zh-CN"/>
              </w:rPr>
              <w:t>三聚氰胺板</w:t>
            </w:r>
            <w:r>
              <w:rPr>
                <w:rFonts w:hint="eastAsia"/>
                <w:color w:val="auto"/>
              </w:rPr>
              <w:t xml:space="preserve"> 材质，甲醛含量低于 1.5mg/L;经防潮、防虫、防腐处理，强度高、刚性好、不变形；</w:t>
            </w:r>
          </w:p>
          <w:p>
            <w:pPr>
              <w:jc w:val="left"/>
              <w:rPr>
                <w:rFonts w:hint="eastAsia"/>
                <w:color w:val="auto"/>
              </w:rPr>
            </w:pPr>
            <w:r>
              <w:rPr>
                <w:rFonts w:hint="eastAsia"/>
                <w:color w:val="auto"/>
              </w:rPr>
              <w:t>2、封边：采用优质</w:t>
            </w:r>
            <w:r>
              <w:rPr>
                <w:rFonts w:hint="eastAsia"/>
                <w:color w:val="auto"/>
                <w:lang w:val="en-US" w:eastAsia="zh-CN"/>
              </w:rPr>
              <w:t>PVC</w:t>
            </w:r>
            <w:r>
              <w:rPr>
                <w:rFonts w:hint="eastAsia"/>
                <w:color w:val="auto"/>
              </w:rPr>
              <w:t>封边，厚度大于 2mm，精修自动封边机进行封边处理，坚固耐用，防止因温差大的情况下使水分入侵，造成变形开 裂,40℃±2℃,相对温度 98%~99%和-20℃± 2℃,各 1h,3 周期.试验后无鼓泡,</w:t>
            </w:r>
            <w:r>
              <w:rPr>
                <w:rFonts w:hint="eastAsia"/>
                <w:color w:val="auto"/>
                <w:lang w:val="en-US" w:eastAsia="zh-CN"/>
              </w:rPr>
              <w:t>无</w:t>
            </w:r>
            <w:r>
              <w:rPr>
                <w:rFonts w:hint="eastAsia"/>
                <w:color w:val="auto"/>
              </w:rPr>
              <w:t>裂缝、</w:t>
            </w:r>
            <w:r>
              <w:rPr>
                <w:rFonts w:hint="eastAsia"/>
                <w:color w:val="auto"/>
                <w:lang w:val="en-US" w:eastAsia="zh-CN"/>
              </w:rPr>
              <w:t>不</w:t>
            </w:r>
            <w:r>
              <w:rPr>
                <w:rFonts w:hint="eastAsia"/>
                <w:color w:val="auto"/>
              </w:rPr>
              <w:t>变形。</w:t>
            </w:r>
          </w:p>
          <w:p>
            <w:pPr>
              <w:jc w:val="left"/>
              <w:rPr>
                <w:rFonts w:hint="eastAsia"/>
                <w:color w:val="auto"/>
              </w:rPr>
            </w:pPr>
            <w:r>
              <w:rPr>
                <w:rFonts w:hint="eastAsia"/>
                <w:color w:val="auto"/>
              </w:rPr>
              <w:t>3</w:t>
            </w:r>
            <w:r>
              <w:rPr>
                <w:rFonts w:hint="eastAsia"/>
                <w:color w:val="auto"/>
                <w:lang w:eastAsia="zh-CN"/>
              </w:rPr>
              <w:t>、</w:t>
            </w:r>
            <w:r>
              <w:rPr>
                <w:rFonts w:hint="eastAsia"/>
                <w:color w:val="auto"/>
              </w:rPr>
              <w:t xml:space="preserve">.粘合剂：采用热熔胶，游离甲醛释放约为 0， 耐热、耐寒、防水、绿色无污染; </w:t>
            </w:r>
          </w:p>
          <w:p>
            <w:pPr>
              <w:jc w:val="left"/>
              <w:rPr>
                <w:color w:val="auto"/>
                <w:vertAlign w:val="baseline"/>
              </w:rPr>
            </w:pPr>
            <w:r>
              <w:rPr>
                <w:rFonts w:hint="eastAsia"/>
                <w:color w:val="auto"/>
              </w:rPr>
              <w:t>4</w:t>
            </w:r>
            <w:r>
              <w:rPr>
                <w:rFonts w:hint="eastAsia"/>
                <w:color w:val="auto"/>
                <w:lang w:eastAsia="zh-CN"/>
              </w:rPr>
              <w:t>、</w:t>
            </w:r>
            <w:r>
              <w:rPr>
                <w:rFonts w:hint="eastAsia"/>
                <w:color w:val="auto"/>
              </w:rPr>
              <w:t>配件：静电喷涂螺丝，坚固、耐用、不生锈</w:t>
            </w:r>
            <w:r>
              <w:rPr>
                <w:rFonts w:hint="eastAsia"/>
                <w:color w:val="auto"/>
                <w:lang w:eastAsia="zh-CN"/>
              </w:rPr>
              <w:t>，</w:t>
            </w:r>
            <w:r>
              <w:rPr>
                <w:rFonts w:hint="eastAsia"/>
                <w:color w:val="auto"/>
              </w:rPr>
              <w:t>优质锁具</w:t>
            </w:r>
            <w:r>
              <w:rPr>
                <w:rFonts w:hint="eastAsia"/>
                <w:color w:val="auto"/>
                <w:lang w:eastAsia="zh-CN"/>
              </w:rPr>
              <w:t>，</w:t>
            </w:r>
            <w:r>
              <w:rPr>
                <w:rFonts w:hint="eastAsia"/>
                <w:color w:val="auto"/>
              </w:rPr>
              <w:t>优质三节导轨等</w:t>
            </w:r>
            <w:r>
              <w:rPr>
                <w:rFonts w:hint="eastAsia"/>
                <w:color w:val="auto"/>
                <w:lang w:eastAsia="zh-CN"/>
              </w:rPr>
              <w:t>，</w:t>
            </w:r>
            <w:r>
              <w:rPr>
                <w:rFonts w:hint="eastAsia"/>
                <w:color w:val="auto"/>
              </w:rPr>
              <w:t>含优质铝合金拉手条。</w:t>
            </w:r>
          </w:p>
        </w:tc>
        <w:tc>
          <w:tcPr>
            <w:tcW w:w="4110" w:type="dxa"/>
          </w:tcPr>
          <w:p>
            <w:pPr>
              <w:jc w:val="center"/>
              <w:rPr>
                <w:rFonts w:hint="eastAsia"/>
                <w:color w:val="auto"/>
                <w:vertAlign w:val="baseline"/>
              </w:rPr>
            </w:pPr>
            <w:r>
              <w:rPr>
                <w:color w:val="auto"/>
              </w:rPr>
              <w:drawing>
                <wp:inline distT="0" distB="0" distL="114300" distR="114300">
                  <wp:extent cx="1314450" cy="1001395"/>
                  <wp:effectExtent l="0" t="0" r="0" b="8255"/>
                  <wp:docPr id="9" name="图片 5" descr="5a3aa3ab385477c968c76e209e5b8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5a3aa3ab385477c968c76e209e5b84f"/>
                          <pic:cNvPicPr>
                            <a:picLocks noChangeAspect="1"/>
                          </pic:cNvPicPr>
                        </pic:nvPicPr>
                        <pic:blipFill>
                          <a:blip r:embed="rId20"/>
                          <a:stretch>
                            <a:fillRect/>
                          </a:stretch>
                        </pic:blipFill>
                        <pic:spPr>
                          <a:xfrm>
                            <a:off x="0" y="0"/>
                            <a:ext cx="1314450" cy="100139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vAlign w:val="center"/>
          </w:tcPr>
          <w:p>
            <w:pPr>
              <w:jc w:val="center"/>
              <w:rPr>
                <w:rFonts w:hint="eastAsia" w:eastAsia="宋体"/>
                <w:color w:val="auto"/>
                <w:vertAlign w:val="baseline"/>
                <w:lang w:val="en-US" w:eastAsia="zh-CN"/>
              </w:rPr>
            </w:pPr>
            <w:r>
              <w:rPr>
                <w:rFonts w:hint="eastAsia"/>
                <w:color w:val="auto"/>
                <w:vertAlign w:val="baseline"/>
                <w:lang w:val="en-US" w:eastAsia="zh-CN"/>
              </w:rPr>
              <w:t>3</w:t>
            </w:r>
          </w:p>
        </w:tc>
        <w:tc>
          <w:tcPr>
            <w:tcW w:w="1215" w:type="dxa"/>
            <w:vAlign w:val="center"/>
          </w:tcPr>
          <w:p>
            <w:pPr>
              <w:jc w:val="center"/>
              <w:rPr>
                <w:color w:val="auto"/>
                <w:vertAlign w:val="baseline"/>
              </w:rPr>
            </w:pPr>
            <w:r>
              <w:rPr>
                <w:rFonts w:hint="eastAsia"/>
                <w:color w:val="auto"/>
                <w:vertAlign w:val="baseline"/>
              </w:rPr>
              <w:t>办公椅</w:t>
            </w:r>
          </w:p>
        </w:tc>
        <w:tc>
          <w:tcPr>
            <w:tcW w:w="1440" w:type="dxa"/>
            <w:vAlign w:val="center"/>
          </w:tcPr>
          <w:p>
            <w:pPr>
              <w:jc w:val="center"/>
              <w:rPr>
                <w:color w:val="auto"/>
                <w:vertAlign w:val="baseline"/>
              </w:rPr>
            </w:pPr>
            <w:r>
              <w:rPr>
                <w:rFonts w:hint="eastAsia"/>
                <w:color w:val="auto"/>
                <w:vertAlign w:val="baseline"/>
              </w:rPr>
              <w:t>常规</w:t>
            </w:r>
          </w:p>
        </w:tc>
        <w:tc>
          <w:tcPr>
            <w:tcW w:w="540" w:type="dxa"/>
            <w:vAlign w:val="center"/>
          </w:tcPr>
          <w:p>
            <w:pPr>
              <w:jc w:val="center"/>
              <w:rPr>
                <w:rFonts w:hint="eastAsia" w:eastAsia="宋体"/>
                <w:color w:val="auto"/>
                <w:vertAlign w:val="baseline"/>
                <w:lang w:val="en-US" w:eastAsia="zh-CN"/>
              </w:rPr>
            </w:pPr>
            <w:r>
              <w:rPr>
                <w:rFonts w:hint="eastAsia"/>
                <w:color w:val="auto"/>
                <w:vertAlign w:val="baseline"/>
                <w:lang w:val="en-US" w:eastAsia="zh-CN"/>
              </w:rPr>
              <w:t>把</w:t>
            </w:r>
          </w:p>
        </w:tc>
        <w:tc>
          <w:tcPr>
            <w:tcW w:w="720" w:type="dxa"/>
            <w:vAlign w:val="center"/>
          </w:tcPr>
          <w:p>
            <w:pPr>
              <w:jc w:val="center"/>
              <w:rPr>
                <w:rFonts w:hint="default" w:eastAsia="宋体"/>
                <w:color w:val="auto"/>
                <w:vertAlign w:val="baseline"/>
                <w:lang w:val="en-US" w:eastAsia="zh-CN"/>
              </w:rPr>
            </w:pPr>
            <w:r>
              <w:rPr>
                <w:rFonts w:hint="eastAsia"/>
                <w:color w:val="auto"/>
                <w:vertAlign w:val="baseline"/>
                <w:lang w:val="en-US" w:eastAsia="zh-CN"/>
              </w:rPr>
              <w:t>50</w:t>
            </w:r>
          </w:p>
        </w:tc>
        <w:tc>
          <w:tcPr>
            <w:tcW w:w="4838" w:type="dxa"/>
          </w:tcPr>
          <w:p>
            <w:pPr>
              <w:numPr>
                <w:ilvl w:val="0"/>
                <w:numId w:val="8"/>
              </w:numPr>
              <w:jc w:val="left"/>
              <w:rPr>
                <w:rFonts w:hint="eastAsia"/>
                <w:color w:val="auto"/>
                <w:vertAlign w:val="baseline"/>
              </w:rPr>
            </w:pPr>
            <w:r>
              <w:rPr>
                <w:rFonts w:hint="eastAsia"/>
                <w:color w:val="auto"/>
                <w:vertAlign w:val="baseline"/>
              </w:rPr>
              <w:t xml:space="preserve">椅座、椅背：采用优质网布，达到国家阻燃 标准，经过防虫、防腐特殊处理，软包件及缝 纫无破损、外形饱满、圆滑一致、缝纫线迹均 匀、嵌线圆滑挺直。 </w:t>
            </w:r>
          </w:p>
          <w:p>
            <w:pPr>
              <w:numPr>
                <w:ilvl w:val="0"/>
                <w:numId w:val="0"/>
              </w:numPr>
              <w:jc w:val="left"/>
              <w:rPr>
                <w:rFonts w:hint="eastAsia"/>
                <w:color w:val="auto"/>
                <w:vertAlign w:val="baseline"/>
              </w:rPr>
            </w:pPr>
            <w:r>
              <w:rPr>
                <w:rFonts w:hint="eastAsia"/>
                <w:color w:val="auto"/>
                <w:vertAlign w:val="baseline"/>
                <w:lang w:val="en-US" w:eastAsia="zh-CN"/>
              </w:rPr>
              <w:t xml:space="preserve"> 2、</w:t>
            </w:r>
            <w:r>
              <w:rPr>
                <w:rFonts w:hint="eastAsia"/>
                <w:color w:val="auto"/>
                <w:vertAlign w:val="baseline"/>
              </w:rPr>
              <w:t>海绵：优质高密度定型环保阻燃海绵，◆阻燃海绵符合 GB/T10802-2006、 QB/T1952.1-2012 标准;软硬适中，符合压陷性 能：回弹率≥45%，25%压陷硬度≥130N，75% 压缩永久变形≤2.5%，65%/25%压陷比≥2.5；拉伸强度达到124.2KPa；伸长率达到170.5%；撕裂强度达到2.8N/cm；抗变形能力强，达到国家阻燃标准，经过耐酸 碱、防虫、防腐特殊处理。软包件及缝纫无破 损、外形饱满、圆滑一致、缝纫线迹均匀、嵌 线圆滑挺直；</w:t>
            </w:r>
          </w:p>
          <w:p>
            <w:pPr>
              <w:jc w:val="left"/>
              <w:rPr>
                <w:color w:val="auto"/>
                <w:vertAlign w:val="baseline"/>
              </w:rPr>
            </w:pPr>
            <w:r>
              <w:rPr>
                <w:rFonts w:hint="eastAsia"/>
                <w:color w:val="auto"/>
                <w:vertAlign w:val="baseline"/>
              </w:rPr>
              <w:t>3.脚架:采用表面经过酸洗电镀弓形金属管 ，承重力加强,管壁≥2.0mm.</w:t>
            </w:r>
          </w:p>
        </w:tc>
        <w:tc>
          <w:tcPr>
            <w:tcW w:w="4110" w:type="dxa"/>
          </w:tcPr>
          <w:p>
            <w:pPr>
              <w:jc w:val="center"/>
              <w:rPr>
                <w:rFonts w:hint="eastAsia"/>
                <w:color w:val="auto"/>
                <w:vertAlign w:val="baseline"/>
              </w:rPr>
            </w:pPr>
            <w:r>
              <w:rPr>
                <w:color w:val="auto"/>
              </w:rPr>
              <w:drawing>
                <wp:inline distT="0" distB="0" distL="114300" distR="114300">
                  <wp:extent cx="1109980" cy="1483360"/>
                  <wp:effectExtent l="0" t="0" r="13970" b="2540"/>
                  <wp:docPr id="10" name="图片 6" descr="d214c3349d131dab1a4f08d051cae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d214c3349d131dab1a4f08d051caec6"/>
                          <pic:cNvPicPr>
                            <a:picLocks noChangeAspect="1"/>
                          </pic:cNvPicPr>
                        </pic:nvPicPr>
                        <pic:blipFill>
                          <a:blip r:embed="rId21"/>
                          <a:stretch>
                            <a:fillRect/>
                          </a:stretch>
                        </pic:blipFill>
                        <pic:spPr>
                          <a:xfrm>
                            <a:off x="0" y="0"/>
                            <a:ext cx="1109980" cy="1483360"/>
                          </a:xfrm>
                          <a:prstGeom prst="rect">
                            <a:avLst/>
                          </a:prstGeom>
                        </pic:spPr>
                      </pic:pic>
                    </a:graphicData>
                  </a:graphic>
                </wp:inline>
              </w:drawing>
            </w:r>
          </w:p>
        </w:tc>
      </w:tr>
    </w:tbl>
    <w:p>
      <w:pPr>
        <w:pStyle w:val="16"/>
        <w:rPr>
          <w:rFonts w:hint="default"/>
          <w:color w:val="auto"/>
          <w:lang w:val="en-US" w:eastAsia="zh-CN"/>
        </w:rPr>
      </w:pPr>
    </w:p>
    <w:p>
      <w:pPr>
        <w:pStyle w:val="16"/>
        <w:rPr>
          <w:rFonts w:hint="default"/>
          <w:color w:val="auto"/>
          <w:lang w:val="en-US" w:eastAsia="zh-CN"/>
        </w:rPr>
      </w:pPr>
    </w:p>
    <w:p>
      <w:pPr>
        <w:pStyle w:val="3"/>
        <w:numPr>
          <w:ilvl w:val="0"/>
          <w:numId w:val="7"/>
        </w:numPr>
        <w:spacing w:line="360" w:lineRule="auto"/>
        <w:jc w:val="center"/>
        <w:rPr>
          <w:rFonts w:ascii="宋体" w:hAnsi="宋体" w:cs="宋体"/>
          <w:color w:val="auto"/>
        </w:rPr>
      </w:pPr>
      <w:r>
        <w:rPr>
          <w:rFonts w:hint="eastAsia" w:ascii="宋体" w:hAnsi="宋体" w:cs="宋体"/>
          <w:color w:val="auto"/>
        </w:rPr>
        <w:t xml:space="preserve"> </w:t>
      </w:r>
      <w:bookmarkStart w:id="35" w:name="_Toc27922"/>
      <w:r>
        <w:rPr>
          <w:rFonts w:hint="eastAsia" w:ascii="宋体" w:hAnsi="宋体" w:cs="宋体"/>
          <w:color w:val="auto"/>
        </w:rPr>
        <w:t>磋商响应文件格</w:t>
      </w:r>
      <w:bookmarkEnd w:id="28"/>
      <w:bookmarkEnd w:id="29"/>
      <w:bookmarkEnd w:id="30"/>
      <w:bookmarkEnd w:id="34"/>
      <w:r>
        <w:rPr>
          <w:rFonts w:hint="eastAsia" w:ascii="宋体" w:hAnsi="宋体" w:cs="宋体"/>
          <w:color w:val="auto"/>
        </w:rPr>
        <w:t>式</w:t>
      </w:r>
      <w:bookmarkEnd w:id="35"/>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9"/>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pPr>
      <w:bookmarkStart w:id="36" w:name="_Toc60421814"/>
      <w:r>
        <w:rPr>
          <w:rFonts w:hint="eastAsia" w:ascii="宋体" w:hAnsi="宋体" w:cs="宋体"/>
          <w:b/>
          <w:color w:val="auto"/>
          <w:sz w:val="30"/>
          <w:szCs w:val="30"/>
        </w:rPr>
        <w:t>格式二  报价格式</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5530"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2688"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246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ascii="宋体" w:cs="宋体"/>
          <w:color w:val="auto"/>
          <w:szCs w:val="21"/>
        </w:rPr>
      </w:pPr>
      <w:r>
        <w:rPr>
          <w:rFonts w:hint="eastAsia" w:ascii="宋体" w:hAnsi="宋体" w:cs="宋体"/>
          <w:color w:val="auto"/>
          <w:szCs w:val="21"/>
        </w:rPr>
        <w:t>投标价格含屏体、控制系统、外围设备、钢结构、不锈钢包边、物流、搬运、安装等为完成该项目及投入正常使用的所有费用。</w:t>
      </w:r>
    </w:p>
    <w:p>
      <w:pPr>
        <w:spacing w:line="360" w:lineRule="auto"/>
        <w:rPr>
          <w:rFonts w:ascii="宋体" w:cs="宋体"/>
          <w:color w:val="auto"/>
          <w:szCs w:val="21"/>
        </w:rPr>
      </w:pPr>
    </w:p>
    <w:p>
      <w:pPr>
        <w:spacing w:line="360" w:lineRule="auto"/>
        <w:rPr>
          <w:rFonts w:ascii="宋体" w:cs="宋体"/>
          <w:b/>
          <w:color w:val="auto"/>
          <w:szCs w:val="21"/>
        </w:rPr>
      </w:pPr>
      <w:r>
        <w:rPr>
          <w:rFonts w:hint="eastAsia" w:ascii="宋体" w:hAnsi="宋体" w:cs="宋体"/>
          <w:b/>
          <w:color w:val="auto"/>
          <w:szCs w:val="21"/>
        </w:rPr>
        <w:t>2、投标报价明细表格式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rPr>
          <w:rFonts w:ascii="宋体" w:cs="宋体"/>
          <w:color w:val="auto"/>
          <w:szCs w:val="21"/>
        </w:rPr>
        <w:sectPr>
          <w:footerReference r:id="rId13" w:type="default"/>
          <w:footerReference r:id="rId14" w:type="even"/>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36"/>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9"/>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9"/>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9"/>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9"/>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9"/>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10"/>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10"/>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4"/>
        <w:jc w:val="both"/>
        <w:rPr>
          <w:rFonts w:ascii="宋体" w:hAnsi="宋体" w:eastAsia="宋体" w:cs="宋体"/>
          <w:color w:val="auto"/>
          <w:sz w:val="28"/>
          <w:szCs w:val="28"/>
        </w:rPr>
        <w:sectPr>
          <w:footerReference r:id="rId15" w:type="default"/>
          <w:pgSz w:w="11906" w:h="16838"/>
          <w:pgMar w:top="1191" w:right="1587" w:bottom="1191" w:left="1587" w:header="851" w:footer="992" w:gutter="0"/>
          <w:cols w:space="720" w:num="1"/>
          <w:titlePg/>
          <w:docGrid w:linePitch="286" w:charSpace="0"/>
        </w:sectPr>
      </w:pPr>
      <w:bookmarkStart w:id="37" w:name="_Toc60421818"/>
    </w:p>
    <w:bookmarkEnd w:id="37"/>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5"/>
        <w:numPr>
          <w:ilvl w:val="0"/>
          <w:numId w:val="0"/>
        </w:numPr>
        <w:ind w:left="1838"/>
        <w:rPr>
          <w:color w:val="auto"/>
        </w:rPr>
      </w:pPr>
    </w:p>
    <w:p>
      <w:pPr>
        <w:pStyle w:val="47"/>
        <w:ind w:firstLine="420"/>
        <w:rPr>
          <w:color w:val="auto"/>
        </w:rPr>
      </w:pPr>
    </w:p>
    <w:p>
      <w:pPr>
        <w:pStyle w:val="47"/>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6.2018年度以来最新的经权威机构审计的完整的财务报告（复印件）（不满一年的新公司不提供该报告）；</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9、本项目不接受联合体投标。</w:t>
      </w:r>
    </w:p>
    <w:p>
      <w:pPr>
        <w:pStyle w:val="9"/>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spacing w:line="360" w:lineRule="auto"/>
        <w:rPr>
          <w:rFonts w:ascii="宋体" w:hAnsi="宋体" w:cs="宋体"/>
          <w:b/>
          <w:bCs/>
          <w:color w:val="auto"/>
          <w:szCs w:val="21"/>
        </w:rPr>
      </w:pPr>
    </w:p>
    <w:p>
      <w:pPr>
        <w:spacing w:line="360" w:lineRule="auto"/>
        <w:rPr>
          <w:rFonts w:ascii="宋体" w:cs="宋体"/>
          <w:b/>
          <w:bCs/>
          <w:color w:val="auto"/>
          <w:szCs w:val="21"/>
        </w:rPr>
      </w:pPr>
      <w:r>
        <w:rPr>
          <w:rFonts w:ascii="宋体" w:hAnsi="宋体" w:cs="宋体"/>
          <w:b/>
          <w:bCs/>
          <w:color w:val="auto"/>
          <w:szCs w:val="21"/>
        </w:rPr>
        <w:t>3</w:t>
      </w:r>
      <w:r>
        <w:rPr>
          <w:rFonts w:hint="eastAsia" w:ascii="宋体" w:hAnsi="宋体" w:cs="宋体"/>
          <w:b/>
          <w:bCs/>
          <w:color w:val="auto"/>
          <w:szCs w:val="21"/>
        </w:rPr>
        <w:t>年内在经营活动中没有重大违法记录的书面声明（格式）</w:t>
      </w:r>
    </w:p>
    <w:p>
      <w:pPr>
        <w:spacing w:line="360" w:lineRule="auto"/>
        <w:rPr>
          <w:rFonts w:ascii="宋体" w:cs="宋体"/>
          <w:color w:val="auto"/>
          <w:szCs w:val="21"/>
        </w:rPr>
      </w:pPr>
    </w:p>
    <w:p>
      <w:pPr>
        <w:spacing w:line="360" w:lineRule="auto"/>
        <w:rPr>
          <w:rFonts w:ascii="宋体" w:cs="宋体"/>
          <w:color w:val="auto"/>
          <w:szCs w:val="21"/>
        </w:rPr>
      </w:pPr>
    </w:p>
    <w:p>
      <w:pPr>
        <w:spacing w:line="360" w:lineRule="auto"/>
        <w:rPr>
          <w:rFonts w:ascii="宋体" w:cs="宋体"/>
          <w:color w:val="auto"/>
          <w:szCs w:val="21"/>
        </w:rPr>
      </w:pPr>
      <w:r>
        <w:rPr>
          <w:rFonts w:hint="eastAsia" w:ascii="宋体" w:hAnsi="宋体" w:cs="宋体"/>
          <w:color w:val="auto"/>
          <w:szCs w:val="21"/>
        </w:rPr>
        <w:t>致：</w:t>
      </w:r>
      <w:r>
        <w:rPr>
          <w:rFonts w:ascii="宋体" w:hAnsi="宋体" w:cs="宋体"/>
          <w:color w:val="auto"/>
          <w:szCs w:val="21"/>
        </w:rPr>
        <w:t xml:space="preserve">                                             </w:t>
      </w:r>
    </w:p>
    <w:p>
      <w:pPr>
        <w:spacing w:line="360" w:lineRule="auto"/>
        <w:rPr>
          <w:rFonts w:ascii="宋体" w:cs="宋体"/>
          <w:color w:val="auto"/>
          <w:szCs w:val="21"/>
        </w:rPr>
      </w:pPr>
    </w:p>
    <w:p>
      <w:pPr>
        <w:spacing w:line="360" w:lineRule="auto"/>
        <w:ind w:firstLine="420" w:firstLineChars="200"/>
        <w:rPr>
          <w:color w:val="auto"/>
        </w:rPr>
      </w:pPr>
      <w:r>
        <w:rPr>
          <w:rFonts w:hint="eastAsia" w:ascii="宋体" w:hAnsi="宋体" w:cs="宋体"/>
          <w:color w:val="auto"/>
          <w:szCs w:val="21"/>
        </w:rPr>
        <w:t>我公司在参加本次政府采购活动前，做出以下郑重声明：</w:t>
      </w:r>
    </w:p>
    <w:p>
      <w:pPr>
        <w:spacing w:line="360" w:lineRule="auto"/>
        <w:ind w:firstLine="420" w:firstLineChars="200"/>
        <w:rPr>
          <w:rFonts w:ascii="宋体" w:cs="宋体"/>
          <w:color w:val="auto"/>
          <w:szCs w:val="21"/>
        </w:rPr>
      </w:pPr>
      <w:r>
        <w:rPr>
          <w:rFonts w:hint="eastAsia" w:ascii="宋体" w:hAnsi="宋体" w:cs="宋体"/>
          <w:color w:val="auto"/>
          <w:szCs w:val="21"/>
        </w:rPr>
        <w:t>一、参加本次政府采购活动前三年内，在经营活动中没有重大违法记录。</w:t>
      </w:r>
    </w:p>
    <w:p>
      <w:pPr>
        <w:spacing w:line="360" w:lineRule="auto"/>
        <w:ind w:firstLine="420" w:firstLineChars="200"/>
        <w:rPr>
          <w:rFonts w:ascii="宋体" w:cs="宋体"/>
          <w:color w:val="auto"/>
          <w:szCs w:val="21"/>
        </w:rPr>
      </w:pPr>
      <w:r>
        <w:rPr>
          <w:rFonts w:hint="eastAsia" w:ascii="宋体" w:hAnsi="宋体" w:cs="宋体"/>
          <w:color w:val="auto"/>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color w:val="auto"/>
          <w:szCs w:val="21"/>
        </w:rPr>
        <w:t> </w:t>
      </w:r>
    </w:p>
    <w:p>
      <w:pPr>
        <w:pStyle w:val="9"/>
        <w:rPr>
          <w:color w:val="auto"/>
        </w:rPr>
      </w:pPr>
    </w:p>
    <w:p>
      <w:pPr>
        <w:spacing w:line="360" w:lineRule="auto"/>
        <w:ind w:firstLine="420" w:firstLineChars="200"/>
        <w:rPr>
          <w:rFonts w:ascii="宋体" w:cs="宋体"/>
          <w:color w:val="auto"/>
          <w:szCs w:val="21"/>
        </w:rPr>
      </w:pPr>
      <w:r>
        <w:rPr>
          <w:rFonts w:hint="eastAsia" w:ascii="宋体" w:hAnsi="宋体" w:cs="宋体"/>
          <w:color w:val="auto"/>
          <w:szCs w:val="21"/>
        </w:rPr>
        <w:t>特此声明。</w:t>
      </w: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wordWrap w:val="0"/>
        <w:spacing w:line="360" w:lineRule="auto"/>
        <w:jc w:val="right"/>
        <w:rPr>
          <w:rFonts w:ascii="宋体" w:cs="宋体"/>
          <w:color w:val="auto"/>
          <w:szCs w:val="21"/>
        </w:rPr>
      </w:pPr>
      <w:r>
        <w:rPr>
          <w:rFonts w:hint="eastAsia" w:ascii="宋体" w:hAnsi="宋体" w:cs="宋体"/>
          <w:color w:val="auto"/>
          <w:szCs w:val="21"/>
        </w:rPr>
        <w:t>投标人（公章）：</w:t>
      </w:r>
      <w:r>
        <w:rPr>
          <w:rFonts w:ascii="宋体" w:hAnsi="宋体" w:cs="宋体"/>
          <w:color w:val="auto"/>
          <w:szCs w:val="21"/>
        </w:rPr>
        <w:t xml:space="preserve">                   </w:t>
      </w:r>
    </w:p>
    <w:p>
      <w:pPr>
        <w:pStyle w:val="9"/>
        <w:jc w:val="right"/>
        <w:rPr>
          <w:rFonts w:ascii="宋体" w:cs="宋体"/>
          <w:color w:val="auto"/>
          <w:szCs w:val="21"/>
        </w:rPr>
      </w:pPr>
    </w:p>
    <w:p>
      <w:pPr>
        <w:pStyle w:val="9"/>
        <w:jc w:val="right"/>
        <w:rPr>
          <w:rFonts w:ascii="宋体" w:cs="宋体"/>
          <w:color w:val="auto"/>
          <w:szCs w:val="21"/>
        </w:rPr>
      </w:pPr>
    </w:p>
    <w:p>
      <w:pPr>
        <w:wordWrap w:val="0"/>
        <w:spacing w:line="360" w:lineRule="auto"/>
        <w:jc w:val="right"/>
        <w:rPr>
          <w:rFonts w:ascii="宋体" w:cs="宋体"/>
          <w:color w:val="auto"/>
          <w:szCs w:val="21"/>
        </w:rPr>
      </w:pPr>
      <w:r>
        <w:rPr>
          <w:rFonts w:hint="eastAsia" w:ascii="宋体" w:hAnsi="宋体" w:cs="宋体"/>
          <w:color w:val="auto"/>
          <w:szCs w:val="21"/>
        </w:rPr>
        <w:t>法定代表人或法人授权代表（签字）：</w:t>
      </w:r>
      <w:r>
        <w:rPr>
          <w:rFonts w:ascii="宋体" w:hAnsi="宋体" w:cs="宋体"/>
          <w:color w:val="auto"/>
          <w:szCs w:val="21"/>
        </w:rPr>
        <w:t xml:space="preserve">                   </w:t>
      </w:r>
    </w:p>
    <w:p>
      <w:pPr>
        <w:spacing w:line="360" w:lineRule="auto"/>
        <w:jc w:val="center"/>
        <w:rPr>
          <w:rFonts w:ascii="宋体" w:hAnsi="宋体" w:cs="宋体"/>
          <w:color w:val="auto"/>
          <w:szCs w:val="21"/>
        </w:rPr>
      </w:pPr>
      <w:r>
        <w:rPr>
          <w:rFonts w:ascii="宋体" w:hAnsi="宋体" w:cs="宋体"/>
          <w:color w:val="auto"/>
          <w:szCs w:val="21"/>
        </w:rPr>
        <w:t xml:space="preserve">         </w:t>
      </w:r>
      <w:r>
        <w:rPr>
          <w:rFonts w:hint="eastAsia" w:ascii="宋体" w:hAnsi="宋体" w:cs="宋体"/>
          <w:color w:val="auto"/>
          <w:szCs w:val="21"/>
        </w:rPr>
        <w:t>日期：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r>
        <w:rPr>
          <w:rFonts w:ascii="宋体" w:hAnsi="宋体" w:cs="宋体"/>
          <w:color w:val="auto"/>
          <w:szCs w:val="21"/>
        </w:rPr>
        <w:t xml:space="preserve"> </w:t>
      </w: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pStyle w:val="2"/>
        <w:ind w:left="0" w:leftChars="0" w:firstLine="0" w:firstLineChars="0"/>
        <w:rPr>
          <w:rFonts w:ascii="宋体" w:hAnsi="宋体" w:cs="宋体"/>
          <w:b/>
          <w:bCs/>
          <w:color w:val="auto"/>
          <w:szCs w:val="21"/>
        </w:rPr>
      </w:pPr>
    </w:p>
    <w:p>
      <w:pPr>
        <w:rPr>
          <w:rFonts w:ascii="宋体" w:hAnsi="宋体" w:cs="宋体"/>
          <w:b/>
          <w:bCs/>
          <w:color w:val="auto"/>
          <w:szCs w:val="21"/>
        </w:rPr>
      </w:pPr>
    </w:p>
    <w:p>
      <w:pPr>
        <w:widowControl w:val="0"/>
        <w:wordWrap/>
        <w:adjustRightInd/>
        <w:snapToGrid/>
        <w:spacing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32"/>
          <w:szCs w:val="32"/>
          <w:highlight w:val="none"/>
        </w:rPr>
        <w:t>中小企业声明函（货物）</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本公司（联合体）郑重声明，根据《政府采购促进中小企业发展管理办法》（财库〔2020〕46号）的规定，本公司 （联合体）参加</w:t>
      </w:r>
      <w:r>
        <w:rPr>
          <w:rFonts w:hint="eastAsia" w:ascii="宋体" w:hAnsi="宋体" w:eastAsia="宋体" w:cs="宋体"/>
          <w:i w:val="0"/>
          <w:iCs w:val="0"/>
          <w:color w:val="auto"/>
          <w:sz w:val="21"/>
          <w:szCs w:val="21"/>
          <w:u w:val="single"/>
        </w:rPr>
        <w:t>（单位名称）</w:t>
      </w:r>
      <w:r>
        <w:rPr>
          <w:rFonts w:hint="eastAsia" w:ascii="宋体" w:hAnsi="宋体" w:eastAsia="宋体" w:cs="宋体"/>
          <w:i w:val="0"/>
          <w:iCs w:val="0"/>
          <w:color w:val="auto"/>
          <w:sz w:val="21"/>
          <w:szCs w:val="21"/>
        </w:rPr>
        <w:t>的</w:t>
      </w:r>
      <w:r>
        <w:rPr>
          <w:rFonts w:hint="eastAsia" w:ascii="宋体" w:hAnsi="宋体" w:eastAsia="宋体" w:cs="宋体"/>
          <w:i w:val="0"/>
          <w:iCs w:val="0"/>
          <w:color w:val="auto"/>
          <w:sz w:val="21"/>
          <w:szCs w:val="21"/>
          <w:u w:val="single"/>
        </w:rPr>
        <w:t>（项目名称）</w:t>
      </w:r>
      <w:r>
        <w:rPr>
          <w:rFonts w:hint="eastAsia" w:ascii="宋体" w:hAnsi="宋体" w:eastAsia="宋体" w:cs="宋体"/>
          <w:i w:val="0"/>
          <w:iCs w:val="0"/>
          <w:color w:val="auto"/>
          <w:sz w:val="21"/>
          <w:szCs w:val="21"/>
        </w:rPr>
        <w:t>采购活动,提供的货物全部由符合政策要求的中小企业制造。相关企业 （含联合体中的中小企业、签订分包意向协议的中小企业）的具体情况如下：</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lang w:eastAsia="zh-CN"/>
        </w:rPr>
      </w:pPr>
      <w:r>
        <w:rPr>
          <w:rFonts w:hint="eastAsia" w:ascii="宋体" w:hAnsi="宋体" w:eastAsia="宋体" w:cs="宋体"/>
          <w:i w:val="0"/>
          <w:iCs w:val="0"/>
          <w:color w:val="auto"/>
          <w:sz w:val="21"/>
          <w:szCs w:val="21"/>
        </w:rPr>
        <w:t>1.</w:t>
      </w:r>
      <w:r>
        <w:rPr>
          <w:rFonts w:hint="eastAsia" w:ascii="宋体" w:hAnsi="宋体" w:eastAsia="宋体" w:cs="宋体"/>
          <w:i w:val="0"/>
          <w:iCs w:val="0"/>
          <w:color w:val="auto"/>
          <w:sz w:val="21"/>
          <w:szCs w:val="21"/>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w:t>
      </w:r>
      <w:r>
        <w:rPr>
          <w:rFonts w:hint="eastAsia" w:ascii="宋体" w:hAnsi="宋体" w:eastAsia="宋体" w:cs="宋体"/>
          <w:i w:val="0"/>
          <w:iCs w:val="0"/>
          <w:color w:val="auto"/>
          <w:sz w:val="21"/>
          <w:szCs w:val="21"/>
        </w:rPr>
        <w:t>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vertAlign w:val="superscript"/>
          <w:lang w:val="en-US" w:eastAsia="zh-CN"/>
        </w:rPr>
        <w:t>1</w:t>
      </w:r>
      <w:r>
        <w:rPr>
          <w:rFonts w:hint="eastAsia" w:ascii="宋体" w:hAnsi="宋体" w:eastAsia="宋体" w:cs="宋体"/>
          <w:i w:val="0"/>
          <w:iCs w:val="0"/>
          <w:color w:val="auto"/>
          <w:sz w:val="21"/>
          <w:szCs w:val="21"/>
          <w:lang w:val="en-US"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 型企业、微型企业）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rPr>
        <w:t>2.</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ab/>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（中型企业、小型 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以上企业，不属于大企业的分支机构，不存在控股股东 为大企业的情形，也不存在与大企业的负责人为同一人的情形。</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本企业对上述声明内容的真实性负责。如有虚假，将依 法承担相应责任。</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企业名称（盖章）：</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 期：</w:t>
      </w:r>
    </w:p>
    <w:p>
      <w:pPr>
        <w:pStyle w:val="2"/>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9"/>
        <w:ind w:firstLine="0" w:firstLineChars="0"/>
        <w:rPr>
          <w:rFonts w:ascii="宋体" w:hAnsi="宋体" w:cs="宋体"/>
          <w:color w:val="auto"/>
        </w:rPr>
      </w:pPr>
    </w:p>
    <w:bookmarkEnd w:id="38"/>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15A4A6E"/>
    <w:multiLevelType w:val="singleLevel"/>
    <w:tmpl w:val="C15A4A6E"/>
    <w:lvl w:ilvl="0" w:tentative="0">
      <w:start w:val="1"/>
      <w:numFmt w:val="decimal"/>
      <w:suff w:val="nothing"/>
      <w:lvlText w:val="（%1）"/>
      <w:lvlJc w:val="left"/>
      <w:pPr>
        <w:ind w:left="210"/>
      </w:pPr>
    </w:lvl>
  </w:abstractNum>
  <w:abstractNum w:abstractNumId="3">
    <w:nsid w:val="C2151EB0"/>
    <w:multiLevelType w:val="singleLevel"/>
    <w:tmpl w:val="C2151EB0"/>
    <w:lvl w:ilvl="0" w:tentative="0">
      <w:start w:val="4"/>
      <w:numFmt w:val="chineseCounting"/>
      <w:suff w:val="space"/>
      <w:lvlText w:val="第%1部分"/>
      <w:lvlJc w:val="left"/>
      <w:rPr>
        <w:rFonts w:hint="eastAsia"/>
      </w:rPr>
    </w:lvl>
  </w:abstractNum>
  <w:abstractNum w:abstractNumId="4">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7">
    <w:nsid w:val="41E70A13"/>
    <w:multiLevelType w:val="singleLevel"/>
    <w:tmpl w:val="41E70A13"/>
    <w:lvl w:ilvl="0" w:tentative="0">
      <w:start w:val="1"/>
      <w:numFmt w:val="decimal"/>
      <w:suff w:val="nothing"/>
      <w:lvlText w:val="%1、"/>
      <w:lvlJc w:val="left"/>
    </w:lvl>
  </w:abstractNum>
  <w:abstractNum w:abstractNumId="8">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56E4DD55"/>
    <w:multiLevelType w:val="singleLevel"/>
    <w:tmpl w:val="56E4DD55"/>
    <w:lvl w:ilvl="0" w:tentative="0">
      <w:start w:val="1"/>
      <w:numFmt w:val="decimal"/>
      <w:suff w:val="nothing"/>
      <w:lvlText w:val="%1、"/>
      <w:lvlJc w:val="left"/>
    </w:lvl>
  </w:abstractNum>
  <w:num w:numId="1">
    <w:abstractNumId w:val="8"/>
  </w:num>
  <w:num w:numId="2">
    <w:abstractNumId w:val="6"/>
  </w:num>
  <w:num w:numId="3">
    <w:abstractNumId w:val="1"/>
  </w:num>
  <w:num w:numId="4">
    <w:abstractNumId w:val="2"/>
  </w:num>
  <w:num w:numId="5">
    <w:abstractNumId w:val="7"/>
  </w:num>
  <w:num w:numId="6">
    <w:abstractNumId w:val="0"/>
  </w:num>
  <w:num w:numId="7">
    <w:abstractNumId w:val="3"/>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18A0"/>
    <w:rsid w:val="00022B64"/>
    <w:rsid w:val="000462DA"/>
    <w:rsid w:val="000C3458"/>
    <w:rsid w:val="001064B9"/>
    <w:rsid w:val="0011703D"/>
    <w:rsid w:val="001405EF"/>
    <w:rsid w:val="00142369"/>
    <w:rsid w:val="0014673C"/>
    <w:rsid w:val="00167C64"/>
    <w:rsid w:val="00172A27"/>
    <w:rsid w:val="001D1BD3"/>
    <w:rsid w:val="00246A91"/>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B354AF"/>
    <w:rsid w:val="00B7693E"/>
    <w:rsid w:val="00BD4739"/>
    <w:rsid w:val="00C1747A"/>
    <w:rsid w:val="00C45ADD"/>
    <w:rsid w:val="00C51E74"/>
    <w:rsid w:val="00C83489"/>
    <w:rsid w:val="00C85A18"/>
    <w:rsid w:val="00CC0A5D"/>
    <w:rsid w:val="00D12117"/>
    <w:rsid w:val="00D56DA9"/>
    <w:rsid w:val="00D849D3"/>
    <w:rsid w:val="00DC05A9"/>
    <w:rsid w:val="00DE3B45"/>
    <w:rsid w:val="00E4546D"/>
    <w:rsid w:val="00EE1895"/>
    <w:rsid w:val="00EE3965"/>
    <w:rsid w:val="00EE3D87"/>
    <w:rsid w:val="00F169A5"/>
    <w:rsid w:val="00F43231"/>
    <w:rsid w:val="00F73BB2"/>
    <w:rsid w:val="00F9235C"/>
    <w:rsid w:val="00FB08FF"/>
    <w:rsid w:val="00FC173E"/>
    <w:rsid w:val="011E38A7"/>
    <w:rsid w:val="02BB609B"/>
    <w:rsid w:val="043405D8"/>
    <w:rsid w:val="04B23039"/>
    <w:rsid w:val="050858EC"/>
    <w:rsid w:val="051D440B"/>
    <w:rsid w:val="054A5FD5"/>
    <w:rsid w:val="057E5D2D"/>
    <w:rsid w:val="05912A3E"/>
    <w:rsid w:val="06FC2094"/>
    <w:rsid w:val="074D4531"/>
    <w:rsid w:val="07D4333B"/>
    <w:rsid w:val="080164E3"/>
    <w:rsid w:val="08C558E2"/>
    <w:rsid w:val="098B6AE0"/>
    <w:rsid w:val="09C350C8"/>
    <w:rsid w:val="0A4A3CF6"/>
    <w:rsid w:val="0B3D0482"/>
    <w:rsid w:val="0C692FF0"/>
    <w:rsid w:val="0C961915"/>
    <w:rsid w:val="0CDC7E65"/>
    <w:rsid w:val="0F0A7030"/>
    <w:rsid w:val="0F287203"/>
    <w:rsid w:val="0F6F2374"/>
    <w:rsid w:val="105C6C2B"/>
    <w:rsid w:val="106D42D7"/>
    <w:rsid w:val="10923D18"/>
    <w:rsid w:val="10BD67C6"/>
    <w:rsid w:val="118F497F"/>
    <w:rsid w:val="11CF7959"/>
    <w:rsid w:val="11D849E2"/>
    <w:rsid w:val="1267236D"/>
    <w:rsid w:val="126B641D"/>
    <w:rsid w:val="12D3720C"/>
    <w:rsid w:val="13DE7ACE"/>
    <w:rsid w:val="13E3563B"/>
    <w:rsid w:val="13E87495"/>
    <w:rsid w:val="15B20422"/>
    <w:rsid w:val="15E70DAD"/>
    <w:rsid w:val="160649A9"/>
    <w:rsid w:val="160868D3"/>
    <w:rsid w:val="176435DF"/>
    <w:rsid w:val="17F135BD"/>
    <w:rsid w:val="18B82C03"/>
    <w:rsid w:val="18F6484A"/>
    <w:rsid w:val="196C4B0C"/>
    <w:rsid w:val="198513F6"/>
    <w:rsid w:val="19C43FB0"/>
    <w:rsid w:val="1A00444C"/>
    <w:rsid w:val="1A272A15"/>
    <w:rsid w:val="1A815B69"/>
    <w:rsid w:val="1A8C5419"/>
    <w:rsid w:val="1A9413D2"/>
    <w:rsid w:val="1BCE1F0F"/>
    <w:rsid w:val="1BFA3366"/>
    <w:rsid w:val="1CFE18DF"/>
    <w:rsid w:val="1DEE7012"/>
    <w:rsid w:val="1E5631AE"/>
    <w:rsid w:val="20A73DF6"/>
    <w:rsid w:val="26D53495"/>
    <w:rsid w:val="26ED42E7"/>
    <w:rsid w:val="270C0618"/>
    <w:rsid w:val="281142B7"/>
    <w:rsid w:val="28D75308"/>
    <w:rsid w:val="28E614A9"/>
    <w:rsid w:val="28E86CA7"/>
    <w:rsid w:val="29076C89"/>
    <w:rsid w:val="290F39A4"/>
    <w:rsid w:val="292263C3"/>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D6E4944"/>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210"/>
      <w:jc w:val="left"/>
    </w:pPr>
    <w:rPr>
      <w:rFonts w:ascii="Calibri" w:hAnsi="Calibri"/>
      <w:smallCaps/>
      <w:sz w:val="20"/>
      <w:szCs w:val="20"/>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9"/>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2"/>
    <w:qFormat/>
    <w:uiPriority w:val="0"/>
    <w:rPr>
      <w:sz w:val="24"/>
      <w:szCs w:val="20"/>
    </w:rPr>
  </w:style>
  <w:style w:type="paragraph" w:styleId="23">
    <w:name w:val="Body Text Indent 2"/>
    <w:basedOn w:val="1"/>
    <w:link w:val="101"/>
    <w:qFormat/>
    <w:uiPriority w:val="0"/>
    <w:pPr>
      <w:spacing w:before="240" w:line="560" w:lineRule="exact"/>
      <w:ind w:firstLine="480" w:firstLineChars="200"/>
    </w:pPr>
    <w:rPr>
      <w:sz w:val="24"/>
      <w:szCs w:val="32"/>
    </w:rPr>
  </w:style>
  <w:style w:type="paragraph" w:styleId="24">
    <w:name w:val="Balloon Text"/>
    <w:basedOn w:val="1"/>
    <w:link w:val="104"/>
    <w:qFormat/>
    <w:uiPriority w:val="0"/>
    <w:rPr>
      <w:sz w:val="18"/>
      <w:szCs w:val="18"/>
    </w:rPr>
  </w:style>
  <w:style w:type="paragraph" w:styleId="25">
    <w:name w:val="footer"/>
    <w:basedOn w:val="1"/>
    <w:link w:val="78"/>
    <w:qFormat/>
    <w:uiPriority w:val="0"/>
    <w:pPr>
      <w:tabs>
        <w:tab w:val="center" w:pos="4153"/>
        <w:tab w:val="right" w:pos="8306"/>
      </w:tabs>
      <w:snapToGrid w:val="0"/>
      <w:jc w:val="left"/>
    </w:pPr>
    <w:rPr>
      <w:sz w:val="18"/>
      <w:szCs w:val="18"/>
    </w:rPr>
  </w:style>
  <w:style w:type="paragraph" w:styleId="26">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5"/>
    <w:qFormat/>
    <w:uiPriority w:val="0"/>
    <w:pPr>
      <w:spacing w:after="120"/>
      <w:ind w:left="420" w:leftChars="200"/>
    </w:pPr>
    <w:rPr>
      <w:rFonts w:eastAsia="仿宋_GB2312"/>
      <w:sz w:val="16"/>
      <w:szCs w:val="16"/>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16"/>
    <w:qFormat/>
    <w:uiPriority w:val="0"/>
    <w:pPr>
      <w:ind w:firstLine="420" w:firstLineChars="100"/>
    </w:p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0">
    <w:name w:val="样式 正文缩进 + 首行缩进:  2 字符"/>
    <w:basedOn w:val="9"/>
    <w:link w:val="96"/>
    <w:qFormat/>
    <w:uiPriority w:val="0"/>
    <w:pPr>
      <w:spacing w:line="360" w:lineRule="auto"/>
      <w:ind w:firstLine="200"/>
    </w:pPr>
    <w:rPr>
      <w:rFonts w:cs="宋体"/>
      <w:sz w:val="24"/>
      <w:szCs w:val="20"/>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Char2"/>
    <w:basedOn w:val="1"/>
    <w:qFormat/>
    <w:uiPriority w:val="0"/>
    <w:pPr>
      <w:tabs>
        <w:tab w:val="left" w:pos="425"/>
      </w:tabs>
      <w:ind w:left="425" w:hanging="425"/>
    </w:pPr>
  </w:style>
  <w:style w:type="paragraph" w:customStyle="1" w:styleId="54">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1">
    <w:name w:val="批注框文本1"/>
    <w:basedOn w:val="1"/>
    <w:link w:val="89"/>
    <w:qFormat/>
    <w:uiPriority w:val="0"/>
    <w:rPr>
      <w:kern w:val="0"/>
      <w:sz w:val="18"/>
      <w:szCs w:val="20"/>
    </w:rPr>
  </w:style>
  <w:style w:type="paragraph" w:customStyle="1" w:styleId="62">
    <w:name w:val="正文1"/>
    <w:basedOn w:val="1"/>
    <w:qFormat/>
    <w:uiPriority w:val="0"/>
    <w:pPr>
      <w:spacing w:line="312" w:lineRule="exact"/>
    </w:pPr>
  </w:style>
  <w:style w:type="paragraph" w:customStyle="1" w:styleId="63">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普通(网站)1"/>
    <w:basedOn w:val="1"/>
    <w:qFormat/>
    <w:uiPriority w:val="0"/>
    <w:pPr>
      <w:widowControl/>
      <w:spacing w:before="100" w:after="100"/>
      <w:jc w:val="left"/>
    </w:pPr>
    <w:rPr>
      <w:rFonts w:ascii="宋体" w:hAnsi="宋体"/>
      <w:sz w:val="24"/>
      <w:szCs w:val="20"/>
    </w:rPr>
  </w:style>
  <w:style w:type="paragraph" w:customStyle="1" w:styleId="70">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pPr>
    <w:rPr>
      <w:rFonts w:ascii="宋体"/>
      <w:kern w:val="0"/>
    </w:rPr>
  </w:style>
  <w:style w:type="paragraph" w:customStyle="1" w:styleId="73">
    <w:name w:val="标书正文"/>
    <w:basedOn w:val="1"/>
    <w:qFormat/>
    <w:uiPriority w:val="0"/>
    <w:pPr>
      <w:snapToGrid w:val="0"/>
      <w:spacing w:line="360" w:lineRule="auto"/>
      <w:ind w:firstLine="200" w:firstLineChars="200"/>
    </w:pPr>
    <w:rPr>
      <w:sz w:val="24"/>
    </w:rPr>
  </w:style>
  <w:style w:type="paragraph" w:customStyle="1" w:styleId="74">
    <w:name w:val="表格"/>
    <w:basedOn w:val="1"/>
    <w:qFormat/>
    <w:uiPriority w:val="0"/>
    <w:pPr>
      <w:adjustRightInd w:val="0"/>
      <w:snapToGrid w:val="0"/>
      <w:jc w:val="center"/>
    </w:pPr>
    <w:rPr>
      <w:bCs/>
      <w:u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字符"/>
    <w:link w:val="17"/>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字符"/>
    <w:link w:val="25"/>
    <w:qFormat/>
    <w:uiPriority w:val="0"/>
    <w:rPr>
      <w:rFonts w:eastAsia="宋体"/>
      <w:kern w:val="2"/>
      <w:sz w:val="18"/>
      <w:szCs w:val="18"/>
      <w:lang w:val="en-US" w:eastAsia="zh-CN" w:bidi="ar-SA"/>
    </w:rPr>
  </w:style>
  <w:style w:type="character" w:customStyle="1" w:styleId="79">
    <w:name w:val="标题 4 字符"/>
    <w:link w:val="6"/>
    <w:qFormat/>
    <w:uiPriority w:val="0"/>
    <w:rPr>
      <w:rFonts w:ascii="Arial" w:hAnsi="Arial" w:eastAsia="黑体"/>
      <w:b/>
      <w:kern w:val="2"/>
      <w:sz w:val="28"/>
      <w:lang w:val="en-US" w:eastAsia="zh-CN" w:bidi="ar-SA"/>
    </w:rPr>
  </w:style>
  <w:style w:type="character" w:customStyle="1" w:styleId="80">
    <w:name w:val="批注主题 字符"/>
    <w:link w:val="34"/>
    <w:qFormat/>
    <w:uiPriority w:val="0"/>
    <w:rPr>
      <w:b/>
      <w:bCs/>
      <w:kern w:val="2"/>
      <w:sz w:val="21"/>
      <w:szCs w:val="24"/>
    </w:rPr>
  </w:style>
  <w:style w:type="character" w:customStyle="1" w:styleId="81">
    <w:name w:val="标题 3 字符"/>
    <w:link w:val="5"/>
    <w:qFormat/>
    <w:uiPriority w:val="0"/>
    <w:rPr>
      <w:rFonts w:eastAsia="宋体"/>
      <w:b/>
      <w:sz w:val="21"/>
      <w:lang w:val="en-US" w:eastAsia="zh-CN" w:bidi="ar-SA"/>
    </w:rPr>
  </w:style>
  <w:style w:type="character" w:customStyle="1" w:styleId="82">
    <w:name w:val="日期 字符"/>
    <w:link w:val="22"/>
    <w:qFormat/>
    <w:uiPriority w:val="0"/>
    <w:rPr>
      <w:rFonts w:eastAsia="宋体"/>
      <w:kern w:val="2"/>
      <w:sz w:val="24"/>
      <w:lang w:val="en-US" w:eastAsia="zh-CN" w:bidi="ar-SA"/>
    </w:rPr>
  </w:style>
  <w:style w:type="character" w:customStyle="1" w:styleId="83">
    <w:name w:val="标题 5 字符"/>
    <w:link w:val="7"/>
    <w:qFormat/>
    <w:locked/>
    <w:uiPriority w:val="0"/>
    <w:rPr>
      <w:b/>
      <w:kern w:val="2"/>
      <w:sz w:val="28"/>
    </w:rPr>
  </w:style>
  <w:style w:type="character" w:customStyle="1" w:styleId="84">
    <w:name w:val="批注文字 字符"/>
    <w:link w:val="15"/>
    <w:qFormat/>
    <w:uiPriority w:val="0"/>
    <w:rPr>
      <w:kern w:val="2"/>
      <w:sz w:val="21"/>
      <w:szCs w:val="24"/>
    </w:rPr>
  </w:style>
  <w:style w:type="character" w:customStyle="1" w:styleId="85">
    <w:name w:val="标题 2 字符"/>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字符"/>
    <w:link w:val="32"/>
    <w:qFormat/>
    <w:uiPriority w:val="0"/>
    <w:rPr>
      <w:rFonts w:eastAsia="宋体"/>
      <w:kern w:val="2"/>
      <w:sz w:val="21"/>
      <w:szCs w:val="24"/>
      <w:lang w:val="en-US" w:eastAsia="zh-CN" w:bidi="ar-SA"/>
    </w:rPr>
  </w:style>
  <w:style w:type="character" w:customStyle="1" w:styleId="88">
    <w:name w:val="文档结构图 字符"/>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字符"/>
    <w:link w:val="3"/>
    <w:qFormat/>
    <w:uiPriority w:val="0"/>
    <w:rPr>
      <w:rFonts w:eastAsia="宋体"/>
      <w:b/>
      <w:bCs/>
      <w:kern w:val="44"/>
      <w:sz w:val="44"/>
      <w:szCs w:val="44"/>
      <w:lang w:val="en-US" w:eastAsia="zh-CN" w:bidi="ar-SA"/>
    </w:rPr>
  </w:style>
  <w:style w:type="character" w:customStyle="1" w:styleId="91">
    <w:name w:val="正文缩进 字符"/>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字符"/>
    <w:link w:val="30"/>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字符"/>
    <w:link w:val="20"/>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字符"/>
    <w:link w:val="23"/>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字符"/>
    <w:link w:val="26"/>
    <w:qFormat/>
    <w:uiPriority w:val="99"/>
    <w:rPr>
      <w:kern w:val="2"/>
      <w:sz w:val="18"/>
      <w:szCs w:val="18"/>
    </w:rPr>
  </w:style>
  <w:style w:type="character" w:customStyle="1" w:styleId="104">
    <w:name w:val="批注框文本 字符"/>
    <w:link w:val="24"/>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 w:type="paragraph" w:customStyle="1" w:styleId="118">
    <w:name w:val="列表段落1"/>
    <w:basedOn w:val="1"/>
    <w:qFormat/>
    <w:uiPriority w:val="34"/>
    <w:pPr>
      <w:ind w:firstLine="420" w:firstLineChars="200"/>
    </w:pPr>
    <w:rPr>
      <w:rFonts w:ascii="宋体"/>
      <w:kern w:val="0"/>
      <w:sz w:val="34"/>
      <w:szCs w:val="20"/>
    </w:rPr>
  </w:style>
  <w:style w:type="paragraph" w:customStyle="1" w:styleId="119">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4.jpe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Pages>
  <Words>3434</Words>
  <Characters>19575</Characters>
  <Lines>163</Lines>
  <Paragraphs>45</Paragraphs>
  <TotalTime>13</TotalTime>
  <ScaleCrop>false</ScaleCrop>
  <LinksUpToDate>false</LinksUpToDate>
  <CharactersWithSpaces>22964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2020-10-12T06:32:00Z</dcterms:created>
  <dc:creator>zz</dc:creator>
  <cp:lastModifiedBy>口天马尧</cp:lastModifiedBy>
  <cp:lastPrinted>2019-07-19T04:31:00Z</cp:lastPrinted>
  <dcterms:modified xsi:type="dcterms:W3CDTF">2021-11-23T15:12:29Z</dcterms:modified>
  <dc:title>甘肃省中医院监护系统等医疗设备政府采购项目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B64B07C9E29E418183C063322DD5ABFF</vt:lpwstr>
  </property>
</Properties>
</file>