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初等教育学院钢琴调率采购清单</w:t>
      </w:r>
    </w:p>
    <w:tbl>
      <w:tblPr>
        <w:tblStyle w:val="2"/>
        <w:tblpPr w:leftFromText="180" w:rightFromText="180" w:vertAnchor="text" w:horzAnchor="margin" w:tblpY="1035"/>
        <w:tblOverlap w:val="never"/>
        <w:tblW w:w="1153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1"/>
        <w:gridCol w:w="1651"/>
        <w:gridCol w:w="6810"/>
        <w:gridCol w:w="25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技术参数及要求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钢琴调率</w:t>
            </w:r>
          </w:p>
        </w:tc>
        <w:tc>
          <w:tcPr>
            <w:tcW w:w="6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  <w:t>资质及设备：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缠弦机\高级调律师资格证\专业校调律经历；</w:t>
            </w:r>
          </w:p>
          <w:p>
            <w:pPr>
              <w:ind w:firstLine="20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  <w:t>具体要求：</w:t>
            </w:r>
          </w:p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每学期一次调律   一年两次调律；</w:t>
            </w:r>
          </w:p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每学期一次键盘击弦机整理，一年两次键盘击弦机整理；</w:t>
            </w:r>
          </w:p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>每学期一次维护，一年两次维护。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  <w:t>72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  <w:t>台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BF1FA6"/>
    <w:rsid w:val="002A7F40"/>
    <w:rsid w:val="00BF1FA6"/>
    <w:rsid w:val="00CF4770"/>
    <w:rsid w:val="00E5592D"/>
    <w:rsid w:val="388C17E3"/>
    <w:rsid w:val="4CD62C4A"/>
    <w:rsid w:val="6494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185</Characters>
  <Lines>1</Lines>
  <Paragraphs>1</Paragraphs>
  <TotalTime>20</TotalTime>
  <ScaleCrop>false</ScaleCrop>
  <LinksUpToDate>false</LinksUpToDate>
  <CharactersWithSpaces>193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2022-11-28T02:36:00Z</dcterms:created>
  <dc:creator>ljc</dc:creator>
  <cp:lastModifiedBy>口天马尧</cp:lastModifiedBy>
  <dcterms:modified xsi:type="dcterms:W3CDTF">2022-11-28T11:21:47Z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AC0EDD4E541F49B6806FBE2435549BF6</vt:lpwstr>
  </property>
</Properties>
</file>