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兰州职业技术学院</w:t>
      </w: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招生就业处职业生涯档案测试报告</w:t>
      </w: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采购项目采购需求</w:t>
      </w:r>
    </w:p>
    <w:p>
      <w:pPr>
        <w:ind w:firstLine="640" w:firstLineChars="200"/>
        <w:jc w:val="center"/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2"/>
        </w:numPr>
        <w:ind w:firstLine="560" w:firstLineChars="200"/>
        <w:jc w:val="left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采购项目需实现的功能或者目标</w:t>
      </w:r>
    </w:p>
    <w:p>
      <w:pPr>
        <w:pStyle w:val="2"/>
        <w:ind w:firstLine="420" w:firstLineChars="0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应用信息化的手段对生涯体验周活动进行记录和推进，对过程数据进行全程管理。平台对生涯活动过程进行全流程的管理，从活动的开始到活动的结束每个关键节点都明确记录。大学生生涯活动资源，是线下活动在系统内的体现。活动资源为同学们提供各种生涯体验类活动，活动包含：自我探索、外部世界探索、个人定位、行动计划等。让学生从自我角度、专业角度，发展角度进行全面提升。</w:t>
      </w:r>
    </w:p>
    <w:p>
      <w:pPr>
        <w:numPr>
          <w:ilvl w:val="0"/>
          <w:numId w:val="2"/>
        </w:numPr>
        <w:ind w:firstLine="560" w:firstLineChars="200"/>
        <w:jc w:val="left"/>
        <w:rPr>
          <w:rFonts w:hint="eastAsia" w:ascii="新宋体" w:hAnsi="新宋体" w:eastAsia="新宋体" w:cs="新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采购预算：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2.20万元</w:t>
      </w:r>
    </w:p>
    <w:p>
      <w:pPr>
        <w:numPr>
          <w:ilvl w:val="0"/>
          <w:numId w:val="2"/>
        </w:numPr>
        <w:ind w:firstLine="560" w:firstLineChars="200"/>
        <w:jc w:val="left"/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需满足的质量、安全、技术参数或服务内容等要</w:t>
      </w:r>
      <w:r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求</w:t>
      </w:r>
    </w:p>
    <w:tbl>
      <w:tblPr>
        <w:tblStyle w:val="13"/>
        <w:tblW w:w="9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053"/>
        <w:gridCol w:w="5361"/>
        <w:gridCol w:w="788"/>
        <w:gridCol w:w="900"/>
        <w:gridCol w:w="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5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</w:t>
            </w: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或服务名称</w:t>
            </w: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技术参数</w:t>
            </w: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或服务</w:t>
            </w: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生涯体验周软件支撑服务</w:t>
            </w:r>
          </w:p>
        </w:tc>
        <w:tc>
          <w:tcPr>
            <w:tcW w:w="536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both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用信息化的手段对生涯体验周活动进行记录和推进，对过程数据进行全程管理。平台对生涯活动过程进行全流程的管理，从活动的开始到活动的结束每个关键节点都明确记录。大学生生涯活动资源，是线下活动在系统内的体现。活动资源为同学们提供各种生涯体验类活动，活动包含：自我探索、外部世界探索、个人定位、行动计划等。让学生从自我角度、专业角度，发展角度进行全面提升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活动提供11个活动关卡，分别为线上、线下、线上+线下结合关卡。关卡名称为：森林冒险家、生涯斗兽场、大家猜猜猜、去向漂流瓶、“益”起拼多多、团队角色树、生涯直通车、榜样的力量（思政）、一起来画图、一起入职场、竞拍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参加学生数据导入：提前与学校负责人沟通，导入学生名单，模板包括学生姓名、学号、性别、名族、籍贯、手机号、学历、入学年份、毕业年份、院系、专业、班级等多维度数据导入。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学生生涯档案：在生涯体验周活动的开展过程中，实现对学生全流程体验数据精准采集，自动生成生涯发展档案，每个参与学生一份。（以实际参加人数为准）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人/份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数据报告：统计活动数据，为学校生成整体活动数据报告一份，体现本次活动成果，和学生整体生涯规划情况，为学校、老师、学生提供职业生涯活动数据分析。分析内容包括：活动成果化分析、活动基本情况、上次活动成果统计分析、学生职业分析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份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问卷调查：配合线上+线下活动，发布调查问卷，可根据学校需求，设计调查问卷内容，并配合学校完成学生生涯规划问题的统计，并生成数据报告。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线上咨询：针对在学生在体验周活动过程中产生的问题，为学生提供线下咨询服务，针对个性化问题学生可以通过小程序寻求专家的帮助，在线完成咨询过程，咨询数据自动统计。</w:t>
            </w:r>
          </w:p>
        </w:tc>
        <w:tc>
          <w:tcPr>
            <w:tcW w:w="7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新宋体" w:hAnsi="新宋体" w:eastAsia="新宋体" w:cs="新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jc w:val="left"/>
        <w:rPr>
          <w:rFonts w:hint="eastAsia" w:ascii="新宋体" w:hAnsi="新宋体" w:eastAsia="新宋体" w:cs="新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其他要求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rPr>
          <w:rFonts w:hint="eastAsia" w:ascii="新宋体" w:hAnsi="新宋体" w:eastAsia="新宋体" w:cs="新宋体"/>
          <w:b/>
          <w:sz w:val="36"/>
          <w:szCs w:val="36"/>
        </w:rPr>
      </w:pPr>
      <w:r>
        <w:rPr>
          <w:rFonts w:hint="eastAsia" w:ascii="新宋体" w:hAnsi="新宋体" w:eastAsia="新宋体" w:cs="新宋体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提供服务的软件运行稳定，无卡顿现象，游戏关卡与生涯周活动配合良好，可生成生涯体验周活动总结报告。</w:t>
      </w:r>
    </w:p>
    <w:p>
      <w:pPr>
        <w:outlineLvl w:val="9"/>
        <w:rPr>
          <w:rFonts w:hint="eastAsia" w:ascii="新宋体" w:hAnsi="新宋体" w:eastAsia="新宋体" w:cs="新宋体"/>
        </w:rPr>
      </w:pPr>
    </w:p>
    <w:p>
      <w:pPr>
        <w:rPr>
          <w:rFonts w:hint="eastAsia" w:ascii="新宋体" w:hAnsi="新宋体" w:eastAsia="新宋体" w:cs="新宋体"/>
        </w:rPr>
      </w:pPr>
      <w:bookmarkStart w:id="7" w:name="_GoBack"/>
      <w:bookmarkEnd w:id="7"/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numPr>
          <w:ilvl w:val="0"/>
          <w:numId w:val="0"/>
        </w:numPr>
        <w:jc w:val="center"/>
        <w:rPr>
          <w:rFonts w:hint="eastAsia" w:ascii="新宋体" w:hAnsi="新宋体" w:eastAsia="新宋体" w:cs="新宋体"/>
          <w:sz w:val="36"/>
          <w:szCs w:val="36"/>
        </w:rPr>
      </w:pPr>
      <w:r>
        <w:rPr>
          <w:rFonts w:hint="eastAsia" w:ascii="新宋体" w:hAnsi="新宋体" w:eastAsia="新宋体" w:cs="新宋体"/>
          <w:sz w:val="36"/>
          <w:szCs w:val="36"/>
          <w:lang w:val="en-US" w:eastAsia="zh-CN"/>
        </w:rPr>
        <w:t>询价</w:t>
      </w:r>
      <w:r>
        <w:rPr>
          <w:rFonts w:hint="eastAsia" w:ascii="新宋体" w:hAnsi="新宋体" w:eastAsia="新宋体" w:cs="新宋体"/>
          <w:sz w:val="36"/>
          <w:szCs w:val="36"/>
        </w:rPr>
        <w:t>报价一览表</w:t>
      </w:r>
    </w:p>
    <w:p>
      <w:pPr>
        <w:rPr>
          <w:rFonts w:hint="eastAsia" w:ascii="新宋体" w:hAnsi="新宋体" w:eastAsia="新宋体" w:cs="新宋体"/>
          <w:b/>
          <w:bCs/>
          <w:color w:val="000000" w:themeColor="text1"/>
          <w:szCs w:val="21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3"/>
        <w:numPr>
          <w:ilvl w:val="0"/>
          <w:numId w:val="0"/>
        </w:numPr>
        <w:tabs>
          <w:tab w:val="clear" w:pos="360"/>
        </w:tabs>
        <w:rPr>
          <w:rFonts w:hint="default" w:ascii="新宋体" w:hAnsi="新宋体" w:eastAsia="新宋体" w:cs="新宋体"/>
          <w:bCs/>
          <w:sz w:val="21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新宋体" w:hAnsi="新宋体" w:eastAsia="新宋体" w:cs="新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生涯体验周软件支撑服务</w:t>
      </w:r>
    </w:p>
    <w:tbl>
      <w:tblPr>
        <w:tblStyle w:val="12"/>
        <w:tblW w:w="951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5"/>
        <w:gridCol w:w="2445"/>
        <w:gridCol w:w="2663"/>
        <w:gridCol w:w="8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3535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询价</w:t>
            </w:r>
            <w:r>
              <w:rPr>
                <w:rFonts w:hint="eastAsia" w:ascii="新宋体" w:hAnsi="新宋体" w:eastAsia="新宋体" w:cs="新宋体"/>
                <w:szCs w:val="21"/>
              </w:rPr>
              <w:t>报价</w:t>
            </w:r>
            <w:r>
              <w:rPr>
                <w:rFonts w:hint="eastAsia" w:ascii="新宋体" w:hAnsi="新宋体" w:eastAsia="新宋体" w:cs="新宋体"/>
                <w:szCs w:val="21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元</w:t>
            </w:r>
            <w:r>
              <w:rPr>
                <w:rFonts w:hint="eastAsia" w:ascii="新宋体" w:hAnsi="新宋体" w:eastAsia="新宋体" w:cs="新宋体"/>
                <w:szCs w:val="21"/>
                <w:lang w:eastAsia="zh-CN"/>
              </w:rPr>
              <w:t>）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合同履行地点</w:t>
            </w:r>
          </w:p>
        </w:tc>
        <w:tc>
          <w:tcPr>
            <w:tcW w:w="266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服务时间</w:t>
            </w:r>
          </w:p>
        </w:tc>
        <w:tc>
          <w:tcPr>
            <w:tcW w:w="875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3535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小写：</w:t>
            </w: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21000.00</w:t>
            </w:r>
          </w:p>
        </w:tc>
        <w:tc>
          <w:tcPr>
            <w:tcW w:w="2445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  <w:lang w:eastAsia="zh-CN"/>
              </w:rPr>
              <w:t>兰州职业技术学院</w:t>
            </w:r>
            <w:r>
              <w:rPr>
                <w:rFonts w:hint="eastAsia" w:ascii="新宋体" w:hAnsi="新宋体" w:eastAsia="新宋体" w:cs="新宋体"/>
                <w:szCs w:val="21"/>
              </w:rPr>
              <w:t>指定地点</w:t>
            </w:r>
          </w:p>
        </w:tc>
        <w:tc>
          <w:tcPr>
            <w:tcW w:w="2663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合同签订</w:t>
            </w: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生效后，在生涯周活动的举办期间提供相关软件服务。</w:t>
            </w:r>
          </w:p>
        </w:tc>
        <w:tc>
          <w:tcPr>
            <w:tcW w:w="875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3535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hint="default" w:ascii="新宋体" w:hAnsi="新宋体" w:eastAsia="新宋体" w:cs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大写：</w:t>
            </w: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贰万壹仟元整</w:t>
            </w:r>
          </w:p>
        </w:tc>
        <w:tc>
          <w:tcPr>
            <w:tcW w:w="2445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2663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</w:p>
        </w:tc>
        <w:tc>
          <w:tcPr>
            <w:tcW w:w="875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</w:trPr>
        <w:tc>
          <w:tcPr>
            <w:tcW w:w="9518" w:type="dxa"/>
            <w:gridSpan w:val="4"/>
          </w:tcPr>
          <w:p>
            <w:pPr>
              <w:rPr>
                <w:rFonts w:hint="eastAsia" w:ascii="新宋体" w:hAnsi="新宋体" w:eastAsia="新宋体" w:cs="新宋体"/>
                <w:szCs w:val="21"/>
              </w:rPr>
            </w:pP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供应商名称</w:t>
            </w:r>
            <w:r>
              <w:rPr>
                <w:rFonts w:hint="eastAsia" w:ascii="新宋体" w:hAnsi="新宋体" w:eastAsia="新宋体" w:cs="新宋体"/>
                <w:szCs w:val="21"/>
              </w:rPr>
              <w:t>（盖单位公章）：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北京位来教育科技有限公司</w:t>
            </w: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法定代表人或其委托代理</w:t>
            </w:r>
            <w:r>
              <w:rPr>
                <w:rFonts w:hint="eastAsia" w:ascii="新宋体" w:hAnsi="新宋体" w:eastAsia="新宋体" w:cs="新宋体"/>
                <w:szCs w:val="21"/>
                <w:lang w:val="en-US" w:eastAsia="zh-CN"/>
              </w:rPr>
              <w:t>人（签字或盖章）：　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　　　　　　　　</w:t>
            </w: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  <w:r>
              <w:rPr>
                <w:rFonts w:hint="eastAsia" w:ascii="新宋体" w:hAnsi="新宋体" w:eastAsia="新宋体" w:cs="新宋体"/>
                <w:szCs w:val="21"/>
              </w:rPr>
              <w:t>日期：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</w:rPr>
              <w:t>年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</w:rPr>
              <w:t>月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新宋体" w:hAnsi="新宋体" w:eastAsia="新宋体" w:cs="新宋体"/>
                <w:szCs w:val="21"/>
                <w:u w:val="single"/>
              </w:rPr>
              <w:t>　</w:t>
            </w:r>
            <w:r>
              <w:rPr>
                <w:rFonts w:hint="eastAsia" w:ascii="新宋体" w:hAnsi="新宋体" w:eastAsia="新宋体" w:cs="新宋体"/>
                <w:szCs w:val="21"/>
              </w:rPr>
              <w:t>日</w:t>
            </w:r>
          </w:p>
          <w:p>
            <w:pPr>
              <w:rPr>
                <w:rFonts w:hint="eastAsia" w:ascii="新宋体" w:hAnsi="新宋体" w:eastAsia="新宋体" w:cs="新宋体"/>
                <w:szCs w:val="21"/>
              </w:rPr>
            </w:pPr>
          </w:p>
        </w:tc>
      </w:tr>
    </w:tbl>
    <w:p>
      <w:pPr>
        <w:pStyle w:val="3"/>
        <w:numPr>
          <w:ilvl w:val="0"/>
          <w:numId w:val="0"/>
        </w:numPr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注：此表中 “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询价</w:t>
      </w:r>
      <w:r>
        <w:rPr>
          <w:rFonts w:hint="eastAsia" w:ascii="新宋体" w:hAnsi="新宋体" w:eastAsia="新宋体" w:cs="新宋体"/>
          <w:sz w:val="21"/>
          <w:szCs w:val="21"/>
        </w:rPr>
        <w:t>报价”应与“报价明细表”中“总报价”一致。</w:t>
      </w:r>
    </w:p>
    <w:p>
      <w:pPr>
        <w:rPr>
          <w:rFonts w:hint="eastAsia" w:ascii="新宋体" w:hAnsi="新宋体" w:eastAsia="新宋体" w:cs="新宋体"/>
          <w:szCs w:val="21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3"/>
        <w:numPr>
          <w:ilvl w:val="0"/>
          <w:numId w:val="0"/>
        </w:numPr>
        <w:jc w:val="center"/>
        <w:rPr>
          <w:rFonts w:hint="eastAsia" w:ascii="新宋体" w:hAnsi="新宋体" w:eastAsia="新宋体" w:cs="新宋体"/>
          <w:sz w:val="36"/>
          <w:szCs w:val="36"/>
        </w:rPr>
      </w:pPr>
      <w:r>
        <w:rPr>
          <w:rFonts w:hint="eastAsia" w:ascii="新宋体" w:hAnsi="新宋体" w:eastAsia="新宋体" w:cs="新宋体"/>
          <w:sz w:val="36"/>
          <w:szCs w:val="36"/>
        </w:rPr>
        <w:t>报价明细表</w:t>
      </w:r>
    </w:p>
    <w:p>
      <w:pPr>
        <w:rPr>
          <w:rFonts w:hint="eastAsia" w:ascii="新宋体" w:hAnsi="新宋体" w:eastAsia="新宋体" w:cs="新宋体"/>
          <w:b/>
          <w:bCs/>
        </w:rPr>
      </w:pPr>
      <w:r>
        <w:rPr>
          <w:rFonts w:hint="eastAsia" w:ascii="新宋体" w:hAnsi="新宋体" w:eastAsia="新宋体" w:cs="新宋体"/>
          <w:b/>
          <w:bCs/>
        </w:rPr>
        <w:t>项目名称：</w:t>
      </w:r>
      <w:r>
        <w:rPr>
          <w:rFonts w:hint="eastAsia" w:ascii="新宋体" w:hAnsi="新宋体" w:eastAsia="新宋体" w:cs="新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生涯体验周软件支撑服务</w:t>
      </w:r>
    </w:p>
    <w:tbl>
      <w:tblPr>
        <w:tblStyle w:val="12"/>
        <w:tblW w:w="1562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910"/>
        <w:gridCol w:w="5313"/>
        <w:gridCol w:w="914"/>
        <w:gridCol w:w="1091"/>
        <w:gridCol w:w="1950"/>
        <w:gridCol w:w="1391"/>
        <w:gridCol w:w="1431"/>
        <w:gridCol w:w="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序号</w:t>
            </w:r>
          </w:p>
        </w:tc>
        <w:tc>
          <w:tcPr>
            <w:tcW w:w="1910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货物/服务名称</w:t>
            </w:r>
          </w:p>
        </w:tc>
        <w:tc>
          <w:tcPr>
            <w:tcW w:w="5313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品牌和型号（或服务内容及方案）</w:t>
            </w:r>
          </w:p>
        </w:tc>
        <w:tc>
          <w:tcPr>
            <w:tcW w:w="914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数量</w:t>
            </w:r>
          </w:p>
        </w:tc>
        <w:tc>
          <w:tcPr>
            <w:tcW w:w="1091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计量单位</w:t>
            </w:r>
          </w:p>
        </w:tc>
        <w:tc>
          <w:tcPr>
            <w:tcW w:w="1950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制造商/生产厂商名称（服务项目不用填）</w:t>
            </w:r>
          </w:p>
        </w:tc>
        <w:tc>
          <w:tcPr>
            <w:tcW w:w="1391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单价</w:t>
            </w:r>
          </w:p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（元）</w:t>
            </w:r>
          </w:p>
        </w:tc>
        <w:tc>
          <w:tcPr>
            <w:tcW w:w="1431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总价</w:t>
            </w:r>
          </w:p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（元）</w:t>
            </w:r>
          </w:p>
        </w:tc>
        <w:tc>
          <w:tcPr>
            <w:tcW w:w="904" w:type="dxa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</w:p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</w:p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1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生涯体验周软件支撑服务</w:t>
            </w:r>
          </w:p>
        </w:tc>
        <w:tc>
          <w:tcPr>
            <w:tcW w:w="5313" w:type="dxa"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exact"/>
              <w:ind w:firstLine="420" w:firstLineChars="0"/>
              <w:jc w:val="both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应用信息化的手段对生涯体验周活动进行记录和推进，对过程数据进行全程管理。平台对生涯活动过程进行全流程的管理，从活动的开始到活动的结束每个关键节点都明确记录。大学生生涯活动资源，是线下活动在系统内的体现。活动资源为同学们提供各种生涯体验类活动，活动包含：自我探索、外部世界探索、个人定位、行动计划等。让学生从自我角度、专业角度，发展角度进行全面提升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restart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pacing w:val="-6"/>
                <w:sz w:val="21"/>
                <w:szCs w:val="21"/>
                <w:lang w:val="en-US" w:eastAsia="zh-CN"/>
              </w:rPr>
              <w:t>21000.00</w:t>
            </w:r>
          </w:p>
        </w:tc>
        <w:tc>
          <w:tcPr>
            <w:tcW w:w="1431" w:type="dxa"/>
            <w:vMerge w:val="restart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pacing w:val="-6"/>
                <w:sz w:val="21"/>
                <w:szCs w:val="21"/>
                <w:lang w:val="en-US" w:eastAsia="zh-CN"/>
              </w:rPr>
              <w:t>21000.00</w:t>
            </w: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本次活动提供11个活动关卡，分别为线上、线下、线上+线下结合关卡。关卡名称为：森林冒险家、生涯斗兽场、大家猜猜猜、去向漂流瓶、“益”起拼多多、团队角色树、生涯直通车、榜样的力量（思政）、一起来画图、一起入职场、竞拍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参加学生数据导入：提前与学校负责人沟通，导入学生名单，模板包括学生姓名、学号、性别、名族、籍贯、手机号、学历、入学年份、毕业年份、院系、专业、班级等多维度数据导入。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学生生涯档案：在生涯体验周活动的开展过程中，实现对学生全流程体验数据精准采集，自动生成生涯发展档案，每个参与学生一份。（以实际参加人数为准）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人/份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数据报告：统计活动数据，为学校生成整体活动数据报告一份，体现本次活动成果，和学生整体生涯规划情况，为学校、老师、学生提供职业生涯活动数据分析。分析内容包括：活动成果化分析、活动基本情况、上次活动成果统计分析、学生职业分析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份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问卷调查：配合线上+线下活动，发布调查问卷，可根据学校需求，设计调查问卷内容，并配合学校完成学生生涯规划问题的统计，并生成数据报告。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1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1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线上咨询：针对在学生在体验周活动过程中产生的问题，为学生提供线下咨询服务，针对个性化问题学生可以通过小程序寻求专家的帮助，在线完成咨询过程，咨询数据自动统计。</w:t>
            </w:r>
          </w:p>
        </w:tc>
        <w:tc>
          <w:tcPr>
            <w:tcW w:w="91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位来教育</w:t>
            </w:r>
          </w:p>
        </w:tc>
        <w:tc>
          <w:tcPr>
            <w:tcW w:w="139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1431" w:type="dxa"/>
            <w:vMerge w:val="continue"/>
            <w:vAlign w:val="center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288" w:type="dxa"/>
            <w:gridSpan w:val="7"/>
            <w:vAlign w:val="center"/>
          </w:tcPr>
          <w:p>
            <w:pPr>
              <w:pStyle w:val="8"/>
              <w:jc w:val="center"/>
              <w:rPr>
                <w:rFonts w:hint="eastAsia" w:ascii="新宋体" w:hAnsi="新宋体" w:eastAsia="新宋体" w:cs="新宋体"/>
                <w:b/>
                <w:bCs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pacing w:val="-6"/>
                <w:sz w:val="21"/>
                <w:szCs w:val="21"/>
                <w:lang w:val="en-US" w:eastAsia="zh-CN"/>
              </w:rPr>
              <w:t>总报价</w:t>
            </w:r>
          </w:p>
        </w:tc>
        <w:tc>
          <w:tcPr>
            <w:tcW w:w="1431" w:type="dxa"/>
            <w:vAlign w:val="center"/>
          </w:tcPr>
          <w:p>
            <w:pPr>
              <w:pStyle w:val="8"/>
              <w:ind w:left="594" w:hanging="596" w:hangingChars="300"/>
              <w:rPr>
                <w:rFonts w:hint="eastAsia" w:ascii="新宋体" w:hAnsi="新宋体" w:eastAsia="新宋体" w:cs="新宋体"/>
                <w:b/>
                <w:bCs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pacing w:val="-6"/>
                <w:sz w:val="21"/>
                <w:szCs w:val="21"/>
                <w:lang w:val="en-US" w:eastAsia="zh-CN"/>
              </w:rPr>
              <w:t xml:space="preserve"> 21000.00元</w:t>
            </w:r>
          </w:p>
        </w:tc>
        <w:tc>
          <w:tcPr>
            <w:tcW w:w="904" w:type="dxa"/>
          </w:tcPr>
          <w:p>
            <w:pPr>
              <w:pStyle w:val="8"/>
              <w:rPr>
                <w:rFonts w:hint="eastAsia" w:ascii="新宋体" w:hAnsi="新宋体" w:eastAsia="新宋体" w:cs="新宋体"/>
                <w:spacing w:val="-6"/>
                <w:sz w:val="21"/>
                <w:szCs w:val="21"/>
              </w:rPr>
            </w:pP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  <w:sectPr>
          <w:pgSz w:w="16838" w:h="11906" w:orient="landscape"/>
          <w:pgMar w:top="1800" w:right="1440" w:bottom="1800" w:left="144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jc w:val="left"/>
        <w:outlineLvl w:val="2"/>
        <w:rPr>
          <w:rFonts w:hint="eastAsia" w:ascii="新宋体" w:hAnsi="新宋体" w:eastAsia="新宋体" w:cs="新宋体"/>
          <w:sz w:val="30"/>
          <w:szCs w:val="30"/>
          <w:lang w:val="en-US" w:eastAsia="zh-CN"/>
        </w:rPr>
      </w:pPr>
      <w:bookmarkStart w:id="0" w:name="_Toc105695849"/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格式1</w:t>
      </w:r>
    </w:p>
    <w:p>
      <w:pPr>
        <w:jc w:val="center"/>
        <w:outlineLvl w:val="2"/>
        <w:rPr>
          <w:rFonts w:hint="eastAsia" w:ascii="新宋体" w:hAnsi="新宋体" w:eastAsia="新宋体" w:cs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资格材料</w:t>
      </w: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b w:val="0"/>
          <w:bCs w:val="0"/>
          <w:snapToGrid w:val="0"/>
          <w:sz w:val="28"/>
          <w:szCs w:val="28"/>
        </w:rPr>
      </w:pP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480" w:firstLineChars="200"/>
        <w:rPr>
          <w:rFonts w:hint="eastAsia" w:ascii="新宋体" w:hAnsi="新宋体" w:eastAsia="新宋体" w:cs="新宋体"/>
          <w:b w:val="0"/>
          <w:bCs w:val="0"/>
          <w:snapToGrid w:val="0"/>
          <w:kern w:val="21"/>
          <w:sz w:val="24"/>
          <w:szCs w:val="24"/>
        </w:rPr>
      </w:pPr>
      <w:r>
        <w:rPr>
          <w:rFonts w:hint="eastAsia" w:ascii="新宋体" w:hAnsi="新宋体" w:eastAsia="新宋体" w:cs="新宋体"/>
          <w:b w:val="0"/>
          <w:bCs w:val="0"/>
          <w:snapToGrid w:val="0"/>
          <w:sz w:val="24"/>
          <w:szCs w:val="24"/>
        </w:rPr>
        <w:t>供应商</w:t>
      </w:r>
      <w:r>
        <w:rPr>
          <w:rFonts w:hint="eastAsia" w:ascii="新宋体" w:hAnsi="新宋体" w:eastAsia="新宋体" w:cs="新宋体"/>
          <w:b w:val="0"/>
          <w:bCs w:val="0"/>
          <w:sz w:val="24"/>
          <w:szCs w:val="24"/>
        </w:rPr>
        <w:t>须</w:t>
      </w:r>
      <w:r>
        <w:rPr>
          <w:rFonts w:hint="eastAsia" w:ascii="新宋体" w:hAnsi="新宋体" w:eastAsia="新宋体" w:cs="新宋体"/>
          <w:b w:val="0"/>
          <w:bCs w:val="0"/>
          <w:snapToGrid w:val="0"/>
          <w:kern w:val="21"/>
          <w:sz w:val="24"/>
          <w:szCs w:val="24"/>
        </w:rPr>
        <w:t>具有独立承担民事责任的能力：供应商须在中华人民共和国境内注册、</w:t>
      </w:r>
      <w:r>
        <w:rPr>
          <w:rFonts w:hint="eastAsia" w:ascii="新宋体" w:hAnsi="新宋体" w:eastAsia="新宋体" w:cs="新宋体"/>
          <w:b w:val="0"/>
          <w:bCs w:val="0"/>
          <w:snapToGrid w:val="0"/>
          <w:sz w:val="24"/>
          <w:szCs w:val="24"/>
        </w:rPr>
        <w:t>具有独立承担民事责任的能力，提供市场监督管理部门核发的有效的三证合一营业执照</w:t>
      </w:r>
      <w:r>
        <w:rPr>
          <w:rFonts w:hint="eastAsia" w:ascii="新宋体" w:hAnsi="新宋体" w:eastAsia="新宋体" w:cs="新宋体"/>
          <w:b w:val="0"/>
          <w:bCs w:val="0"/>
          <w:snapToGrid w:val="0"/>
          <w:kern w:val="21"/>
          <w:sz w:val="24"/>
          <w:szCs w:val="24"/>
        </w:rPr>
        <w:t>（复印件加盖公章）；</w:t>
      </w:r>
    </w:p>
    <w:p>
      <w:pPr>
        <w:jc w:val="center"/>
        <w:outlineLvl w:val="2"/>
        <w:rPr>
          <w:rFonts w:hint="eastAsia" w:ascii="新宋体" w:hAnsi="新宋体" w:eastAsia="新宋体" w:cs="新宋体"/>
          <w:sz w:val="30"/>
          <w:szCs w:val="30"/>
          <w:lang w:eastAsia="zh-CN"/>
        </w:rPr>
      </w:pPr>
      <w:r>
        <w:rPr>
          <w:rFonts w:hint="eastAsia" w:ascii="新宋体" w:hAnsi="新宋体" w:eastAsia="新宋体" w:cs="新宋体"/>
          <w:sz w:val="30"/>
          <w:szCs w:val="30"/>
          <w:lang w:eastAsia="zh-CN"/>
        </w:rPr>
        <w:drawing>
          <wp:inline distT="0" distB="0" distL="114300" distR="114300">
            <wp:extent cx="5635625" cy="7783830"/>
            <wp:effectExtent l="0" t="0" r="3175" b="7620"/>
            <wp:docPr id="1" name="图片 1" descr="北京位来营业执照副本4-1-新（20230906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京位来营业执照副本4-1-新（20230906）"/>
                    <pic:cNvPicPr>
                      <a:picLocks noChangeAspect="1"/>
                    </pic:cNvPicPr>
                  </pic:nvPicPr>
                  <pic:blipFill>
                    <a:blip r:embed="rId6">
                      <a:lum bright="6000" contrast="12000"/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635625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outlineLvl w:val="2"/>
        <w:rPr>
          <w:rFonts w:hint="eastAsia" w:ascii="新宋体" w:hAnsi="新宋体" w:eastAsia="新宋体" w:cs="新宋体"/>
          <w:sz w:val="30"/>
          <w:szCs w:val="30"/>
        </w:rPr>
      </w:pPr>
    </w:p>
    <w:p>
      <w:pPr>
        <w:jc w:val="center"/>
        <w:outlineLvl w:val="2"/>
        <w:rPr>
          <w:rFonts w:hint="eastAsia" w:ascii="新宋体" w:hAnsi="新宋体" w:eastAsia="新宋体" w:cs="新宋体"/>
          <w:sz w:val="30"/>
          <w:szCs w:val="30"/>
        </w:rPr>
      </w:pPr>
    </w:p>
    <w:bookmarkEnd w:id="0"/>
    <w:p>
      <w:pPr>
        <w:pStyle w:val="3"/>
        <w:numPr>
          <w:ilvl w:val="0"/>
          <w:numId w:val="0"/>
        </w:numPr>
        <w:rPr>
          <w:rFonts w:hint="eastAsia" w:ascii="新宋体" w:hAnsi="新宋体" w:eastAsia="新宋体" w:cs="新宋体"/>
          <w:b w:val="0"/>
          <w:bCs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/>
          <w:sz w:val="30"/>
          <w:szCs w:val="30"/>
          <w:lang w:val="en-US" w:eastAsia="zh-CN"/>
        </w:rPr>
        <w:t>格式2</w:t>
      </w:r>
    </w:p>
    <w:p>
      <w:pPr>
        <w:keepNext/>
        <w:keepLines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jc w:val="center"/>
        <w:outlineLvl w:val="1"/>
        <w:rPr>
          <w:rFonts w:hint="eastAsia" w:ascii="新宋体" w:hAnsi="新宋体" w:eastAsia="新宋体" w:cs="新宋体"/>
          <w:b/>
          <w:spacing w:val="20"/>
          <w:sz w:val="36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2"/>
        </w:rPr>
        <w:t>技术条款偏离表</w:t>
      </w: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632" w:firstLineChars="300"/>
        <w:rPr>
          <w:rFonts w:hint="eastAsia" w:ascii="新宋体" w:hAnsi="新宋体" w:eastAsia="新宋体" w:cs="新宋体"/>
          <w:b/>
          <w:sz w:val="21"/>
          <w:szCs w:val="21"/>
          <w:u w:val="single"/>
        </w:rPr>
      </w:pPr>
      <w:r>
        <w:rPr>
          <w:rFonts w:hint="eastAsia" w:ascii="新宋体" w:hAnsi="新宋体" w:eastAsia="新宋体" w:cs="新宋体"/>
          <w:b/>
          <w:sz w:val="21"/>
          <w:szCs w:val="21"/>
        </w:rPr>
        <w:t>项目名称：</w:t>
      </w:r>
      <w:r>
        <w:rPr>
          <w:rFonts w:hint="eastAsia" w:ascii="新宋体" w:hAnsi="新宋体" w:eastAsia="新宋体" w:cs="新宋体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生涯体验周软件支撑服务</w:t>
      </w:r>
    </w:p>
    <w:tbl>
      <w:tblPr>
        <w:tblStyle w:val="12"/>
        <w:tblW w:w="9627" w:type="dxa"/>
        <w:tblInd w:w="-4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3549"/>
        <w:gridCol w:w="3816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tblHeader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序号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询价</w:t>
            </w:r>
            <w:r>
              <w:rPr>
                <w:rFonts w:hint="eastAsia" w:ascii="新宋体" w:hAnsi="新宋体" w:eastAsia="新宋体" w:cs="新宋体"/>
                <w:b/>
                <w:sz w:val="21"/>
                <w:szCs w:val="21"/>
                <w:lang w:val="en-US" w:eastAsia="zh-CN"/>
              </w:rPr>
              <w:t>函</w:t>
            </w: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技术</w:t>
            </w:r>
            <w:r>
              <w:rPr>
                <w:rFonts w:hint="eastAsia" w:ascii="新宋体" w:hAnsi="新宋体" w:eastAsia="新宋体" w:cs="新宋体"/>
                <w:b/>
                <w:sz w:val="21"/>
                <w:szCs w:val="21"/>
                <w:lang w:val="en-US" w:eastAsia="zh-CN"/>
              </w:rPr>
              <w:t>参数要求或服务要求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  <w:lang w:val="en-US" w:eastAsia="zh-CN"/>
              </w:rPr>
              <w:t>报价函</w:t>
            </w:r>
            <w:r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  <w:t>响应情况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50" w:type="dxa"/>
            <w:shd w:val="clear" w:color="auto" w:fill="auto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49" w:type="dxa"/>
            <w:shd w:val="clear" w:color="auto" w:fill="auto"/>
            <w:noWrap w:val="0"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exact"/>
              <w:ind w:firstLine="420" w:firstLineChars="0"/>
              <w:jc w:val="both"/>
              <w:rPr>
                <w:rFonts w:hint="eastAsia" w:ascii="新宋体" w:hAnsi="新宋体" w:eastAsia="新宋体" w:cs="新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应用信息化的手段对生涯体验周活动进行记录和推进，对过程数据进行全程管理。平台对生涯活动过程进行全流程的管理，从活动的开始到活动的结束每个关键节点都明确记录。大学生生涯活动资源，是线下活动在系统内的体现。活动资源为同学们提供各种生涯体验类活动，活动包含：自我探索、外部世界探索、个人定位、行动计划等。让学生从自我角度、专业角度，发展角度进行全面提升。</w:t>
            </w:r>
          </w:p>
        </w:tc>
        <w:tc>
          <w:tcPr>
            <w:tcW w:w="3816" w:type="dxa"/>
            <w:shd w:val="clear" w:color="auto" w:fill="auto"/>
            <w:noWrap w:val="0"/>
            <w:vAlign w:val="center"/>
          </w:tcPr>
          <w:p>
            <w:pPr>
              <w:pStyle w:val="5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360" w:lineRule="exact"/>
              <w:ind w:firstLine="42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应用信息化的手段对生涯体验周活动进行记录和推进，对过程数据进行全程管理。平台对生涯活动过程进行全流程的管理，从活动的开始到活动的结束每个关键节点都明确记录。大学生生涯活动资源，是线下活动在系统内的体现。活动资源为同学们提供各种生涯体验类活动，活动包含：自我探索、外部世界探索、个人定位、行动计划等。让学生从自我角度、专业角度，发展角度进行全面提升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次活动提供11个活动关卡，分别为线上、线下、线上+线下结合关卡。关卡名称为：森林冒险家、生涯斗兽场、大家猜猜猜、去向漂流瓶、“益”起拼多多、团队角色树、生涯直通车、榜样的力量（思政）、一起来画图、一起入职场、竞拍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本次活动提供11个活动关卡，分别为线上、线下、线上+线下结合关卡。关卡名称为：森林冒险家、生涯斗兽场、大家猜猜猜、去向漂流瓶、“益”起拼多多、团队角色树、生涯直通车、榜样的力量（思政）、一起来画图、一起入职场、竞拍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参加学生数据导入：提前与学校负责人沟通，导入学生名单，模板包括学生姓名、学号、性别、名族、籍贯、手机号、学历、入学年份、毕业年份、院系、专业、班级等多维度数据导入。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参加学生数据导入：提前与学校负责人沟通，导入学生名单，模板包括学生姓名、学号、性别、名族、籍贯、手机号、学历、入学年份、毕业年份、院系、专业、班级等多维度数据导入。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学生生涯档案：在生涯体验周活动的开展过程中，实现对学生全流程体验数据精准采集，自动生成生涯发展档案，每个参与学生一份。（以实际参加人数为准）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学生生涯档案：在生涯体验周活动的开展过程中，实现对学生全流程体验数据精准采集，自动生成生涯发展档案，每个参与学生一份。（以实际参加人数为准）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数据报告：统计活动数据，为学校生成整体活动数据报告一份，体现本次活动成果，和学生整体生涯规划情况，为学校、老师、学生提供职业生涯活动数据分析。分析内容包括：活动成果化分析、活动基本情况、上次活动成果统计分析、学生职业分析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动数据报告：统计活动数据，为学校生成整体活动数据报告一份，体现本次活动成果，和学生整体生涯规划情况，为学校、老师、学生提供职业生涯活动数据分析。分析内容包括：活动成果化分析、活动基本情况、上次活动成果统计分析、学生职业分析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问卷调查：配合线上+线下活动，发布调查问卷，可根据学校需求，设计调查问卷内容，并配合学校完成学生生涯规划问题的统计，并生成数据报告。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问卷调查：配合线上+线下活动，发布调查问卷，可根据学校需求，设计调查问卷内容，并配合学校完成学生生涯规划问题的统计，并生成数据报告。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线上咨询：针对在学生在体验周活动过程中产生的问题，为学生提供线下咨询服务，针对个性化问题学生可以通过小程序寻求专家的帮助，在线完成咨询过程，咨询数据自动统计。</w:t>
            </w:r>
          </w:p>
        </w:tc>
        <w:tc>
          <w:tcPr>
            <w:tcW w:w="381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线上咨询：针对在学生在体验周活动过程中产生的问题，为学生提供线下咨询服务，针对个性化问题学生可以通过小程序寻求专家的帮助，在线完成咨询过程，咨询数据自动统计。</w:t>
            </w:r>
          </w:p>
        </w:tc>
        <w:tc>
          <w:tcPr>
            <w:tcW w:w="1212" w:type="dxa"/>
            <w:noWrap w:val="0"/>
            <w:vAlign w:val="center"/>
          </w:tcPr>
          <w:p>
            <w:pPr>
              <w:pageBreakBefore w:val="0"/>
              <w:kinsoku/>
              <w:topLinePunct w:val="0"/>
              <w:bidi w:val="0"/>
              <w:adjustRightInd w:val="0"/>
              <w:snapToGrid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无偏离</w:t>
            </w:r>
          </w:p>
        </w:tc>
      </w:tr>
    </w:tbl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注：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napToGrid w:val="0"/>
          <w:kern w:val="21"/>
        </w:rPr>
      </w:pPr>
      <w:r>
        <w:rPr>
          <w:rFonts w:hint="eastAsia" w:ascii="新宋体" w:hAnsi="新宋体" w:eastAsia="新宋体" w:cs="新宋体"/>
          <w:snapToGrid w:val="0"/>
          <w:kern w:val="21"/>
        </w:rPr>
        <w:t>1.表格中“序号”一列，供应商须逐条对应</w:t>
      </w:r>
      <w:r>
        <w:rPr>
          <w:rFonts w:hint="eastAsia" w:ascii="新宋体" w:hAnsi="新宋体" w:eastAsia="新宋体" w:cs="新宋体"/>
          <w:snapToGrid w:val="0"/>
          <w:kern w:val="21"/>
          <w:lang w:eastAsia="zh-CN"/>
        </w:rPr>
        <w:t>《</w:t>
      </w:r>
      <w:r>
        <w:rPr>
          <w:rFonts w:hint="eastAsia" w:ascii="新宋体" w:hAnsi="新宋体" w:eastAsia="新宋体" w:cs="新宋体"/>
          <w:snapToGrid w:val="0"/>
          <w:kern w:val="21"/>
        </w:rPr>
        <w:t>采购需求</w:t>
      </w:r>
      <w:r>
        <w:rPr>
          <w:rFonts w:hint="eastAsia" w:ascii="新宋体" w:hAnsi="新宋体" w:eastAsia="新宋体" w:cs="新宋体"/>
          <w:snapToGrid w:val="0"/>
          <w:kern w:val="21"/>
          <w:lang w:eastAsia="zh-CN"/>
        </w:rPr>
        <w:t>》</w:t>
      </w:r>
      <w:r>
        <w:rPr>
          <w:rFonts w:hint="eastAsia" w:ascii="新宋体" w:hAnsi="新宋体" w:eastAsia="新宋体" w:cs="新宋体"/>
          <w:snapToGrid w:val="0"/>
          <w:kern w:val="21"/>
        </w:rPr>
        <w:t>中的序号。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napToGrid w:val="0"/>
          <w:kern w:val="21"/>
        </w:rPr>
      </w:pPr>
      <w:r>
        <w:rPr>
          <w:rFonts w:hint="eastAsia" w:ascii="新宋体" w:hAnsi="新宋体" w:eastAsia="新宋体" w:cs="新宋体"/>
          <w:snapToGrid w:val="0"/>
          <w:kern w:val="21"/>
        </w:rPr>
        <w:t>2.表格中“询价函技术参数要求或服务要求”一列，供应商须逐条对应《采购需求》中的技术</w:t>
      </w:r>
      <w:r>
        <w:rPr>
          <w:rFonts w:hint="eastAsia" w:ascii="新宋体" w:hAnsi="新宋体" w:eastAsia="新宋体" w:cs="新宋体"/>
          <w:snapToGrid w:val="0"/>
          <w:kern w:val="21"/>
          <w:lang w:val="en-US" w:eastAsia="zh-CN"/>
        </w:rPr>
        <w:t>参数要求或服务要求</w:t>
      </w:r>
      <w:r>
        <w:rPr>
          <w:rFonts w:hint="eastAsia" w:ascii="新宋体" w:hAnsi="新宋体" w:eastAsia="新宋体" w:cs="新宋体"/>
          <w:snapToGrid w:val="0"/>
          <w:kern w:val="21"/>
        </w:rPr>
        <w:t>。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napToGrid w:val="0"/>
          <w:kern w:val="21"/>
        </w:rPr>
      </w:pPr>
      <w:r>
        <w:rPr>
          <w:rFonts w:hint="eastAsia" w:ascii="新宋体" w:hAnsi="新宋体" w:eastAsia="新宋体" w:cs="新宋体"/>
          <w:snapToGrid w:val="0"/>
          <w:kern w:val="21"/>
        </w:rPr>
        <w:t>3.表格中“</w:t>
      </w:r>
      <w:r>
        <w:rPr>
          <w:rFonts w:hint="eastAsia" w:ascii="新宋体" w:hAnsi="新宋体" w:eastAsia="新宋体" w:cs="新宋体"/>
          <w:snapToGrid w:val="0"/>
          <w:color w:val="000000"/>
          <w:kern w:val="21"/>
          <w:lang w:val="en-US" w:eastAsia="zh-CN"/>
        </w:rPr>
        <w:t>报价函</w:t>
      </w:r>
      <w:r>
        <w:rPr>
          <w:rFonts w:hint="eastAsia" w:ascii="新宋体" w:hAnsi="新宋体" w:eastAsia="新宋体" w:cs="新宋体"/>
          <w:snapToGrid w:val="0"/>
          <w:color w:val="000000"/>
          <w:kern w:val="21"/>
        </w:rPr>
        <w:t>响应情况</w:t>
      </w:r>
      <w:r>
        <w:rPr>
          <w:rFonts w:hint="eastAsia" w:ascii="新宋体" w:hAnsi="新宋体" w:eastAsia="新宋体" w:cs="新宋体"/>
          <w:snapToGrid w:val="0"/>
          <w:kern w:val="21"/>
        </w:rPr>
        <w:t>”一列，供应商须逐条作出全面、真实的反映</w:t>
      </w:r>
      <w:r>
        <w:rPr>
          <w:rFonts w:hint="eastAsia" w:ascii="新宋体" w:hAnsi="新宋体" w:eastAsia="新宋体" w:cs="新宋体"/>
          <w:snapToGrid w:val="0"/>
          <w:kern w:val="21"/>
          <w:szCs w:val="21"/>
        </w:rPr>
        <w:t>。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napToGrid w:val="0"/>
          <w:kern w:val="21"/>
          <w:lang w:val="en-US" w:eastAsia="zh-CN"/>
        </w:rPr>
      </w:pPr>
      <w:r>
        <w:rPr>
          <w:rFonts w:hint="eastAsia" w:ascii="新宋体" w:hAnsi="新宋体" w:eastAsia="新宋体" w:cs="新宋体"/>
          <w:snapToGrid w:val="0"/>
          <w:kern w:val="21"/>
        </w:rPr>
        <w:t>4.表格中“偏离”一列，供应商只能如实填写“正偏离”、“负偏离”或“无偏离”。凡响应内容高于《采购需求》中的</w:t>
      </w:r>
      <w:r>
        <w:rPr>
          <w:rFonts w:hint="eastAsia" w:ascii="新宋体" w:hAnsi="新宋体" w:eastAsia="新宋体" w:cs="新宋体"/>
          <w:b w:val="0"/>
          <w:bCs/>
          <w:szCs w:val="21"/>
        </w:rPr>
        <w:t>技术</w:t>
      </w:r>
      <w:r>
        <w:rPr>
          <w:rFonts w:hint="eastAsia" w:ascii="新宋体" w:hAnsi="新宋体" w:eastAsia="新宋体" w:cs="新宋体"/>
          <w:b w:val="0"/>
          <w:bCs/>
          <w:szCs w:val="21"/>
          <w:lang w:val="en-US" w:eastAsia="zh-CN"/>
        </w:rPr>
        <w:t>参数要求或服务要求的</w:t>
      </w:r>
      <w:r>
        <w:rPr>
          <w:rFonts w:hint="eastAsia" w:ascii="新宋体" w:hAnsi="新宋体" w:eastAsia="新宋体" w:cs="新宋体"/>
          <w:snapToGrid w:val="0"/>
          <w:kern w:val="21"/>
        </w:rPr>
        <w:t>，按“正偏离”填写；低于《采购需求》中的</w:t>
      </w:r>
      <w:r>
        <w:rPr>
          <w:rFonts w:hint="eastAsia" w:ascii="新宋体" w:hAnsi="新宋体" w:eastAsia="新宋体" w:cs="新宋体"/>
          <w:b w:val="0"/>
          <w:bCs/>
          <w:szCs w:val="21"/>
        </w:rPr>
        <w:t>技术</w:t>
      </w:r>
      <w:r>
        <w:rPr>
          <w:rFonts w:hint="eastAsia" w:ascii="新宋体" w:hAnsi="新宋体" w:eastAsia="新宋体" w:cs="新宋体"/>
          <w:b w:val="0"/>
          <w:bCs/>
          <w:szCs w:val="21"/>
          <w:lang w:val="en-US" w:eastAsia="zh-CN"/>
        </w:rPr>
        <w:t>参数要求或服务要求的</w:t>
      </w:r>
      <w:r>
        <w:rPr>
          <w:rFonts w:hint="eastAsia" w:ascii="新宋体" w:hAnsi="新宋体" w:eastAsia="新宋体" w:cs="新宋体"/>
          <w:snapToGrid w:val="0"/>
          <w:kern w:val="21"/>
        </w:rPr>
        <w:t>，按“负偏离”填写；满足《采购需求》中的</w:t>
      </w:r>
      <w:r>
        <w:rPr>
          <w:rFonts w:hint="eastAsia" w:ascii="新宋体" w:hAnsi="新宋体" w:eastAsia="新宋体" w:cs="新宋体"/>
          <w:b w:val="0"/>
          <w:bCs/>
          <w:szCs w:val="21"/>
        </w:rPr>
        <w:t>技术</w:t>
      </w:r>
      <w:r>
        <w:rPr>
          <w:rFonts w:hint="eastAsia" w:ascii="新宋体" w:hAnsi="新宋体" w:eastAsia="新宋体" w:cs="新宋体"/>
          <w:b w:val="0"/>
          <w:bCs/>
          <w:szCs w:val="21"/>
          <w:lang w:val="en-US" w:eastAsia="zh-CN"/>
        </w:rPr>
        <w:t>参数要求或服务要求</w:t>
      </w:r>
      <w:r>
        <w:rPr>
          <w:rFonts w:hint="eastAsia" w:ascii="新宋体" w:hAnsi="新宋体" w:eastAsia="新宋体" w:cs="新宋体"/>
          <w:snapToGrid w:val="0"/>
          <w:kern w:val="21"/>
        </w:rPr>
        <w:t>的，按“无偏离”填写。</w:t>
      </w:r>
      <w:r>
        <w:rPr>
          <w:rFonts w:hint="eastAsia" w:ascii="新宋体" w:hAnsi="新宋体" w:eastAsia="新宋体" w:cs="新宋体"/>
          <w:snapToGrid w:val="0"/>
          <w:kern w:val="21"/>
          <w:lang w:val="en-US" w:eastAsia="zh-CN"/>
        </w:rPr>
        <w:t xml:space="preserve"> 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napToGrid w:val="0"/>
          <w:kern w:val="21"/>
        </w:rPr>
      </w:pPr>
      <w:r>
        <w:rPr>
          <w:rFonts w:hint="eastAsia" w:ascii="新宋体" w:hAnsi="新宋体" w:eastAsia="新宋体" w:cs="新宋体"/>
          <w:snapToGrid w:val="0"/>
          <w:kern w:val="21"/>
        </w:rPr>
        <w:t>5.供应商可根据《采购需求》中的</w:t>
      </w:r>
      <w:r>
        <w:rPr>
          <w:rFonts w:hint="eastAsia" w:ascii="新宋体" w:hAnsi="新宋体" w:eastAsia="新宋体" w:cs="新宋体"/>
          <w:b w:val="0"/>
          <w:bCs/>
          <w:szCs w:val="21"/>
        </w:rPr>
        <w:t>技术</w:t>
      </w:r>
      <w:r>
        <w:rPr>
          <w:rFonts w:hint="eastAsia" w:ascii="新宋体" w:hAnsi="新宋体" w:eastAsia="新宋体" w:cs="新宋体"/>
          <w:b w:val="0"/>
          <w:bCs/>
          <w:szCs w:val="21"/>
          <w:lang w:val="en-US" w:eastAsia="zh-CN"/>
        </w:rPr>
        <w:t>参数要求或服务要求</w:t>
      </w:r>
      <w:r>
        <w:rPr>
          <w:rFonts w:hint="eastAsia" w:ascii="新宋体" w:hAnsi="新宋体" w:eastAsia="新宋体" w:cs="新宋体"/>
          <w:snapToGrid w:val="0"/>
          <w:kern w:val="21"/>
        </w:rPr>
        <w:t>拓展本表，但不得改变格式。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供应商：</w:t>
      </w:r>
      <w:r>
        <w:rPr>
          <w:rFonts w:hint="eastAsia" w:ascii="新宋体" w:hAnsi="新宋体" w:eastAsia="新宋体" w:cs="新宋体"/>
          <w:szCs w:val="21"/>
          <w:u w:val="single"/>
        </w:rPr>
        <w:t>北京位来教育科技有限公司</w:t>
      </w:r>
      <w:r>
        <w:rPr>
          <w:rFonts w:hint="eastAsia" w:ascii="新宋体" w:hAnsi="新宋体" w:eastAsia="新宋体" w:cs="新宋体"/>
          <w:szCs w:val="21"/>
        </w:rPr>
        <w:t>（加盖公章）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</w:rPr>
      </w:pPr>
      <w:r>
        <w:rPr>
          <w:rFonts w:hint="eastAsia" w:ascii="新宋体" w:hAnsi="新宋体" w:eastAsia="新宋体" w:cs="新宋体"/>
          <w:szCs w:val="21"/>
        </w:rPr>
        <w:t>法定代表人或委托代理人：（签字或盖章）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  <w:lang w:val="en-US" w:eastAsia="zh-CN"/>
        </w:rPr>
      </w:pPr>
      <w:r>
        <w:rPr>
          <w:rFonts w:hint="eastAsia" w:ascii="新宋体" w:hAnsi="新宋体" w:eastAsia="新宋体" w:cs="新宋体"/>
          <w:szCs w:val="21"/>
        </w:rPr>
        <w:t>日期：</w:t>
      </w:r>
      <w:r>
        <w:rPr>
          <w:rFonts w:hint="eastAsia" w:ascii="新宋体" w:hAnsi="新宋体" w:eastAsia="新宋体" w:cs="新宋体"/>
          <w:szCs w:val="21"/>
          <w:lang w:val="en-US" w:eastAsia="zh-CN"/>
        </w:rPr>
        <w:t xml:space="preserve">       年      月      日</w:t>
      </w:r>
    </w:p>
    <w:p>
      <w:pPr>
        <w:rPr>
          <w:rFonts w:hint="eastAsia" w:ascii="新宋体" w:hAnsi="新宋体" w:eastAsia="新宋体" w:cs="新宋体"/>
          <w:lang w:val="en-US" w:eastAsia="zh-CN"/>
        </w:rPr>
      </w:pPr>
      <w:r>
        <w:rPr>
          <w:rFonts w:hint="eastAsia" w:ascii="新宋体" w:hAnsi="新宋体" w:eastAsia="新宋体" w:cs="新宋体"/>
          <w:b/>
          <w:sz w:val="28"/>
          <w:szCs w:val="28"/>
        </w:rPr>
        <w:br w:type="page"/>
      </w:r>
    </w:p>
    <w:p>
      <w:pPr>
        <w:rPr>
          <w:rFonts w:hint="eastAsia" w:ascii="新宋体" w:hAnsi="新宋体" w:eastAsia="新宋体" w:cs="新宋体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>格式3</w:t>
      </w:r>
    </w:p>
    <w:p>
      <w:pPr>
        <w:jc w:val="center"/>
        <w:outlineLvl w:val="2"/>
        <w:rPr>
          <w:rFonts w:hint="eastAsia" w:ascii="新宋体" w:hAnsi="新宋体" w:eastAsia="新宋体" w:cs="新宋体"/>
          <w:sz w:val="30"/>
          <w:szCs w:val="30"/>
        </w:rPr>
      </w:pPr>
      <w:bookmarkStart w:id="1" w:name="_Toc105695851"/>
    </w:p>
    <w:bookmarkEnd w:id="1"/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jc w:val="center"/>
        <w:rPr>
          <w:rFonts w:hint="eastAsia" w:ascii="新宋体" w:hAnsi="新宋体" w:eastAsia="新宋体" w:cs="新宋体"/>
          <w:b/>
          <w:bCs/>
          <w:sz w:val="28"/>
          <w:szCs w:val="32"/>
        </w:rPr>
      </w:pPr>
      <w:r>
        <w:rPr>
          <w:rFonts w:hint="eastAsia" w:ascii="新宋体" w:hAnsi="新宋体" w:eastAsia="新宋体" w:cs="新宋体"/>
          <w:b/>
          <w:bCs/>
          <w:sz w:val="28"/>
          <w:szCs w:val="32"/>
          <w:lang w:val="en-US" w:eastAsia="zh-CN"/>
        </w:rPr>
        <w:t>服务</w:t>
      </w:r>
      <w:r>
        <w:rPr>
          <w:rFonts w:hint="eastAsia" w:ascii="新宋体" w:hAnsi="新宋体" w:eastAsia="新宋体" w:cs="新宋体"/>
          <w:b/>
          <w:bCs/>
          <w:sz w:val="28"/>
          <w:szCs w:val="32"/>
        </w:rPr>
        <w:t>方案及</w:t>
      </w:r>
      <w:r>
        <w:rPr>
          <w:rFonts w:hint="eastAsia" w:ascii="新宋体" w:hAnsi="新宋体" w:eastAsia="新宋体" w:cs="新宋体"/>
          <w:b/>
          <w:bCs/>
          <w:sz w:val="28"/>
          <w:szCs w:val="32"/>
          <w:lang w:val="en-US" w:eastAsia="zh-CN"/>
        </w:rPr>
        <w:t>服务</w:t>
      </w:r>
      <w:r>
        <w:rPr>
          <w:rFonts w:hint="eastAsia" w:ascii="新宋体" w:hAnsi="新宋体" w:eastAsia="新宋体" w:cs="新宋体"/>
          <w:b/>
          <w:bCs/>
          <w:sz w:val="28"/>
          <w:szCs w:val="32"/>
        </w:rPr>
        <w:t>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一、服务方案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1.环境准备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在软件交付部署之前，需要进行一些准备工作，以确保整个交付过程的顺利进行。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1) 部署环境的要求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首先需要明确要用到的部署环境，比如服务器的配置、操作系统类型数据库版本等信息。在确定具体的环境之后，需要对这些环境进行预先的配置和测试，确保它们能够正常地运转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2）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准备部署文件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在确认了部署环境之后，需要准备软件的部署文件，其中包括源代码配置文件、数据库脚本、安装包等。这些文件需要经过审核，并确保它们和打包后的软件包一致。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</w:rPr>
        <w:t>2.软件打包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在准备好部署文件之后，需要对软件进行打包，以方便后续的部署.打包的过程需要确保打出来的包是可执行的，并且包含了所有的依赖项和配置文件。同时，还需要设置好各项参数，比如端口号、数据库连接信息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3.测试和质量控制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在进行软件交付部署之前，需要先进行测试和质量控制。测试的目的是确保软件具有稳定性和正确性，质量控制是为了确保打包的软件符合编码标准、文档要求和开发规范。这些测试和质量控制的过程应该是不断迭代的，直到符合所有的测试要求后方可进行下一步的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4.软件部署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在完成软件测试和质量控制之后，将打包好的软件包部署到目标环境中。部署的过程应该有明确的部署计划和流程，确保所有的步骤都能够顺利讲行。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5.进行配置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在软件部署之后，需要进行相应的配置。比如配置数据库连接信息.端口号、日志项等。这些配置都需要经过仔细地考虑，并且要确保其中不会出现任何错误。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6.测试和验证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完成软件的部署和配置之后，需要进行相应的测试和验证，确保软件具有稳定性和正确性。测试和验证的过程中需要将所有可能出现的问题都考虑到，进行充分的测试和验证。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</w:rPr>
        <w:t>7.启动软件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经过测试和验证之后，可以将软件正式启动，并开始提供服务。同时运维人员也需要对软件进行监控和维护，确保软件的稳定性和高效性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sz w:val="24"/>
          <w:szCs w:val="24"/>
        </w:rPr>
        <w:t>部署环境的要求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1.</w:t>
      </w:r>
      <w:r>
        <w:rPr>
          <w:rFonts w:hint="eastAsia" w:ascii="新宋体" w:hAnsi="新宋体" w:eastAsia="新宋体" w:cs="新宋体"/>
          <w:sz w:val="24"/>
          <w:szCs w:val="24"/>
        </w:rPr>
        <w:t>在进行软件交付部署之前，需要提前确定部署环境的要求。具体的要求会根据软件的特性和运行环境的不同而发生变化。但是，通常会有以下几个方面的要求: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硬件的配置可以决定软件的性能和速度。因此，在部署软件之前，需要确定需要使用的硬件配置和要求。包括 CPU、内存、硬盘、带宽等.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2.操作系统要求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操作系统是软件运行的基础，因此，需要确定要使用的操作系统类型和版本要求。一般来说，操作系统的版本选择应该与开发环境相同，以确保软件在操作系统上运行稳定。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3.数据库要求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对于涉及到数据库的软件，需要确定数据库类型和版本，以及数据库的相关配置。在确定数据库类型和版本的时候，也需要考虑到数据库的安全问题、备份和恢复等方面的要求。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4.网络要求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网络的带宽和速度也可以影响到软件的性能和运行效率，因此，需要了解部署环境的网络情况，以便进行相应的网络优化。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三、部署前准备工作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在进行软件交付部署之前，需要进行一些准备工作，以确保整个交付过程的顺利进行。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1.部署计划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在进行软件交付部署之前，需要先进行详细的部署计划。部署计划包括软件的部署流程、所需资源、时间表等信息。依照部署计划的执行，可以确保软件交付部署过程的顺利进行。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2.部署文档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在软件交付部署之前，需要编写相关的部署文档。部署文档中应包含以下内容: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部署程序的安装步骤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部署过程中需要注意的事项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部署过程中可能出现的问题解决方法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部署后的测试方法和标准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编写详细的部署文档，可以使得软件的部署过程更加明确，并且可以在软件出现问题时更快地定位和解决问题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3.部署前准备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在进行软件交付部署之前，还需要进行一些准备工作。这些工作包括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确认所需的设备、软件等资源，并进行相应的采购。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具备监控程序和异常处理程序，并对其进行相应的升级或更新。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获得必要的授权和许可证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充分认真地进行准备工作，可以确保整个软件交付部署过程的顺利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="新宋体" w:hAnsi="新宋体" w:eastAsia="新宋体" w:cs="新宋体"/>
          <w:b/>
          <w:bCs/>
          <w:sz w:val="24"/>
          <w:szCs w:val="24"/>
        </w:rPr>
        <w:t>具体实施步骤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1)环境准备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在环境准备阶段，需要进行以下工作: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确认目标环境及配件要求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安装并部署相应的软件环境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检查与确认软件环境中是否包含所需工具和应用程序依赖项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确认网络环境是否满足要求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在被部署设备上启动各种必要的功能服务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检查目标部署设备的安全设置和防病毒软件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2)软件打包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在软件打包阶段，需要进行以下工作: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确定软件的打包方式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打包源代码和所有相关的文件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配置软件参数项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确认打出来的包可以被执行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3)测试和质量控制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在测试和质量控制阶段，需要进行以下工作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1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</w:rPr>
        <w:t>使用自动化测试工具进行功能测试和性能测试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2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</w:rPr>
        <w:t>手动测试和质量控制，以确保软件的稳定性和正确性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（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3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</w:rPr>
        <w:t>密切跟踪软件开发仿真环境中的配置变化和测试状态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val="en-US" w:eastAsia="zh-CN"/>
        </w:rPr>
        <w:t>二、服务承诺</w:t>
      </w:r>
    </w:p>
    <w:p>
      <w:pPr>
        <w:spacing w:line="360" w:lineRule="auto"/>
        <w:ind w:firstLine="420" w:firstLineChars="0"/>
        <w:jc w:val="left"/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.实施的地点：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兰州职业技术学院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right="-733" w:rightChars="-349" w:firstLine="420" w:firstLineChars="0"/>
        <w:jc w:val="left"/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服务时间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：合同签订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生效后，在生涯周活动的举办期间提供相关软件服务。</w:t>
      </w:r>
    </w:p>
    <w:p>
      <w:pPr>
        <w:spacing w:line="360" w:lineRule="auto"/>
        <w:ind w:firstLine="420" w:firstLineChars="0"/>
        <w:jc w:val="left"/>
        <w:rPr>
          <w:rFonts w:hint="default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3.服务标准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需满足采购需求的技术要求。</w:t>
      </w:r>
    </w:p>
    <w:p>
      <w:pPr>
        <w:spacing w:line="360" w:lineRule="auto"/>
        <w:ind w:right="-313" w:rightChars="-149" w:firstLine="420" w:firstLineChars="0"/>
        <w:jc w:val="left"/>
        <w:rPr>
          <w:rFonts w:hint="default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验收标准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提供服务的软件运行稳定，无卡顿现象，游戏关卡与生涯周活动配合良好，可生成生涯体验周活动总结报告。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供应商：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北京位来教育科技有限公司</w:t>
      </w:r>
      <w:r>
        <w:rPr>
          <w:rFonts w:hint="eastAsia" w:ascii="新宋体" w:hAnsi="新宋体" w:eastAsia="新宋体" w:cs="新宋体"/>
          <w:sz w:val="24"/>
          <w:szCs w:val="24"/>
        </w:rPr>
        <w:t>（加盖公章）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法定代表人或委托代理人：（签字或盖章）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480" w:lineRule="auto"/>
        <w:ind w:left="0" w:leftChars="0" w:right="0" w:rightChars="0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日期：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    年      月       日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2"/>
        <w:rPr>
          <w:rFonts w:hint="eastAsia" w:ascii="新宋体" w:hAnsi="新宋体" w:eastAsia="新宋体" w:cs="新宋体"/>
        </w:rPr>
      </w:pP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jc w:val="left"/>
        <w:rPr>
          <w:rFonts w:hint="eastAsia" w:ascii="新宋体" w:hAnsi="新宋体" w:eastAsia="新宋体" w:cs="新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 w:val="0"/>
          <w:sz w:val="30"/>
          <w:szCs w:val="30"/>
          <w:lang w:val="en-US" w:eastAsia="zh-CN"/>
        </w:rPr>
        <w:t>格式4</w:t>
      </w: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jc w:val="center"/>
        <w:rPr>
          <w:rFonts w:hint="eastAsia" w:ascii="新宋体" w:hAnsi="新宋体" w:eastAsia="新宋体" w:cs="新宋体"/>
          <w:b/>
          <w:bCs/>
          <w:sz w:val="28"/>
          <w:szCs w:val="32"/>
        </w:rPr>
      </w:pPr>
      <w:r>
        <w:rPr>
          <w:rFonts w:hint="eastAsia" w:ascii="新宋体" w:hAnsi="新宋体" w:eastAsia="新宋体" w:cs="新宋体"/>
          <w:b/>
          <w:bCs/>
          <w:sz w:val="28"/>
          <w:szCs w:val="32"/>
        </w:rPr>
        <w:t>售后服务承诺</w:t>
      </w: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jc w:val="center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（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内容自拟</w:t>
      </w:r>
      <w:r>
        <w:rPr>
          <w:rFonts w:hint="eastAsia" w:ascii="新宋体" w:hAnsi="新宋体" w:eastAsia="新宋体" w:cs="新宋体"/>
          <w:sz w:val="21"/>
          <w:szCs w:val="21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新宋体" w:hAnsi="新宋体" w:eastAsia="新宋体" w:cs="新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服务效率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color w:val="FF0000"/>
          <w:sz w:val="24"/>
          <w:szCs w:val="24"/>
        </w:rPr>
      </w:pP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成交供应商</w:t>
      </w:r>
      <w:r>
        <w:rPr>
          <w:rFonts w:hint="eastAsia" w:ascii="新宋体" w:hAnsi="新宋体" w:eastAsia="新宋体" w:cs="新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在收到故障报告后，应在24小时内提供技术响应服务。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b/>
          <w:bCs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二、售后服务方案</w:t>
      </w:r>
    </w:p>
    <w:p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b/>
          <w:bCs/>
          <w:kern w:val="2"/>
          <w:sz w:val="24"/>
          <w:szCs w:val="24"/>
          <w:lang w:val="en-US" w:eastAsia="zh-Hans" w:bidi="ar-SA"/>
        </w:rPr>
        <w:t>1.1.</w:t>
      </w: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  <w:t>售后服务的目标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>我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售后服务工作的目标是“为客户提供最适用的软件，最贴心的服务”。这不仅指保障客户对软件的正常使用，而且要在产品与服务方面做到精益求精。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我公司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技术支持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服务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中心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设立在长春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，为全国用户提供持续、及时、高效的售前咨询、售中安装培训和售后服务，其中售后服务使用全国统一的客服电话：</w:t>
      </w:r>
      <w:r>
        <w:rPr>
          <w:rFonts w:hint="eastAsia" w:ascii="新宋体" w:hAnsi="新宋体" w:eastAsia="新宋体" w:cs="新宋体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400-001-6003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。</w:t>
      </w:r>
    </w:p>
    <w:p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b/>
          <w:bCs/>
          <w:kern w:val="2"/>
          <w:sz w:val="24"/>
          <w:szCs w:val="24"/>
          <w:lang w:val="en-US" w:eastAsia="zh-Hans" w:bidi="ar-SA"/>
        </w:rPr>
        <w:t>1.2.</w:t>
      </w: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  <w:t>服务体系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bookmarkStart w:id="2" w:name="_Toc392321313"/>
      <w:bookmarkStart w:id="3" w:name="_Toc497806740"/>
      <w:bookmarkStart w:id="4" w:name="_Toc372624728"/>
      <w:bookmarkStart w:id="5" w:name="_Toc337643864"/>
      <w:bookmarkStart w:id="6" w:name="_Toc335986236"/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我公司的服务主要以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远程技术支持服务中心</w:t>
      </w:r>
      <w:bookmarkEnd w:id="2"/>
      <w:bookmarkEnd w:id="3"/>
      <w:bookmarkEnd w:id="4"/>
      <w:bookmarkEnd w:id="5"/>
      <w:bookmarkEnd w:id="6"/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为主体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为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用户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处理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系统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在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使用过程中遇到问题。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首先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可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直接联系平台线上客户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客服可在线回复用户提出的问题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排查原因并及时进行解决处理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其次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可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电话联系我们的远程技术支持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服务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中心，描述问题现状，客服技术人员会判断问题原因，并指导用户进行相关处理解决，这是最直接最快速的解决问题的方法。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如以上办法不能解决问题，在条件许可的情况下，客服技术人员也可使用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网络服务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（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微信或企业微信群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）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等方式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将问题情况用文字、图片等形式发送到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技术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服务中心，由服务中心工程师解答和处理相关技术问题。</w:t>
      </w:r>
    </w:p>
    <w:p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b/>
          <w:bCs/>
          <w:kern w:val="2"/>
          <w:sz w:val="24"/>
          <w:szCs w:val="24"/>
          <w:lang w:val="en-US" w:eastAsia="zh-Hans" w:bidi="ar-SA"/>
        </w:rPr>
        <w:t>1.3.</w:t>
      </w: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  <w:t>服务方式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公司服务方式分为电话服务、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网络服务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（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微信或企业微信群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）、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线上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、上门服务等。原则上，服务以电话服务和网络服务为主。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 xml:space="preserve">服务方式的选择，须依据客户问题的复杂程度和客户网络条件确定：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根据客户描述的问题确定问题复杂程度，如判断能在电话服务中可以指导客户处理的问题，则在电话中进行沟通处理。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客户问题无法在通话中直接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描述清楚的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也可选择在微信或企业微信群中发送截图或文字描述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使客服技术人员快速发现问题解决问题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对于无法在通话或网络远程情况下解决的客户问题，告知客户，采用现场服务方式。</w:t>
      </w:r>
    </w:p>
    <w:p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b/>
          <w:bCs/>
          <w:kern w:val="2"/>
          <w:sz w:val="24"/>
          <w:szCs w:val="24"/>
          <w:lang w:val="en-US" w:eastAsia="zh-Hans" w:bidi="ar-SA"/>
        </w:rPr>
        <w:t>1.4.</w:t>
      </w: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  <w:t>服务标准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通过ISO9001 质量、服务管理体系认证，在软件设计、开发、服务等方面有可靠保障，提供24小时全天侯响应。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 xml:space="preserve">◆ 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平台线上咨询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：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公司软件平台上实现在线咨询服务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客户可在线上对客户进行咨询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，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客服会及时作出响应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电话响应：公司提供24小时服务热线，对于电话不能解决的技术问题，公司将安排技术工程师现场解决，并在2小时内予以响应，确认具体现场服务时间。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1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网络服务：公司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为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用户提供网络服务，技术服务人员将引导客户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在微信或企业微信群中对问题进行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在线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解答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现场服务：正常服务时间为每周一至周五办公时间（公共假期除外）在接到客户电话后公司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立即安排技术人员到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现场上门服务。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  <w:lang w:eastAsia="zh-Hans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紧急问题：非正常工作时间，对于客户提交的紧急软件技术问题，技术工程师将在接到客户电话后2小时内予以响应。</w:t>
      </w:r>
    </w:p>
    <w:p>
      <w:pPr>
        <w:keepNext w:val="0"/>
        <w:keepLines w:val="0"/>
        <w:pageBreakBefore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CN"/>
        </w:rPr>
        <w:t>三、售后</w:t>
      </w:r>
      <w:r>
        <w:rPr>
          <w:rFonts w:hint="eastAsia" w:ascii="新宋体" w:hAnsi="新宋体" w:eastAsia="新宋体" w:cs="新宋体"/>
          <w:b/>
          <w:bCs/>
          <w:sz w:val="24"/>
          <w:szCs w:val="24"/>
          <w:highlight w:val="none"/>
          <w:lang w:val="en-US" w:eastAsia="zh-Hans"/>
        </w:rPr>
        <w:t>服务承诺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outlineLvl w:val="9"/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>我公司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承诺提供</w:t>
      </w:r>
      <w:r>
        <w:rPr>
          <w:rFonts w:hint="eastAsia" w:ascii="新宋体" w:hAnsi="新宋体" w:eastAsia="新宋体" w:cs="新宋体"/>
          <w:color w:val="auto"/>
          <w:kern w:val="2"/>
          <w:sz w:val="24"/>
          <w:szCs w:val="24"/>
          <w:highlight w:val="none"/>
          <w:lang w:val="en-US" w:eastAsia="zh-CN"/>
        </w:rPr>
        <w:t>以下售后服务</w:t>
      </w:r>
      <w:r>
        <w:rPr>
          <w:rFonts w:hint="eastAsia" w:ascii="新宋体" w:hAnsi="新宋体" w:eastAsia="新宋体" w:cs="新宋体"/>
          <w:color w:val="auto"/>
          <w:sz w:val="24"/>
          <w:szCs w:val="24"/>
          <w:highlight w:val="none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负责系统维护和技术支持。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有专业的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客服部门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提供故障处理，</w:t>
      </w:r>
      <w:r>
        <w:rPr>
          <w:rFonts w:hint="eastAsia" w:ascii="新宋体" w:hAnsi="新宋体" w:eastAsia="新宋体" w:cs="新宋体"/>
          <w:kern w:val="0"/>
          <w:sz w:val="24"/>
          <w:szCs w:val="24"/>
          <w:highlight w:val="none"/>
        </w:rPr>
        <w:t>工作时间内对问题要随时响应，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请求须在2小时内响应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并解决</w:t>
      </w:r>
      <w:r>
        <w:rPr>
          <w:rFonts w:hint="eastAsia" w:ascii="新宋体" w:hAnsi="新宋体" w:eastAsia="新宋体" w:cs="新宋体"/>
          <w:sz w:val="24"/>
          <w:szCs w:val="24"/>
          <w:highlight w:val="none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left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提供一站式、统一标准的服务规范；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 处理用户的故障，提供现场、网络、电话等方式的客户技术支持服务；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textAlignment w:val="auto"/>
        <w:outlineLvl w:val="9"/>
        <w:rPr>
          <w:rFonts w:hint="eastAsia" w:ascii="新宋体" w:hAnsi="新宋体" w:eastAsia="新宋体" w:cs="新宋体"/>
          <w:kern w:val="0"/>
          <w:sz w:val="24"/>
          <w:szCs w:val="24"/>
          <w:highlight w:val="none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 xml:space="preserve">◆ 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在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>服务期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Hans"/>
        </w:rPr>
        <w:t>内</w:t>
      </w:r>
      <w:r>
        <w:rPr>
          <w:rFonts w:hint="eastAsia" w:ascii="新宋体" w:hAnsi="新宋体" w:eastAsia="新宋体" w:cs="新宋体"/>
          <w:kern w:val="0"/>
          <w:sz w:val="24"/>
          <w:szCs w:val="24"/>
          <w:highlight w:val="none"/>
        </w:rPr>
        <w:t>提供7x24小时技术支持服务电话，解答用户在使用中遇到的问题，及时为用户提出解决问题的建议。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highlight w:val="none"/>
        </w:rPr>
        <w:t>◆</w:t>
      </w:r>
      <w:r>
        <w:rPr>
          <w:rFonts w:hint="eastAsia" w:ascii="新宋体" w:hAnsi="新宋体" w:eastAsia="新宋体" w:cs="新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 w:val="0"/>
          <w:bCs w:val="0"/>
          <w:color w:val="auto"/>
          <w:kern w:val="0"/>
          <w:sz w:val="24"/>
          <w:szCs w:val="24"/>
          <w:highlight w:val="none"/>
          <w:u w:val="none"/>
          <w:lang w:val="en-US" w:eastAsia="zh-CN"/>
        </w:rPr>
        <w:t>平台设立专门的平台服务客服，对系统维护、使用中的一些问题进行及时的指导答疑。客服电话：400-001-6003。</w:t>
      </w: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bidi w:val="0"/>
        <w:rPr>
          <w:rFonts w:hint="eastAsia" w:ascii="新宋体" w:hAnsi="新宋体" w:eastAsia="新宋体" w:cs="新宋体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Cs w:val="21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供应商：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北京位来教育科技有限公司</w:t>
      </w:r>
      <w:r>
        <w:rPr>
          <w:rFonts w:hint="eastAsia" w:ascii="新宋体" w:hAnsi="新宋体" w:eastAsia="新宋体" w:cs="新宋体"/>
          <w:sz w:val="24"/>
          <w:szCs w:val="24"/>
        </w:rPr>
        <w:t>（加盖公章）</w:t>
      </w: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 w:firstLine="2" w:firstLineChars="1"/>
        <w:jc w:val="left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法定代表人或委托代理人：（签字或盖章）</w:t>
      </w:r>
    </w:p>
    <w:p>
      <w:pPr>
        <w:pStyle w:val="8"/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z w:val="24"/>
          <w:szCs w:val="24"/>
          <w:u w:val="single"/>
        </w:rPr>
      </w:pPr>
    </w:p>
    <w:p>
      <w:pPr>
        <w:pageBreakBefore w:val="0"/>
        <w:kinsoku/>
        <w:topLinePunct w:val="0"/>
        <w:bidi w:val="0"/>
        <w:adjustRightInd w:val="0"/>
        <w:snapToGrid w:val="0"/>
        <w:spacing w:beforeAutospacing="0" w:afterAutospacing="0" w:line="360" w:lineRule="auto"/>
        <w:ind w:left="0" w:leftChars="0" w:right="0" w:rightChars="0"/>
        <w:rPr>
          <w:rFonts w:hint="eastAsia" w:ascii="新宋体" w:hAnsi="新宋体" w:eastAsia="新宋体" w:cs="新宋体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日期：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  年      月      日</w:t>
      </w:r>
    </w:p>
    <w:p>
      <w:pPr>
        <w:pStyle w:val="2"/>
        <w:jc w:val="center"/>
        <w:rPr>
          <w:rFonts w:hint="eastAsia"/>
          <w:b/>
          <w:bCs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>
      <w:pPr>
        <w:pStyle w:val="2"/>
        <w:jc w:val="both"/>
        <w:rPr>
          <w:rFonts w:hint="default"/>
          <w:sz w:val="36"/>
          <w:szCs w:val="36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1" w:fontKey="{2351F7BE-7825-4A87-AFB0-691CAA257F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kgL3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ZIC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7C4850"/>
    <w:multiLevelType w:val="singleLevel"/>
    <w:tmpl w:val="D87C485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B277796"/>
    <w:multiLevelType w:val="singleLevel"/>
    <w:tmpl w:val="EB27779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823E5C3"/>
    <w:multiLevelType w:val="singleLevel"/>
    <w:tmpl w:val="F823E5C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0315620E"/>
    <w:multiLevelType w:val="multilevel"/>
    <w:tmpl w:val="0315620E"/>
    <w:lvl w:ilvl="0" w:tentative="0">
      <w:start w:val="1"/>
      <w:numFmt w:val="decimal"/>
      <w:pStyle w:val="3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4">
    <w:nsid w:val="74307E35"/>
    <w:multiLevelType w:val="singleLevel"/>
    <w:tmpl w:val="74307E35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77926312"/>
    <w:multiLevelType w:val="singleLevel"/>
    <w:tmpl w:val="77926312"/>
    <w:lvl w:ilvl="0" w:tentative="0">
      <w:start w:val="1"/>
      <w:numFmt w:val="decimal"/>
      <w:suff w:val="nothing"/>
      <w:lvlText w:val="（%1）"/>
      <w:lvlJc w:val="left"/>
      <w:pPr>
        <w:ind w:left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D77326"/>
    <w:rsid w:val="000160CC"/>
    <w:rsid w:val="00016990"/>
    <w:rsid w:val="0002453A"/>
    <w:rsid w:val="00027DC9"/>
    <w:rsid w:val="00030CDC"/>
    <w:rsid w:val="000373B4"/>
    <w:rsid w:val="00050BD5"/>
    <w:rsid w:val="00055D42"/>
    <w:rsid w:val="000701C4"/>
    <w:rsid w:val="00070C09"/>
    <w:rsid w:val="00086776"/>
    <w:rsid w:val="00090179"/>
    <w:rsid w:val="000B1A82"/>
    <w:rsid w:val="000C5C5F"/>
    <w:rsid w:val="000E61BF"/>
    <w:rsid w:val="001253AC"/>
    <w:rsid w:val="00130E7F"/>
    <w:rsid w:val="00144BDF"/>
    <w:rsid w:val="00163FA7"/>
    <w:rsid w:val="001737AE"/>
    <w:rsid w:val="001A75CB"/>
    <w:rsid w:val="001C5F87"/>
    <w:rsid w:val="001D258C"/>
    <w:rsid w:val="001E352C"/>
    <w:rsid w:val="00222F9B"/>
    <w:rsid w:val="00231D43"/>
    <w:rsid w:val="0024620F"/>
    <w:rsid w:val="00255D88"/>
    <w:rsid w:val="0025795D"/>
    <w:rsid w:val="00287947"/>
    <w:rsid w:val="002A042C"/>
    <w:rsid w:val="002C2C81"/>
    <w:rsid w:val="002F0121"/>
    <w:rsid w:val="002F0818"/>
    <w:rsid w:val="0031798F"/>
    <w:rsid w:val="00323CFE"/>
    <w:rsid w:val="00330381"/>
    <w:rsid w:val="00333B35"/>
    <w:rsid w:val="00335BC2"/>
    <w:rsid w:val="00340B94"/>
    <w:rsid w:val="00390417"/>
    <w:rsid w:val="003A3DB4"/>
    <w:rsid w:val="003C7B6D"/>
    <w:rsid w:val="003D4B65"/>
    <w:rsid w:val="003E03E8"/>
    <w:rsid w:val="00405D55"/>
    <w:rsid w:val="004358CA"/>
    <w:rsid w:val="00440F65"/>
    <w:rsid w:val="00444266"/>
    <w:rsid w:val="00467F2A"/>
    <w:rsid w:val="0047396B"/>
    <w:rsid w:val="00485937"/>
    <w:rsid w:val="004B26FC"/>
    <w:rsid w:val="004C653A"/>
    <w:rsid w:val="004F4DD0"/>
    <w:rsid w:val="00591CAD"/>
    <w:rsid w:val="005A7B35"/>
    <w:rsid w:val="005E65CD"/>
    <w:rsid w:val="005F6183"/>
    <w:rsid w:val="00616658"/>
    <w:rsid w:val="00617E31"/>
    <w:rsid w:val="00646B21"/>
    <w:rsid w:val="00665F38"/>
    <w:rsid w:val="00697A62"/>
    <w:rsid w:val="006A0E78"/>
    <w:rsid w:val="006A561D"/>
    <w:rsid w:val="006A5624"/>
    <w:rsid w:val="006B5EC0"/>
    <w:rsid w:val="006C0534"/>
    <w:rsid w:val="006E189C"/>
    <w:rsid w:val="006F212F"/>
    <w:rsid w:val="006F594A"/>
    <w:rsid w:val="006F76D5"/>
    <w:rsid w:val="007055B3"/>
    <w:rsid w:val="007119BC"/>
    <w:rsid w:val="00727BD5"/>
    <w:rsid w:val="00730AE1"/>
    <w:rsid w:val="00793B98"/>
    <w:rsid w:val="007A68C4"/>
    <w:rsid w:val="007C1407"/>
    <w:rsid w:val="00816A13"/>
    <w:rsid w:val="00833999"/>
    <w:rsid w:val="00863ED7"/>
    <w:rsid w:val="008E7C37"/>
    <w:rsid w:val="0090126D"/>
    <w:rsid w:val="0092602A"/>
    <w:rsid w:val="009267F6"/>
    <w:rsid w:val="00931FF7"/>
    <w:rsid w:val="00973634"/>
    <w:rsid w:val="00973E30"/>
    <w:rsid w:val="009D26FD"/>
    <w:rsid w:val="009E7A5E"/>
    <w:rsid w:val="009F2293"/>
    <w:rsid w:val="00A13495"/>
    <w:rsid w:val="00A31D70"/>
    <w:rsid w:val="00A34098"/>
    <w:rsid w:val="00A45533"/>
    <w:rsid w:val="00A47F05"/>
    <w:rsid w:val="00A51FA4"/>
    <w:rsid w:val="00A6312F"/>
    <w:rsid w:val="00A74A82"/>
    <w:rsid w:val="00A82A05"/>
    <w:rsid w:val="00A91180"/>
    <w:rsid w:val="00AA0463"/>
    <w:rsid w:val="00AC11CC"/>
    <w:rsid w:val="00AD7EEA"/>
    <w:rsid w:val="00AE1EB0"/>
    <w:rsid w:val="00AE396F"/>
    <w:rsid w:val="00AF2E68"/>
    <w:rsid w:val="00B07831"/>
    <w:rsid w:val="00B12D31"/>
    <w:rsid w:val="00B1365D"/>
    <w:rsid w:val="00B237A0"/>
    <w:rsid w:val="00B53011"/>
    <w:rsid w:val="00B54883"/>
    <w:rsid w:val="00B66E23"/>
    <w:rsid w:val="00BF2970"/>
    <w:rsid w:val="00BF7636"/>
    <w:rsid w:val="00C02F2A"/>
    <w:rsid w:val="00C060E9"/>
    <w:rsid w:val="00C07F94"/>
    <w:rsid w:val="00C1353A"/>
    <w:rsid w:val="00C20976"/>
    <w:rsid w:val="00C3381F"/>
    <w:rsid w:val="00C40DEE"/>
    <w:rsid w:val="00C467DD"/>
    <w:rsid w:val="00C46EE6"/>
    <w:rsid w:val="00C60743"/>
    <w:rsid w:val="00C633A8"/>
    <w:rsid w:val="00CD7C1B"/>
    <w:rsid w:val="00CF2FA2"/>
    <w:rsid w:val="00D03DCF"/>
    <w:rsid w:val="00D16EA7"/>
    <w:rsid w:val="00D24D83"/>
    <w:rsid w:val="00D362B6"/>
    <w:rsid w:val="00D46423"/>
    <w:rsid w:val="00D6276C"/>
    <w:rsid w:val="00D75639"/>
    <w:rsid w:val="00D77326"/>
    <w:rsid w:val="00DA22EF"/>
    <w:rsid w:val="00DC32D4"/>
    <w:rsid w:val="00DD103D"/>
    <w:rsid w:val="00E312BC"/>
    <w:rsid w:val="00E35BB8"/>
    <w:rsid w:val="00E8185B"/>
    <w:rsid w:val="00ED1655"/>
    <w:rsid w:val="00EF0E4A"/>
    <w:rsid w:val="00F0272C"/>
    <w:rsid w:val="00F06A7D"/>
    <w:rsid w:val="00F250E0"/>
    <w:rsid w:val="00F42208"/>
    <w:rsid w:val="00F7440D"/>
    <w:rsid w:val="00F91874"/>
    <w:rsid w:val="00FB739F"/>
    <w:rsid w:val="00FD6D12"/>
    <w:rsid w:val="00FF487F"/>
    <w:rsid w:val="00FF6E08"/>
    <w:rsid w:val="014976E6"/>
    <w:rsid w:val="02013704"/>
    <w:rsid w:val="02D037B2"/>
    <w:rsid w:val="03E13AF0"/>
    <w:rsid w:val="04844854"/>
    <w:rsid w:val="06D679DB"/>
    <w:rsid w:val="07493A4A"/>
    <w:rsid w:val="079E79DA"/>
    <w:rsid w:val="08517143"/>
    <w:rsid w:val="08D119D4"/>
    <w:rsid w:val="08E8013A"/>
    <w:rsid w:val="09105290"/>
    <w:rsid w:val="09782F2A"/>
    <w:rsid w:val="09811248"/>
    <w:rsid w:val="09CA7BA9"/>
    <w:rsid w:val="09CD2CFA"/>
    <w:rsid w:val="0B21104E"/>
    <w:rsid w:val="0B2614DD"/>
    <w:rsid w:val="0BBB4671"/>
    <w:rsid w:val="0C1C5981"/>
    <w:rsid w:val="0C243E28"/>
    <w:rsid w:val="0CDB0CA5"/>
    <w:rsid w:val="0CEB6E94"/>
    <w:rsid w:val="0F9D0210"/>
    <w:rsid w:val="10486DC1"/>
    <w:rsid w:val="10DF3908"/>
    <w:rsid w:val="12B073EA"/>
    <w:rsid w:val="12F06BC4"/>
    <w:rsid w:val="130F1873"/>
    <w:rsid w:val="13C133CE"/>
    <w:rsid w:val="14EF7AC7"/>
    <w:rsid w:val="15066BBF"/>
    <w:rsid w:val="166F3732"/>
    <w:rsid w:val="16C62AAA"/>
    <w:rsid w:val="17343EB7"/>
    <w:rsid w:val="176273F5"/>
    <w:rsid w:val="17927036"/>
    <w:rsid w:val="187110DF"/>
    <w:rsid w:val="196837A7"/>
    <w:rsid w:val="1AED2CFB"/>
    <w:rsid w:val="1B100797"/>
    <w:rsid w:val="1BE57827"/>
    <w:rsid w:val="1E237320"/>
    <w:rsid w:val="1E2874B1"/>
    <w:rsid w:val="1ECA08A3"/>
    <w:rsid w:val="1EFC641D"/>
    <w:rsid w:val="21C16050"/>
    <w:rsid w:val="22475AC6"/>
    <w:rsid w:val="22F231A2"/>
    <w:rsid w:val="230B7419"/>
    <w:rsid w:val="238B23D8"/>
    <w:rsid w:val="240769CA"/>
    <w:rsid w:val="2707018D"/>
    <w:rsid w:val="289E73CD"/>
    <w:rsid w:val="294845F1"/>
    <w:rsid w:val="2A081E58"/>
    <w:rsid w:val="2A454016"/>
    <w:rsid w:val="2AEE3073"/>
    <w:rsid w:val="2B2075CF"/>
    <w:rsid w:val="2B89137D"/>
    <w:rsid w:val="2D0147F2"/>
    <w:rsid w:val="2E5823EF"/>
    <w:rsid w:val="2EB8626D"/>
    <w:rsid w:val="2F666B36"/>
    <w:rsid w:val="3005583D"/>
    <w:rsid w:val="30245D32"/>
    <w:rsid w:val="31FB58A6"/>
    <w:rsid w:val="321C4461"/>
    <w:rsid w:val="331C5FDE"/>
    <w:rsid w:val="35185847"/>
    <w:rsid w:val="3545119F"/>
    <w:rsid w:val="357808B3"/>
    <w:rsid w:val="373F7FE3"/>
    <w:rsid w:val="374B7F0F"/>
    <w:rsid w:val="376B1D0D"/>
    <w:rsid w:val="38701CA4"/>
    <w:rsid w:val="38BC2426"/>
    <w:rsid w:val="39553AED"/>
    <w:rsid w:val="3A407890"/>
    <w:rsid w:val="3B0D0420"/>
    <w:rsid w:val="3B5920FB"/>
    <w:rsid w:val="3B83453D"/>
    <w:rsid w:val="3BE948AD"/>
    <w:rsid w:val="3C065573"/>
    <w:rsid w:val="3CC04858"/>
    <w:rsid w:val="3E071FE3"/>
    <w:rsid w:val="3FDC3C83"/>
    <w:rsid w:val="411900BD"/>
    <w:rsid w:val="43C87B0B"/>
    <w:rsid w:val="449E4691"/>
    <w:rsid w:val="44C047DB"/>
    <w:rsid w:val="45560D83"/>
    <w:rsid w:val="46042556"/>
    <w:rsid w:val="474A1339"/>
    <w:rsid w:val="47FB44C2"/>
    <w:rsid w:val="49601FEE"/>
    <w:rsid w:val="49975DA1"/>
    <w:rsid w:val="49CE328E"/>
    <w:rsid w:val="4A434155"/>
    <w:rsid w:val="4AF82501"/>
    <w:rsid w:val="4C0373D9"/>
    <w:rsid w:val="4D364692"/>
    <w:rsid w:val="4E7143FA"/>
    <w:rsid w:val="4F3A61C7"/>
    <w:rsid w:val="4FE8185E"/>
    <w:rsid w:val="50766803"/>
    <w:rsid w:val="508523BE"/>
    <w:rsid w:val="50AB0CD9"/>
    <w:rsid w:val="50D92DFE"/>
    <w:rsid w:val="51174FAE"/>
    <w:rsid w:val="51463849"/>
    <w:rsid w:val="514F2746"/>
    <w:rsid w:val="51DA0255"/>
    <w:rsid w:val="530C3678"/>
    <w:rsid w:val="53B35B1E"/>
    <w:rsid w:val="570F5CDD"/>
    <w:rsid w:val="57645AC5"/>
    <w:rsid w:val="588C5ADF"/>
    <w:rsid w:val="5A191FC7"/>
    <w:rsid w:val="5ACD6967"/>
    <w:rsid w:val="5D952B68"/>
    <w:rsid w:val="621C5CF0"/>
    <w:rsid w:val="689C3613"/>
    <w:rsid w:val="6B7072B6"/>
    <w:rsid w:val="6B963454"/>
    <w:rsid w:val="6C4D4847"/>
    <w:rsid w:val="6CA11AA6"/>
    <w:rsid w:val="6CBB6A8A"/>
    <w:rsid w:val="6D8223FC"/>
    <w:rsid w:val="6DA73C10"/>
    <w:rsid w:val="6E0B2C95"/>
    <w:rsid w:val="6EDD1F1D"/>
    <w:rsid w:val="6F264118"/>
    <w:rsid w:val="6F5C04BE"/>
    <w:rsid w:val="6F653684"/>
    <w:rsid w:val="70463B25"/>
    <w:rsid w:val="708E5577"/>
    <w:rsid w:val="72600832"/>
    <w:rsid w:val="72DD6326"/>
    <w:rsid w:val="74605DA5"/>
    <w:rsid w:val="752C3CD2"/>
    <w:rsid w:val="76CF22A0"/>
    <w:rsid w:val="77FF0D4B"/>
    <w:rsid w:val="7AA9775B"/>
    <w:rsid w:val="7AE61308"/>
    <w:rsid w:val="7B5D398A"/>
    <w:rsid w:val="7C0102E1"/>
    <w:rsid w:val="7C153908"/>
    <w:rsid w:val="7CA86B72"/>
    <w:rsid w:val="7CAD2198"/>
    <w:rsid w:val="7D745926"/>
    <w:rsid w:val="7DB15170"/>
    <w:rsid w:val="7DBB56D3"/>
    <w:rsid w:val="7EBE0DBA"/>
    <w:rsid w:val="7ECB1224"/>
    <w:rsid w:val="7FBB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99" w:semiHidden="0" w:name="footnote text"/>
    <w:lsdException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120" w:line="360" w:lineRule="auto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1"/>
    </w:pPr>
    <w:rPr>
      <w:rFonts w:ascii="Arial" w:hAnsi="Arial"/>
      <w:b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jc w:val="left"/>
    </w:pPr>
    <w:rPr>
      <w:sz w:val="18"/>
      <w:szCs w:val="18"/>
    </w:rPr>
  </w:style>
  <w:style w:type="paragraph" w:styleId="5">
    <w:name w:val="Normal Indent"/>
    <w:basedOn w:val="1"/>
    <w:qFormat/>
    <w:uiPriority w:val="0"/>
    <w:pPr>
      <w:ind w:firstLine="420"/>
    </w:pPr>
    <w:rPr>
      <w:szCs w:val="24"/>
    </w:rPr>
  </w:style>
  <w:style w:type="paragraph" w:styleId="6">
    <w:name w:val="Document Map"/>
    <w:basedOn w:val="1"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7">
    <w:name w:val="toa heading"/>
    <w:basedOn w:val="1"/>
    <w:next w:val="1"/>
    <w:unhideWhenUsed/>
    <w:qFormat/>
    <w:uiPriority w:val="0"/>
    <w:pPr>
      <w:widowControl/>
      <w:ind w:firstLine="540" w:firstLineChars="225"/>
      <w:jc w:val="left"/>
    </w:pPr>
    <w:rPr>
      <w:rFonts w:ascii="Arial" w:hAnsi="Arial" w:cs="Arial"/>
      <w:kern w:val="0"/>
    </w:rPr>
  </w:style>
  <w:style w:type="paragraph" w:styleId="8">
    <w:name w:val="Plain Text"/>
    <w:basedOn w:val="1"/>
    <w:next w:val="1"/>
    <w:qFormat/>
    <w:uiPriority w:val="0"/>
    <w:rPr>
      <w:rFonts w:ascii="宋体"/>
      <w:szCs w:val="20"/>
    </w:rPr>
  </w:style>
  <w:style w:type="paragraph" w:styleId="9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14"/>
    <w:link w:val="11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4"/>
    <w:link w:val="10"/>
    <w:semiHidden/>
    <w:qFormat/>
    <w:uiPriority w:val="99"/>
    <w:rPr>
      <w:sz w:val="18"/>
      <w:szCs w:val="18"/>
    </w:r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4"/>
    <w:link w:val="9"/>
    <w:semiHidden/>
    <w:qFormat/>
    <w:uiPriority w:val="99"/>
    <w:rPr>
      <w:sz w:val="18"/>
      <w:szCs w:val="18"/>
    </w:rPr>
  </w:style>
  <w:style w:type="character" w:customStyle="1" w:styleId="20">
    <w:name w:val="grame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CDC975-1026-4A0F-AFCA-6EC8D3D8B5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34</Pages>
  <Words>19440</Words>
  <Characters>19802</Characters>
  <Lines>13</Lines>
  <Paragraphs>3</Paragraphs>
  <TotalTime>109</TotalTime>
  <ScaleCrop>false</ScaleCrop>
  <LinksUpToDate>false</LinksUpToDate>
  <CharactersWithSpaces>19964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2017-03-01T08:58:00Z</dcterms:created>
  <dc:creator>yd</dc:creator>
  <cp:lastModifiedBy>口天马尧</cp:lastModifiedBy>
  <cp:lastPrinted>2023-09-13T06:29:00Z</cp:lastPrinted>
  <dcterms:modified xsi:type="dcterms:W3CDTF">2023-09-25T08:27:00Z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9E88CB314F484981917B4DD7D6F98D9B_13</vt:lpwstr>
  </property>
</Properties>
</file>