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sz w:val="24"/>
        </w:rPr>
      </w:pPr>
      <w:r>
        <w:rPr>
          <w:rFonts w:hint="eastAsia"/>
          <w:sz w:val="28"/>
          <w:szCs w:val="28"/>
        </w:rPr>
        <w:t>项目名称：</w:t>
      </w:r>
      <w:bookmarkStart w:id="0" w:name="_Hlk107307454"/>
      <w:r>
        <w:rPr>
          <w:rFonts w:hint="eastAsia"/>
          <w:sz w:val="28"/>
          <w:szCs w:val="28"/>
        </w:rPr>
        <w:t>兰州职业技术学院</w:t>
      </w:r>
      <w:r>
        <w:rPr>
          <w:rFonts w:hint="eastAsia"/>
          <w:sz w:val="28"/>
          <w:szCs w:val="28"/>
          <w:lang w:val="en-US" w:eastAsia="zh-CN"/>
        </w:rPr>
        <w:t>财务信息化系统升级</w:t>
      </w:r>
      <w:r>
        <w:rPr>
          <w:rFonts w:hint="eastAsia"/>
          <w:sz w:val="28"/>
          <w:szCs w:val="28"/>
        </w:rPr>
        <w:t>项目</w:t>
      </w:r>
      <w:bookmarkEnd w:id="0"/>
      <w:r>
        <w:rPr>
          <w:rFonts w:hint="eastAsia"/>
          <w:sz w:val="24"/>
        </w:rPr>
        <w:t xml:space="preserve"> </w:t>
      </w:r>
    </w:p>
    <w:p>
      <w:pPr>
        <w:ind w:firstLine="560" w:firstLineChars="200"/>
        <w:jc w:val="left"/>
        <w:rPr>
          <w:rFonts w:hint="eastAsia" w:eastAsia="宋体"/>
          <w:sz w:val="28"/>
          <w:szCs w:val="28"/>
          <w:lang w:val="en-US" w:eastAsia="zh-CN"/>
        </w:rPr>
      </w:pPr>
      <w:r>
        <w:rPr>
          <w:rFonts w:hint="eastAsia"/>
          <w:sz w:val="28"/>
          <w:szCs w:val="28"/>
        </w:rPr>
        <w:t>项目编号：</w:t>
      </w:r>
      <w:r>
        <w:rPr>
          <w:sz w:val="28"/>
          <w:szCs w:val="28"/>
        </w:rPr>
        <w:t>LZXJ—202201</w:t>
      </w:r>
      <w:r>
        <w:rPr>
          <w:rFonts w:hint="eastAsia"/>
          <w:sz w:val="28"/>
          <w:szCs w:val="28"/>
          <w:lang w:val="en-US" w:eastAsia="zh-CN"/>
        </w:rPr>
        <w:t>6</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w:t>
      </w:r>
      <w:r>
        <w:rPr>
          <w:sz w:val="28"/>
          <w:szCs w:val="28"/>
        </w:rPr>
        <w:t>022</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5</w:t>
      </w:r>
      <w:r>
        <w:rPr>
          <w:rFonts w:hint="eastAsia"/>
          <w:sz w:val="28"/>
          <w:szCs w:val="28"/>
        </w:rPr>
        <w:t>日</w:t>
      </w:r>
    </w:p>
    <w:p>
      <w:pPr>
        <w:jc w:val="center"/>
        <w:rPr>
          <w:color w:val="FF0000"/>
          <w:sz w:val="28"/>
          <w:szCs w:val="28"/>
        </w:rPr>
      </w:pPr>
    </w:p>
    <w:p>
      <w:pP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202</w:t>
      </w:r>
      <w:r>
        <w:rPr>
          <w:rFonts w:ascii="宋体" w:hAnsi="宋体"/>
          <w:sz w:val="28"/>
          <w:szCs w:val="28"/>
        </w:rPr>
        <w:t>2</w:t>
      </w:r>
      <w:r>
        <w:rPr>
          <w:rFonts w:hint="eastAsia" w:ascii="宋体" w:hAnsi="宋体"/>
          <w:sz w:val="28"/>
          <w:szCs w:val="28"/>
        </w:rPr>
        <w:t xml:space="preserve">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992"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财务信息化系统升级</w:t>
      </w:r>
      <w:r>
        <w:rPr>
          <w:rFonts w:hint="eastAsia" w:ascii="宋体" w:hAnsi="宋体"/>
          <w:sz w:val="24"/>
        </w:rPr>
        <w:t>需要，现拟对兰州职业技术学院</w:t>
      </w:r>
      <w:r>
        <w:rPr>
          <w:rFonts w:hint="eastAsia" w:ascii="宋体" w:hAnsi="宋体"/>
          <w:sz w:val="24"/>
          <w:lang w:val="en-US" w:eastAsia="zh-CN"/>
        </w:rPr>
        <w:t>财务信息化系统升级</w:t>
      </w:r>
      <w:r>
        <w:rPr>
          <w:rFonts w:hint="eastAsia" w:ascii="宋体" w:hAnsi="宋体"/>
          <w:sz w:val="24"/>
        </w:rPr>
        <w:t>项目进行询价采购。欢迎满足资格要求的供应商前来参加，具体事宜公告如下：</w:t>
      </w:r>
    </w:p>
    <w:p>
      <w:pPr>
        <w:spacing w:line="360" w:lineRule="auto"/>
        <w:rPr>
          <w:rFonts w:hint="eastAsia" w:ascii="宋体" w:hAnsi="宋体" w:eastAsia="宋体"/>
          <w:sz w:val="24"/>
          <w:lang w:val="en-US" w:eastAsia="zh-CN"/>
        </w:rPr>
      </w:pPr>
      <w:r>
        <w:rPr>
          <w:rFonts w:hint="eastAsia" w:ascii="宋体" w:hAnsi="宋体"/>
          <w:sz w:val="24"/>
        </w:rPr>
        <w:t>一、采购项目编号：</w:t>
      </w:r>
      <w:r>
        <w:rPr>
          <w:rFonts w:ascii="宋体" w:hAnsi="宋体"/>
          <w:sz w:val="24"/>
        </w:rPr>
        <w:t>LZXJ—202201</w:t>
      </w:r>
      <w:r>
        <w:rPr>
          <w:rFonts w:hint="eastAsia" w:ascii="宋体" w:hAnsi="宋体"/>
          <w:sz w:val="24"/>
          <w:lang w:val="en-US" w:eastAsia="zh-CN"/>
        </w:rPr>
        <w:t>6</w:t>
      </w:r>
    </w:p>
    <w:p>
      <w:pPr>
        <w:spacing w:line="360" w:lineRule="auto"/>
        <w:rPr>
          <w:rFonts w:hint="eastAsia" w:ascii="宋体" w:hAnsi="宋体"/>
          <w:sz w:val="24"/>
        </w:rPr>
      </w:pPr>
      <w:r>
        <w:rPr>
          <w:rFonts w:hint="eastAsia" w:ascii="宋体" w:hAnsi="宋体"/>
          <w:sz w:val="24"/>
        </w:rPr>
        <w:t>二、采购项目名称：兰州职业技术学院</w:t>
      </w:r>
      <w:r>
        <w:rPr>
          <w:rFonts w:hint="eastAsia" w:ascii="宋体" w:hAnsi="宋体"/>
          <w:sz w:val="24"/>
          <w:lang w:val="en-US" w:eastAsia="zh-CN"/>
        </w:rPr>
        <w:t>财务信息化系统升级</w:t>
      </w:r>
      <w:r>
        <w:rPr>
          <w:rFonts w:hint="eastAsia" w:ascii="宋体" w:hAnsi="宋体"/>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w:t>
      </w:r>
      <w:r>
        <w:rPr>
          <w:rFonts w:hint="eastAsia"/>
        </w:rPr>
        <w:t xml:space="preserve"> </w:t>
      </w:r>
      <w:r>
        <w:rPr>
          <w:rFonts w:hint="eastAsia" w:ascii="宋体" w:hAnsi="宋体"/>
          <w:sz w:val="24"/>
        </w:rPr>
        <w:t>兰州职业技术学院</w:t>
      </w:r>
      <w:r>
        <w:rPr>
          <w:rFonts w:hint="eastAsia" w:ascii="宋体" w:hAnsi="宋体"/>
          <w:sz w:val="24"/>
          <w:lang w:val="en-US" w:eastAsia="zh-CN"/>
        </w:rPr>
        <w:t>财务信息化系统升级</w:t>
      </w:r>
    </w:p>
    <w:p>
      <w:pPr>
        <w:spacing w:line="360" w:lineRule="auto"/>
        <w:rPr>
          <w:rFonts w:ascii="宋体" w:hAnsi="宋体"/>
          <w:sz w:val="24"/>
        </w:rPr>
      </w:pPr>
      <w:r>
        <w:rPr>
          <w:rFonts w:hint="eastAsia" w:ascii="宋体" w:hAnsi="宋体"/>
          <w:sz w:val="24"/>
        </w:rPr>
        <w:t xml:space="preserve">   2.预算金额：</w:t>
      </w:r>
      <w:r>
        <w:rPr>
          <w:rFonts w:hint="eastAsia" w:ascii="宋体" w:hAnsi="宋体"/>
          <w:sz w:val="24"/>
          <w:lang w:val="en-US" w:eastAsia="zh-CN"/>
        </w:rPr>
        <w:t>130000</w:t>
      </w:r>
      <w:r>
        <w:rPr>
          <w:rFonts w:hint="eastAsia" w:ascii="宋体" w:hAnsi="宋体"/>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ascii="宋体" w:hAnsi="宋体" w:cs="宋体"/>
          <w:kern w:val="0"/>
          <w:sz w:val="24"/>
        </w:rPr>
        <w:t>3.</w:t>
      </w:r>
      <w:r>
        <w:rPr>
          <w:rFonts w:hint="eastAsia" w:ascii="宋体" w:hAnsi="宋体"/>
          <w:sz w:val="24"/>
        </w:rPr>
        <w:t>供应商</w:t>
      </w:r>
      <w:r>
        <w:rPr>
          <w:rFonts w:hint="eastAsia" w:ascii="宋体" w:hAnsi="宋体" w:cs="宋体"/>
          <w:kern w:val="0"/>
          <w:sz w:val="24"/>
        </w:rPr>
        <w:t>须提供营业执照副本（复印件）</w:t>
      </w:r>
      <w:r>
        <w:rPr>
          <w:rFonts w:hint="eastAsia" w:ascii="宋体" w:hAnsi="宋体"/>
          <w:sz w:val="24"/>
        </w:rPr>
        <w:t>；</w:t>
      </w:r>
    </w:p>
    <w:p>
      <w:pPr>
        <w:spacing w:line="360" w:lineRule="exact"/>
        <w:ind w:firstLine="480" w:firstLineChars="200"/>
        <w:rPr>
          <w:rFonts w:ascii="宋体" w:hAnsi="宋体" w:cs="宋体"/>
          <w:kern w:val="0"/>
          <w:sz w:val="24"/>
        </w:rPr>
      </w:pPr>
      <w:r>
        <w:rPr>
          <w:rFonts w:ascii="宋体" w:hAnsi="宋体" w:cs="宋体"/>
          <w:kern w:val="0"/>
          <w:sz w:val="24"/>
        </w:rPr>
        <w:t>4</w:t>
      </w:r>
      <w:r>
        <w:rPr>
          <w:rFonts w:hint="eastAsia" w:ascii="宋体" w:hAnsi="宋体" w:cs="宋体"/>
          <w:kern w:val="0"/>
          <w:sz w:val="24"/>
        </w:rPr>
        <w:t>.法人代表身份证（正、反面复印件）；</w:t>
      </w:r>
    </w:p>
    <w:p>
      <w:pPr>
        <w:spacing w:line="360" w:lineRule="exact"/>
        <w:ind w:firstLine="480" w:firstLineChars="200"/>
        <w:rPr>
          <w:rFonts w:ascii="宋体" w:hAnsi="宋体" w:cs="宋体"/>
          <w:kern w:val="0"/>
          <w:sz w:val="24"/>
        </w:rPr>
      </w:pPr>
      <w:r>
        <w:rPr>
          <w:rFonts w:ascii="宋体" w:hAnsi="宋体" w:cs="宋体"/>
          <w:kern w:val="0"/>
          <w:sz w:val="24"/>
        </w:rPr>
        <w:t>5</w:t>
      </w:r>
      <w:r>
        <w:rPr>
          <w:rFonts w:hint="eastAsia" w:ascii="宋体" w:hAnsi="宋体" w:cs="宋体"/>
          <w:kern w:val="0"/>
          <w:sz w:val="24"/>
        </w:rPr>
        <w:t>.法人授权函（原件）及被授权人身份证（正、反面复印件）；</w:t>
      </w:r>
    </w:p>
    <w:p>
      <w:pPr>
        <w:spacing w:line="360" w:lineRule="exact"/>
        <w:ind w:firstLine="480" w:firstLineChars="200"/>
        <w:rPr>
          <w:rFonts w:ascii="宋体" w:hAnsi="宋体" w:cs="宋体"/>
          <w:kern w:val="0"/>
          <w:sz w:val="24"/>
        </w:rPr>
      </w:pPr>
      <w:r>
        <w:rPr>
          <w:rFonts w:ascii="宋体" w:hAnsi="宋体" w:cs="宋体"/>
          <w:kern w:val="0"/>
          <w:sz w:val="24"/>
        </w:rPr>
        <w:t>6</w:t>
      </w:r>
      <w:r>
        <w:rPr>
          <w:rFonts w:hint="eastAsia" w:ascii="宋体" w:hAnsi="宋体" w:cs="宋体"/>
          <w:kern w:val="0"/>
          <w:sz w:val="24"/>
        </w:rPr>
        <w:t>.</w:t>
      </w:r>
      <w:r>
        <w:rPr>
          <w:rFonts w:ascii="宋体" w:hAnsi="宋体" w:cs="宋体"/>
          <w:kern w:val="0"/>
          <w:sz w:val="24"/>
        </w:rPr>
        <w:t>2020</w:t>
      </w:r>
      <w:r>
        <w:rPr>
          <w:rFonts w:hint="eastAsia" w:ascii="宋体" w:hAnsi="宋体" w:cs="宋体"/>
          <w:kern w:val="0"/>
          <w:sz w:val="24"/>
        </w:rPr>
        <w:t>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ascii="宋体" w:hAnsi="宋体" w:cs="宋体"/>
          <w:kern w:val="0"/>
          <w:sz w:val="24"/>
          <w:lang w:bidi="ar"/>
        </w:rPr>
        <w:t>7</w:t>
      </w:r>
      <w:r>
        <w:rPr>
          <w:rFonts w:hint="eastAsia" w:ascii="宋体" w:hAnsi="宋体" w:cs="宋体"/>
          <w:kern w:val="0"/>
          <w:sz w:val="24"/>
          <w:lang w:bidi="ar"/>
        </w:rPr>
        <w:t>.</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spacing w:line="360" w:lineRule="exact"/>
        <w:ind w:firstLine="480" w:firstLineChars="200"/>
        <w:rPr>
          <w:rFonts w:ascii="宋体" w:hAnsi="宋体" w:cs="宋体"/>
          <w:kern w:val="0"/>
          <w:sz w:val="24"/>
        </w:rPr>
      </w:pPr>
      <w:r>
        <w:rPr>
          <w:rFonts w:ascii="宋体" w:hAnsi="宋体"/>
          <w:sz w:val="24"/>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0</w:t>
      </w:r>
      <w:bookmarkStart w:id="14" w:name="_GoBack"/>
      <w:bookmarkEnd w:id="14"/>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80" w:firstLineChars="200"/>
        <w:rPr>
          <w:rFonts w:ascii="宋体" w:hAnsi="宋体" w:cs="宋体"/>
          <w:sz w:val="24"/>
        </w:rPr>
      </w:pPr>
      <w:r>
        <w:rPr>
          <w:rFonts w:hint="eastAsia" w:ascii="宋体" w:hAnsi="宋体" w:cs="宋体"/>
          <w:sz w:val="24"/>
        </w:rPr>
        <w:t>响应文件递交时间：</w:t>
      </w:r>
      <w:r>
        <w:rPr>
          <w:rFonts w:ascii="宋体" w:hAnsi="宋体" w:cs="宋体"/>
          <w:sz w:val="24"/>
        </w:rPr>
        <w:t>2022</w:t>
      </w:r>
      <w:r>
        <w:rPr>
          <w:rFonts w:hint="eastAsia" w:ascii="宋体" w:hAnsi="宋体" w:cs="宋体"/>
          <w:sz w:val="24"/>
        </w:rPr>
        <w:t>年</w:t>
      </w:r>
      <w:r>
        <w:rPr>
          <w:rFonts w:ascii="宋体" w:hAnsi="宋体" w:cs="宋体"/>
          <w:sz w:val="24"/>
        </w:rPr>
        <w:t>7</w:t>
      </w:r>
      <w:r>
        <w:rPr>
          <w:rFonts w:hint="eastAsia" w:ascii="宋体" w:hAnsi="宋体" w:cs="宋体"/>
          <w:sz w:val="24"/>
        </w:rPr>
        <w:t>月</w:t>
      </w:r>
      <w:r>
        <w:rPr>
          <w:rFonts w:hint="eastAsia" w:ascii="宋体" w:hAnsi="宋体" w:cs="宋体"/>
          <w:sz w:val="24"/>
          <w:lang w:val="en-US" w:eastAsia="zh-CN"/>
        </w:rPr>
        <w:t>13</w:t>
      </w:r>
      <w:r>
        <w:rPr>
          <w:rFonts w:hint="eastAsia" w:ascii="宋体" w:hAnsi="宋体" w:cs="宋体"/>
          <w:sz w:val="24"/>
        </w:rPr>
        <w:t>日上午</w:t>
      </w:r>
      <w:r>
        <w:rPr>
          <w:rFonts w:ascii="宋体" w:hAnsi="宋体" w:cs="宋体"/>
          <w:sz w:val="24"/>
        </w:rPr>
        <w:t>10</w:t>
      </w:r>
      <w:r>
        <w:rPr>
          <w:rFonts w:hint="eastAsia" w:ascii="宋体" w:hAnsi="宋体" w:cs="宋体"/>
          <w:sz w:val="24"/>
        </w:rPr>
        <w:t>:</w:t>
      </w:r>
      <w:r>
        <w:rPr>
          <w:rFonts w:ascii="宋体" w:hAnsi="宋体" w:cs="宋体"/>
          <w:sz w:val="24"/>
        </w:rPr>
        <w:t>00</w:t>
      </w:r>
      <w:r>
        <w:rPr>
          <w:rFonts w:hint="eastAsia" w:ascii="宋体" w:hAnsi="宋体" w:cs="宋体"/>
          <w:sz w:val="24"/>
        </w:rPr>
        <w:t>，逾期不予受理。</w:t>
      </w:r>
    </w:p>
    <w:p>
      <w:pPr>
        <w:spacing w:line="360" w:lineRule="auto"/>
        <w:ind w:firstLine="480" w:firstLineChars="200"/>
        <w:rPr>
          <w:rFonts w:ascii="宋体" w:hAnsi="宋体" w:cs="宋体"/>
          <w:sz w:val="24"/>
        </w:rPr>
      </w:pPr>
      <w:r>
        <w:rPr>
          <w:rFonts w:hint="eastAsia" w:ascii="宋体" w:hAnsi="宋体" w:cs="宋体"/>
          <w:sz w:val="24"/>
        </w:rPr>
        <w:t>响应文件递交地点：兰州职业技术学院总校区勤政楼</w:t>
      </w:r>
      <w:r>
        <w:rPr>
          <w:rFonts w:ascii="宋体" w:hAnsi="宋体" w:cs="宋体"/>
          <w:sz w:val="24"/>
        </w:rPr>
        <w:t>801</w:t>
      </w:r>
      <w:r>
        <w:rPr>
          <w:rFonts w:hint="eastAsia" w:ascii="宋体" w:hAnsi="宋体" w:cs="宋体"/>
          <w:sz w:val="24"/>
        </w:rPr>
        <w:t>会议室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ascii="宋体" w:hAnsi="宋体"/>
          <w:sz w:val="24"/>
        </w:rPr>
        <w:t>2年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5</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1" w:name="_Toc229456846"/>
      <w:r>
        <w:rPr>
          <w:rFonts w:hint="eastAsia" w:ascii="宋体" w:hAnsi="宋体"/>
        </w:rPr>
        <w:t>采购内容及技术要求</w:t>
      </w:r>
    </w:p>
    <w:bookmarkEnd w:id="1"/>
    <w:p>
      <w:pPr>
        <w:autoSpaceDE w:val="0"/>
        <w:autoSpaceDN w:val="0"/>
        <w:adjustRightInd w:val="0"/>
        <w:snapToGrid w:val="0"/>
        <w:spacing w:line="400" w:lineRule="exact"/>
        <w:ind w:left="239" w:leftChars="114" w:right="-178" w:rightChars="-85"/>
        <w:textAlignment w:val="bottom"/>
        <w:rPr>
          <w:rFonts w:ascii="宋体" w:hAnsi="宋体"/>
          <w:b/>
          <w:sz w:val="28"/>
          <w:szCs w:val="28"/>
        </w:rPr>
      </w:pPr>
      <w:bookmarkStart w:id="2" w:name="_Toc175733110"/>
      <w:r>
        <w:rPr>
          <w:rFonts w:hint="eastAsia" w:ascii="宋体" w:hAnsi="宋体"/>
          <w:b/>
          <w:sz w:val="28"/>
          <w:szCs w:val="28"/>
        </w:rPr>
        <w:t>一、采购清单及要求</w:t>
      </w:r>
    </w:p>
    <w:p/>
    <w:p>
      <w:pPr>
        <w:jc w:val="center"/>
        <w:rPr>
          <w:b/>
          <w:bCs/>
          <w:sz w:val="32"/>
          <w:szCs w:val="32"/>
        </w:rPr>
      </w:pPr>
      <w:r>
        <w:rPr>
          <w:rFonts w:hint="eastAsia"/>
          <w:b/>
          <w:bCs/>
          <w:sz w:val="32"/>
          <w:szCs w:val="32"/>
        </w:rPr>
        <w:t>兰州职业技术学院财务信息化系统</w:t>
      </w:r>
      <w:r>
        <w:rPr>
          <w:rFonts w:hint="eastAsia"/>
          <w:b/>
          <w:bCs/>
          <w:sz w:val="32"/>
          <w:szCs w:val="32"/>
          <w:lang w:val="en-US" w:eastAsia="zh-CN"/>
        </w:rPr>
        <w:t>升级</w:t>
      </w:r>
      <w:r>
        <w:rPr>
          <w:rFonts w:hint="eastAsia"/>
          <w:b/>
          <w:bCs/>
          <w:sz w:val="32"/>
          <w:szCs w:val="32"/>
        </w:rPr>
        <w:t>项目</w:t>
      </w:r>
    </w:p>
    <w:tbl>
      <w:tblPr>
        <w:tblStyle w:val="22"/>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483"/>
        <w:gridCol w:w="633"/>
        <w:gridCol w:w="6428"/>
        <w:gridCol w:w="621"/>
        <w:gridCol w:w="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01" w:type="dxa"/>
            <w:vAlign w:val="center"/>
          </w:tcPr>
          <w:p>
            <w:pPr>
              <w:jc w:val="center"/>
            </w:pPr>
            <w:r>
              <w:rPr>
                <w:rFonts w:hint="eastAsia"/>
              </w:rPr>
              <w:t>名称</w:t>
            </w:r>
          </w:p>
        </w:tc>
        <w:tc>
          <w:tcPr>
            <w:tcW w:w="541" w:type="dxa"/>
            <w:vAlign w:val="center"/>
          </w:tcPr>
          <w:p>
            <w:pPr>
              <w:jc w:val="center"/>
            </w:pPr>
            <w:r>
              <w:rPr>
                <w:rFonts w:hint="eastAsia"/>
              </w:rPr>
              <w:t>序号</w:t>
            </w:r>
          </w:p>
        </w:tc>
        <w:tc>
          <w:tcPr>
            <w:tcW w:w="841" w:type="dxa"/>
            <w:vAlign w:val="center"/>
          </w:tcPr>
          <w:p>
            <w:pPr>
              <w:jc w:val="center"/>
            </w:pPr>
            <w:r>
              <w:rPr>
                <w:rFonts w:hint="eastAsia"/>
              </w:rPr>
              <w:t>品名</w:t>
            </w:r>
          </w:p>
        </w:tc>
        <w:tc>
          <w:tcPr>
            <w:tcW w:w="11483" w:type="dxa"/>
            <w:vAlign w:val="center"/>
          </w:tcPr>
          <w:p>
            <w:pPr>
              <w:jc w:val="center"/>
            </w:pPr>
            <w:r>
              <w:rPr>
                <w:rFonts w:hint="eastAsia"/>
              </w:rPr>
              <w:t>技术参数</w:t>
            </w:r>
          </w:p>
        </w:tc>
        <w:tc>
          <w:tcPr>
            <w:tcW w:w="817" w:type="dxa"/>
            <w:vAlign w:val="center"/>
          </w:tcPr>
          <w:p>
            <w:pPr>
              <w:jc w:val="center"/>
            </w:pPr>
            <w:r>
              <w:rPr>
                <w:rFonts w:hint="eastAsia"/>
              </w:rPr>
              <w:t>数量</w:t>
            </w:r>
          </w:p>
        </w:tc>
        <w:tc>
          <w:tcPr>
            <w:tcW w:w="732" w:type="dxa"/>
            <w:vAlign w:val="center"/>
          </w:tcPr>
          <w:p>
            <w:pPr>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1" w:type="dxa"/>
            <w:vAlign w:val="center"/>
          </w:tcPr>
          <w:p>
            <w:pPr>
              <w:jc w:val="left"/>
            </w:pPr>
            <w:r>
              <w:rPr>
                <w:rFonts w:hint="eastAsia"/>
              </w:rPr>
              <w:t>用友高校内控管理软件</w:t>
            </w:r>
          </w:p>
        </w:tc>
        <w:tc>
          <w:tcPr>
            <w:tcW w:w="541" w:type="dxa"/>
            <w:vAlign w:val="center"/>
          </w:tcPr>
          <w:p>
            <w:r>
              <w:rPr>
                <w:rFonts w:hint="eastAsia"/>
              </w:rPr>
              <w:t>1</w:t>
            </w:r>
          </w:p>
        </w:tc>
        <w:tc>
          <w:tcPr>
            <w:tcW w:w="841" w:type="dxa"/>
            <w:vAlign w:val="center"/>
          </w:tcPr>
          <w:p>
            <w:pPr>
              <w:jc w:val="left"/>
            </w:pPr>
            <w:r>
              <w:rPr>
                <w:rFonts w:hint="eastAsia"/>
              </w:rPr>
              <w:t>软件版本升级</w:t>
            </w:r>
          </w:p>
        </w:tc>
        <w:tc>
          <w:tcPr>
            <w:tcW w:w="11483" w:type="dxa"/>
            <w:vAlign w:val="center"/>
          </w:tcPr>
          <w:p>
            <w:pPr>
              <w:adjustRightInd w:val="0"/>
              <w:snapToGrid w:val="0"/>
              <w:spacing w:line="240" w:lineRule="atLeast"/>
              <w:jc w:val="left"/>
            </w:pPr>
            <w:r>
              <w:rPr>
                <w:rFonts w:hint="eastAsia"/>
              </w:rPr>
              <w:t>一、U8R10.5.1升级到U8manager，跨版本升级。升级原有系统10个模块：基础数据、账务处理、电子报表、指标管理、网上报销、大众版、移动APP、工资管理、其他薪资收入管理、原有兰州市财监平台接口。</w:t>
            </w:r>
          </w:p>
          <w:p>
            <w:pPr>
              <w:adjustRightInd w:val="0"/>
              <w:snapToGrid w:val="0"/>
              <w:spacing w:line="240" w:lineRule="atLeast"/>
              <w:jc w:val="left"/>
            </w:pPr>
            <w:r>
              <w:rPr>
                <w:rFonts w:hint="eastAsia"/>
              </w:rPr>
              <w:t>二、由于现有软件版本北京用友政务软件公司于2021年6月停止维护、补丁、技术支持等相关服务，为保障软件的使用安全、稳定，必须升级到U8manager版本。升级后优势：安全级别更高，对现有版本系统进行升级更新，持续享受软件厂商安全技术的保驾护航，从而保证系统的正常运作及软件数据的安全、完整、可管理性。功能更加完善、能更好地满足应用需求、继续享受正常维护、补丁、技术支持服务。</w:t>
            </w:r>
          </w:p>
          <w:p>
            <w:pPr>
              <w:adjustRightInd w:val="0"/>
              <w:snapToGrid w:val="0"/>
              <w:spacing w:line="240" w:lineRule="atLeast"/>
              <w:jc w:val="left"/>
            </w:pPr>
            <w:r>
              <w:rPr>
                <w:rFonts w:hint="eastAsia"/>
              </w:rPr>
              <w:t>★三、须与原有兰州市财监平台无缝衔接。</w:t>
            </w:r>
          </w:p>
          <w:p>
            <w:pPr>
              <w:adjustRightInd w:val="0"/>
              <w:snapToGrid w:val="0"/>
              <w:spacing w:line="240" w:lineRule="atLeast"/>
              <w:jc w:val="left"/>
            </w:pPr>
            <w:r>
              <w:rPr>
                <w:rFonts w:hint="eastAsia"/>
              </w:rPr>
              <w:t>四、升级后软件版本采用更加成熟的网络漏洞检查工具检查系统相关漏洞，采用各种木马检查工具检查系统木马情况，采用各种防外挂工具检查系统各组程序的外挂漏洞，并且会随着信息技术的进步持续对系统安全提供保障服务。为避免因人为因素、意外因素和不可抗拒因素导致用友系统出现财务瘫痪和数据丢失，避免因用友产品未及时更新给财务人员的工作带来不可预估的损失，建议对现用的用友旧版本系统进行升级更新，持续享受软件厂商安全技术的保驾护航，从而保证用友管理系统的正常运作及软件数据的安全、完整、可管理性。</w:t>
            </w:r>
          </w:p>
          <w:p>
            <w:pPr>
              <w:adjustRightInd w:val="0"/>
              <w:snapToGrid w:val="0"/>
              <w:spacing w:line="240" w:lineRule="atLeast"/>
              <w:jc w:val="left"/>
            </w:pPr>
            <w:r>
              <w:rPr>
                <w:rFonts w:hint="eastAsia"/>
              </w:rPr>
              <w:t>五、功能提升：</w:t>
            </w:r>
          </w:p>
          <w:p>
            <w:pPr>
              <w:adjustRightInd w:val="0"/>
              <w:snapToGrid w:val="0"/>
              <w:spacing w:line="240" w:lineRule="atLeast"/>
              <w:jc w:val="left"/>
            </w:pPr>
            <w:r>
              <w:rPr>
                <w:rFonts w:hint="eastAsia"/>
              </w:rPr>
              <w:t>1.账务处理。</w:t>
            </w:r>
          </w:p>
          <w:p>
            <w:pPr>
              <w:adjustRightInd w:val="0"/>
              <w:snapToGrid w:val="0"/>
              <w:spacing w:line="240" w:lineRule="atLeast"/>
              <w:jc w:val="left"/>
            </w:pPr>
            <w:r>
              <w:rPr>
                <w:rFonts w:hint="eastAsia"/>
              </w:rPr>
              <w:t>（1）银行对账单，新增“结算方式显示‘代码[名称]’”的功能。</w:t>
            </w:r>
          </w:p>
          <w:p>
            <w:pPr>
              <w:adjustRightInd w:val="0"/>
              <w:snapToGrid w:val="0"/>
              <w:spacing w:line="240" w:lineRule="atLeast"/>
              <w:jc w:val="left"/>
            </w:pPr>
            <w:r>
              <w:rPr>
                <w:rFonts w:hint="eastAsia"/>
              </w:rPr>
              <w:t>（2）银行对账，新增 “自动对账时可以选择往来单日期对账”的功能。</w:t>
            </w:r>
          </w:p>
          <w:p>
            <w:pPr>
              <w:adjustRightInd w:val="0"/>
              <w:snapToGrid w:val="0"/>
              <w:spacing w:line="240" w:lineRule="atLeast"/>
              <w:jc w:val="left"/>
            </w:pPr>
            <w:r>
              <w:rPr>
                <w:rFonts w:hint="eastAsia"/>
              </w:rPr>
              <w:t>（3）账套参数设置，增加参数“凭证箱摘要跟随第一行摘要变动”，默认不勾选，当勾选【允许修改凭证箱摘要】时可勾选，勾选则保存时凭证箱摘要按第一行摘要保存。</w:t>
            </w:r>
          </w:p>
          <w:p>
            <w:pPr>
              <w:adjustRightInd w:val="0"/>
              <w:snapToGrid w:val="0"/>
              <w:spacing w:line="240" w:lineRule="atLeast"/>
              <w:jc w:val="left"/>
            </w:pPr>
            <w:r>
              <w:rPr>
                <w:rFonts w:hint="eastAsia"/>
              </w:rPr>
              <w:t>2.网上报销。</w:t>
            </w:r>
          </w:p>
          <w:p>
            <w:pPr>
              <w:adjustRightInd w:val="0"/>
              <w:snapToGrid w:val="0"/>
              <w:spacing w:line="240" w:lineRule="atLeast"/>
              <w:jc w:val="left"/>
            </w:pPr>
            <w:r>
              <w:rPr>
                <w:rFonts w:hint="eastAsia"/>
              </w:rPr>
              <w:t>（1）单据设置，增加“自定义SQL中的环境变量增加部门代码”的功能。要素的数据来源为字典类型时，可设置自定义SQL，在环境变量中可选择设置部门代码。</w:t>
            </w:r>
          </w:p>
          <w:p>
            <w:pPr>
              <w:adjustRightInd w:val="0"/>
              <w:snapToGrid w:val="0"/>
              <w:spacing w:line="240" w:lineRule="atLeast"/>
              <w:jc w:val="left"/>
            </w:pPr>
            <w:r>
              <w:rPr>
                <w:rFonts w:hint="eastAsia"/>
              </w:rPr>
              <w:t>（2）账套参数设置-大众版参数，新增加“大众版-结算方式开户银行只能选择，不可以输入”的参数。</w:t>
            </w:r>
          </w:p>
          <w:p>
            <w:pPr>
              <w:adjustRightInd w:val="0"/>
              <w:snapToGrid w:val="0"/>
              <w:spacing w:line="240" w:lineRule="atLeast"/>
              <w:jc w:val="left"/>
            </w:pPr>
            <w:r>
              <w:rPr>
                <w:rFonts w:hint="eastAsia"/>
              </w:rPr>
              <w:t>（3）账套参数设置-其他参数，新增加“经费申请单的指标相关信息带入到报销单表外项中”的参数。</w:t>
            </w:r>
          </w:p>
          <w:p>
            <w:pPr>
              <w:adjustRightInd w:val="0"/>
              <w:snapToGrid w:val="0"/>
              <w:spacing w:line="240" w:lineRule="atLeast"/>
              <w:jc w:val="left"/>
            </w:pPr>
            <w:r>
              <w:rPr>
                <w:rFonts w:hint="eastAsia"/>
              </w:rPr>
              <w:t>（4）审批工作台，增加添加条件、清空条件按钮，支持组合查询。</w:t>
            </w:r>
          </w:p>
          <w:p>
            <w:pPr>
              <w:adjustRightInd w:val="0"/>
              <w:snapToGrid w:val="0"/>
              <w:spacing w:line="240" w:lineRule="atLeast"/>
              <w:jc w:val="left"/>
            </w:pPr>
            <w:r>
              <w:rPr>
                <w:rFonts w:hint="eastAsia"/>
              </w:rPr>
              <w:t>（5）网报单据，新增加结算方式页签导入时支持代码+名称在同一列的格式的excel导入。导入界面增加了参数“结算方式导入代码+名称为同一列”。</w:t>
            </w:r>
          </w:p>
          <w:p>
            <w:pPr>
              <w:adjustRightInd w:val="0"/>
              <w:snapToGrid w:val="0"/>
              <w:spacing w:line="240" w:lineRule="atLeast"/>
              <w:jc w:val="left"/>
            </w:pPr>
            <w:r>
              <w:rPr>
                <w:rFonts w:hint="eastAsia"/>
              </w:rPr>
              <w:t>（6）网报单据，点击凭证按钮，打开的凭证生成条件界面，新增选项“凭证类型取模板凭证类型”，勾选则生成凭证时凭证界面的凭证类型值取的是凭证模板设置的凭证类型值。</w:t>
            </w:r>
          </w:p>
          <w:p>
            <w:pPr>
              <w:adjustRightInd w:val="0"/>
              <w:snapToGrid w:val="0"/>
              <w:spacing w:line="240" w:lineRule="atLeast"/>
              <w:jc w:val="left"/>
            </w:pPr>
            <w:r>
              <w:rPr>
                <w:rFonts w:hint="eastAsia"/>
              </w:rPr>
              <w:t>（7）网报单据，选择经费申请界面增加单据类型、部门、项目、结算方式、申请理由等筛选条件。</w:t>
            </w:r>
          </w:p>
          <w:p>
            <w:pPr>
              <w:adjustRightInd w:val="0"/>
              <w:snapToGrid w:val="0"/>
              <w:spacing w:line="240" w:lineRule="atLeast"/>
              <w:jc w:val="left"/>
            </w:pPr>
            <w:r>
              <w:rPr>
                <w:rFonts w:hint="eastAsia"/>
              </w:rPr>
              <w:t>（8）借款单登记簿、报销单登记簿，增加已退回页签，显示退回的数据。</w:t>
            </w:r>
          </w:p>
          <w:p>
            <w:pPr>
              <w:adjustRightInd w:val="0"/>
              <w:snapToGrid w:val="0"/>
              <w:spacing w:line="240" w:lineRule="atLeast"/>
              <w:jc w:val="left"/>
            </w:pPr>
            <w:r>
              <w:rPr>
                <w:rFonts w:hint="eastAsia"/>
              </w:rPr>
              <w:t>（9）参数设置-大众版参数，增加参数“大众版冻结项目的指标不查询”。</w:t>
            </w:r>
          </w:p>
          <w:p>
            <w:pPr>
              <w:adjustRightInd w:val="0"/>
              <w:snapToGrid w:val="0"/>
              <w:spacing w:line="240" w:lineRule="atLeast"/>
              <w:jc w:val="left"/>
            </w:pPr>
            <w:r>
              <w:rPr>
                <w:rFonts w:hint="eastAsia"/>
              </w:rPr>
              <w:t>（10）网报单据，菜单-文件下新增加票据打印模板设置以及打印（票据）、预览（票据）按钮。</w:t>
            </w:r>
          </w:p>
          <w:p>
            <w:pPr>
              <w:adjustRightInd w:val="0"/>
              <w:snapToGrid w:val="0"/>
              <w:spacing w:line="240" w:lineRule="atLeast"/>
              <w:jc w:val="left"/>
            </w:pPr>
            <w:r>
              <w:rPr>
                <w:rFonts w:hint="eastAsia"/>
              </w:rPr>
              <w:t>（11）账套参数设置，新增加参数“报销金额超出申请金额不允许保存”,勾选则网报单据保存时就判断是否超申请金额。（12）账套参数设置，新增加参数“发票金额汇总填写”，勾选支持多张发票金额汇总到一行报销明细金额上。</w:t>
            </w:r>
          </w:p>
          <w:p>
            <w:pPr>
              <w:adjustRightInd w:val="0"/>
              <w:snapToGrid w:val="0"/>
              <w:spacing w:line="240" w:lineRule="atLeast"/>
              <w:jc w:val="left"/>
            </w:pPr>
            <w:r>
              <w:rPr>
                <w:rFonts w:hint="eastAsia"/>
              </w:rPr>
              <w:t>（13）账套参数设置-其他参数，新增加参数“培训报销师资费不包含在标准里”。勾选该参数，则培训费报销单保存时金额校验不再计算师资费金额。</w:t>
            </w:r>
          </w:p>
          <w:p>
            <w:pPr>
              <w:adjustRightInd w:val="0"/>
              <w:snapToGrid w:val="0"/>
              <w:spacing w:line="240" w:lineRule="atLeast"/>
              <w:jc w:val="left"/>
            </w:pPr>
            <w:r>
              <w:rPr>
                <w:rFonts w:hint="eastAsia"/>
              </w:rPr>
              <w:t>（14）账套参数设置-其他参数，新增加“设置单据、附件”的内容不需要同步附件数量。勾选参数则网报单据表内项自定义字段带有“单据、附件”字样时输入的内容则不会自动同步到表外项字段附件数中。</w:t>
            </w:r>
          </w:p>
          <w:p>
            <w:pPr>
              <w:adjustRightInd w:val="0"/>
              <w:snapToGrid w:val="0"/>
              <w:spacing w:line="240" w:lineRule="atLeast"/>
              <w:jc w:val="left"/>
            </w:pPr>
            <w:r>
              <w:rPr>
                <w:rFonts w:hint="eastAsia"/>
              </w:rPr>
              <w:t>（15）账套参数设置-其他参数，新增加指标信息变动修改表外项内容。勾选参数，则网报单据修改表内项指标信息时会同步更新对应的表外项字段值。</w:t>
            </w:r>
          </w:p>
          <w:p>
            <w:pPr>
              <w:adjustRightInd w:val="0"/>
              <w:snapToGrid w:val="0"/>
              <w:spacing w:line="240" w:lineRule="atLeast"/>
              <w:jc w:val="left"/>
            </w:pPr>
            <w:r>
              <w:rPr>
                <w:rFonts w:hint="eastAsia"/>
              </w:rPr>
              <w:t>（16）账套参数设置-大众版参数。新增加发票结算方式。设置发票结算方式，并在ocr匹配要素中进行了结算方式页签相关字段对应关系后，网报单据选择发票使用时会自动带入参数设置的发票结算方式。</w:t>
            </w:r>
          </w:p>
          <w:p>
            <w:pPr>
              <w:adjustRightInd w:val="0"/>
              <w:snapToGrid w:val="0"/>
              <w:spacing w:line="240" w:lineRule="atLeast"/>
              <w:jc w:val="left"/>
            </w:pPr>
            <w:r>
              <w:rPr>
                <w:rFonts w:hint="eastAsia"/>
              </w:rPr>
              <w:t>（17）账套参数设置-其他参数-接口。新增加网银支付时使用结算方式的用途为备注数据源。勾选该参数，则网报生成网银支付时会将结算方式页签的用途值自动带入到网银支付单的备注字段中。</w:t>
            </w:r>
          </w:p>
          <w:p>
            <w:pPr>
              <w:adjustRightInd w:val="0"/>
              <w:snapToGrid w:val="0"/>
              <w:spacing w:line="240" w:lineRule="atLeast"/>
              <w:jc w:val="left"/>
            </w:pPr>
            <w:r>
              <w:rPr>
                <w:rFonts w:hint="eastAsia"/>
              </w:rPr>
              <w:t>解决往来代付单据申报多行报销单不能打印问题。</w:t>
            </w:r>
          </w:p>
          <w:p>
            <w:pPr>
              <w:adjustRightInd w:val="0"/>
              <w:snapToGrid w:val="0"/>
              <w:spacing w:line="240" w:lineRule="atLeast"/>
              <w:jc w:val="left"/>
            </w:pPr>
            <w:r>
              <w:rPr>
                <w:rFonts w:hint="eastAsia"/>
              </w:rPr>
              <w:t>3.其他薪资收入管理。</w:t>
            </w:r>
          </w:p>
          <w:p>
            <w:pPr>
              <w:adjustRightInd w:val="0"/>
              <w:snapToGrid w:val="0"/>
              <w:spacing w:line="240" w:lineRule="atLeast"/>
              <w:jc w:val="left"/>
            </w:pPr>
            <w:r>
              <w:rPr>
                <w:rFonts w:hint="eastAsia"/>
              </w:rPr>
              <w:t>（1）账套参数设置，增加“劳务费和学生奖助学金支持单据标题自定义”的功能。</w:t>
            </w:r>
          </w:p>
          <w:p>
            <w:pPr>
              <w:adjustRightInd w:val="0"/>
              <w:snapToGrid w:val="0"/>
              <w:spacing w:line="240" w:lineRule="atLeast"/>
              <w:jc w:val="left"/>
            </w:pPr>
            <w:r>
              <w:rPr>
                <w:rFonts w:hint="eastAsia"/>
              </w:rPr>
              <w:t>（2）其他收入查询，增加“职务列和职称列”，并支持打印、筛选和导出。</w:t>
            </w:r>
          </w:p>
          <w:p>
            <w:pPr>
              <w:adjustRightInd w:val="0"/>
              <w:snapToGrid w:val="0"/>
              <w:spacing w:line="240" w:lineRule="atLeast"/>
              <w:jc w:val="left"/>
            </w:pPr>
            <w:r>
              <w:rPr>
                <w:rFonts w:hint="eastAsia"/>
              </w:rPr>
              <w:t>（3）其他收入查询，增加“预算项目代码”显示字段。</w:t>
            </w:r>
          </w:p>
          <w:p>
            <w:pPr>
              <w:adjustRightInd w:val="0"/>
              <w:snapToGrid w:val="0"/>
              <w:spacing w:line="240" w:lineRule="atLeast"/>
              <w:jc w:val="left"/>
            </w:pPr>
            <w:r>
              <w:rPr>
                <w:rFonts w:hint="eastAsia"/>
              </w:rPr>
              <w:t>（4）其他收入审核，双击打开其他收入审核明细界面，增加部门列和联行号列。</w:t>
            </w:r>
          </w:p>
          <w:p>
            <w:pPr>
              <w:adjustRightInd w:val="0"/>
              <w:snapToGrid w:val="0"/>
              <w:spacing w:line="240" w:lineRule="atLeast"/>
              <w:jc w:val="left"/>
            </w:pPr>
            <w:r>
              <w:rPr>
                <w:rFonts w:hint="eastAsia"/>
              </w:rPr>
              <w:t>（5）单据登记簿，增加已支付页签，用于查询已发放的数据。</w:t>
            </w:r>
          </w:p>
          <w:p>
            <w:pPr>
              <w:adjustRightInd w:val="0"/>
              <w:snapToGrid w:val="0"/>
              <w:spacing w:line="240" w:lineRule="atLeast"/>
              <w:jc w:val="left"/>
            </w:pPr>
            <w:r>
              <w:rPr>
                <w:rFonts w:hint="eastAsia"/>
              </w:rPr>
              <w:t>（6）其他收入申报和津补贴申报，增加“部门代码”列，用于显示职员所在部门代码。</w:t>
            </w:r>
          </w:p>
          <w:p>
            <w:pPr>
              <w:adjustRightInd w:val="0"/>
              <w:snapToGrid w:val="0"/>
              <w:spacing w:line="240" w:lineRule="atLeast"/>
              <w:jc w:val="left"/>
            </w:pPr>
            <w:r>
              <w:rPr>
                <w:rFonts w:hint="eastAsia"/>
              </w:rPr>
              <w:t>（7）其他收入查询和劳务费查询，增加“双击单据，直接打开单据”的功能。</w:t>
            </w:r>
          </w:p>
          <w:p>
            <w:pPr>
              <w:adjustRightInd w:val="0"/>
              <w:snapToGrid w:val="0"/>
              <w:spacing w:line="240" w:lineRule="atLeast"/>
              <w:jc w:val="left"/>
            </w:pPr>
            <w:r>
              <w:rPr>
                <w:rFonts w:hint="eastAsia"/>
              </w:rPr>
              <w:t>（8）单据登记簿增加“打印次数”列，便于查看该单据的打印次数。</w:t>
            </w:r>
          </w:p>
          <w:p>
            <w:pPr>
              <w:adjustRightInd w:val="0"/>
              <w:snapToGrid w:val="0"/>
              <w:spacing w:line="240" w:lineRule="atLeast"/>
              <w:jc w:val="left"/>
            </w:pPr>
            <w:r>
              <w:rPr>
                <w:rFonts w:hint="eastAsia"/>
              </w:rPr>
              <w:t>4.</w:t>
            </w:r>
            <w:r>
              <w:t>工资管理</w:t>
            </w:r>
            <w:r>
              <w:rPr>
                <w:rFonts w:hint="eastAsia"/>
              </w:rPr>
              <w:t>。</w:t>
            </w:r>
          </w:p>
          <w:p>
            <w:pPr>
              <w:adjustRightInd w:val="0"/>
              <w:snapToGrid w:val="0"/>
              <w:spacing w:line="240" w:lineRule="atLeast"/>
              <w:jc w:val="left"/>
            </w:pPr>
            <w:r>
              <w:rPr>
                <w:rFonts w:hint="eastAsia"/>
              </w:rPr>
              <w:t>（1）部门职员信息设置-菜单-执行，增加“重新计算工龄”的功能选项。</w:t>
            </w:r>
          </w:p>
          <w:p>
            <w:pPr>
              <w:adjustRightInd w:val="0"/>
              <w:snapToGrid w:val="0"/>
              <w:spacing w:line="240" w:lineRule="atLeast"/>
              <w:jc w:val="left"/>
            </w:pPr>
            <w:r>
              <w:rPr>
                <w:rFonts w:hint="eastAsia"/>
              </w:rPr>
              <w:t>（2）工资条-菜单-文件-发送邮件，新增“发送邮件信息查看”情况表，可以查看发送邮件的结果，对于失败邮件支持重新发送，另外支持手工成功，手工失败等功能。</w:t>
            </w:r>
          </w:p>
          <w:p>
            <w:pPr>
              <w:adjustRightInd w:val="0"/>
              <w:snapToGrid w:val="0"/>
              <w:spacing w:line="240" w:lineRule="atLeast"/>
              <w:jc w:val="left"/>
            </w:pPr>
            <w:r>
              <w:rPr>
                <w:rFonts w:hint="eastAsia"/>
              </w:rPr>
              <w:t>（3）部门职员信息设置-菜单-执行-同步职员信息，增加“可以指定人员对应职员类型，并可以通过同步标志筛选人员同步情况”的功能。</w:t>
            </w:r>
          </w:p>
          <w:p>
            <w:pPr>
              <w:adjustRightInd w:val="0"/>
              <w:snapToGrid w:val="0"/>
              <w:spacing w:line="240" w:lineRule="atLeast"/>
              <w:jc w:val="left"/>
            </w:pPr>
            <w:r>
              <w:rPr>
                <w:rFonts w:hint="eastAsia"/>
              </w:rPr>
              <w:t>（4）解决工资审核和计算分开运行问题。</w:t>
            </w:r>
          </w:p>
          <w:p>
            <w:pPr>
              <w:adjustRightInd w:val="0"/>
              <w:snapToGrid w:val="0"/>
              <w:spacing w:line="240" w:lineRule="atLeast"/>
              <w:jc w:val="left"/>
            </w:pPr>
            <w:r>
              <w:rPr>
                <w:rFonts w:hint="eastAsia"/>
              </w:rPr>
              <w:t>（5）新增工资扣税3岁内育儿专项附加扣除的问题。</w:t>
            </w:r>
          </w:p>
          <w:p>
            <w:pPr>
              <w:adjustRightInd w:val="0"/>
              <w:snapToGrid w:val="0"/>
              <w:spacing w:line="240" w:lineRule="atLeast"/>
              <w:jc w:val="left"/>
            </w:pPr>
            <w:r>
              <w:rPr>
                <w:rFonts w:hint="eastAsia"/>
              </w:rPr>
              <w:t>5.</w:t>
            </w:r>
            <w:r>
              <w:t>系统管理</w:t>
            </w:r>
            <w:r>
              <w:rPr>
                <w:rFonts w:hint="eastAsia"/>
              </w:rPr>
              <w:t>。</w:t>
            </w:r>
          </w:p>
          <w:p>
            <w:pPr>
              <w:adjustRightInd w:val="0"/>
              <w:snapToGrid w:val="0"/>
              <w:spacing w:line="240" w:lineRule="atLeast"/>
              <w:jc w:val="left"/>
            </w:pPr>
            <w:r>
              <w:rPr>
                <w:rFonts w:hint="eastAsia"/>
              </w:rPr>
              <w:t>（1）操作员管理-角色定义-功能权限，票据管理平台-基础设置-票据授权，增加“票据管理员”权限；票据管理平台-票据管理-电子票据夹，增加票据的“使用、取消使用、确认、取消确认”按钮权限。</w:t>
            </w:r>
          </w:p>
          <w:p>
            <w:pPr>
              <w:adjustRightInd w:val="0"/>
              <w:snapToGrid w:val="0"/>
              <w:spacing w:line="240" w:lineRule="atLeast"/>
              <w:jc w:val="left"/>
            </w:pPr>
            <w:r>
              <w:rPr>
                <w:rFonts w:hint="eastAsia"/>
              </w:rPr>
              <w:t>（2）操作员管理-角色定义-功能权限-项目管理，增加“绩效目标”和“项目执行情况监控”权限。</w:t>
            </w:r>
          </w:p>
          <w:p>
            <w:pPr>
              <w:adjustRightInd w:val="0"/>
              <w:snapToGrid w:val="0"/>
              <w:spacing w:line="240" w:lineRule="atLeast"/>
              <w:jc w:val="left"/>
            </w:pPr>
            <w:r>
              <w:rPr>
                <w:rFonts w:hint="eastAsia"/>
              </w:rPr>
              <w:t>6.</w:t>
            </w:r>
            <w:r>
              <w:t>大众版查询</w:t>
            </w:r>
            <w:r>
              <w:rPr>
                <w:rFonts w:hint="eastAsia"/>
              </w:rPr>
              <w:t>。</w:t>
            </w:r>
          </w:p>
          <w:p>
            <w:pPr>
              <w:adjustRightInd w:val="0"/>
              <w:snapToGrid w:val="0"/>
              <w:spacing w:line="240" w:lineRule="atLeast"/>
              <w:jc w:val="left"/>
            </w:pPr>
            <w:r>
              <w:rPr>
                <w:rFonts w:hint="eastAsia"/>
              </w:rPr>
              <w:t>（1）指标授权-大众版，增加查询按钮，支持多条件组合查询的功能。</w:t>
            </w:r>
          </w:p>
          <w:p>
            <w:pPr>
              <w:adjustRightInd w:val="0"/>
              <w:snapToGrid w:val="0"/>
              <w:spacing w:line="240" w:lineRule="atLeast"/>
              <w:jc w:val="left"/>
            </w:pPr>
            <w:r>
              <w:rPr>
                <w:rFonts w:hint="eastAsia"/>
              </w:rPr>
              <w:t>（2）指标授权，新增显示“授权额度使用金额”、“授权额度可用金额”两列。</w:t>
            </w:r>
          </w:p>
          <w:p>
            <w:pPr>
              <w:adjustRightInd w:val="0"/>
              <w:snapToGrid w:val="0"/>
              <w:spacing w:line="240" w:lineRule="atLeast"/>
              <w:jc w:val="left"/>
            </w:pPr>
            <w:r>
              <w:rPr>
                <w:rFonts w:hint="eastAsia"/>
              </w:rPr>
              <w:t>7.指标管理。</w:t>
            </w:r>
          </w:p>
          <w:p>
            <w:pPr>
              <w:adjustRightInd w:val="0"/>
              <w:snapToGrid w:val="0"/>
              <w:spacing w:line="240" w:lineRule="atLeast"/>
              <w:jc w:val="left"/>
            </w:pPr>
            <w:r>
              <w:rPr>
                <w:rFonts w:hint="eastAsia"/>
              </w:rPr>
              <w:t>（1）明细指标余额表，新增加选项“不包含申请数”，勾选则指标余额不包含申请金额。</w:t>
            </w:r>
          </w:p>
          <w:p>
            <w:pPr>
              <w:adjustRightInd w:val="0"/>
              <w:snapToGrid w:val="0"/>
              <w:spacing w:line="240" w:lineRule="atLeast"/>
              <w:jc w:val="left"/>
            </w:pPr>
            <w:r>
              <w:rPr>
                <w:rFonts w:hint="eastAsia"/>
              </w:rPr>
              <w:t>（2）明细指标变更，单据新增加合计行，显示变更合计值。</w:t>
            </w:r>
          </w:p>
          <w:p>
            <w:pPr>
              <w:adjustRightInd w:val="0"/>
              <w:snapToGrid w:val="0"/>
              <w:spacing w:line="240" w:lineRule="atLeast"/>
              <w:jc w:val="left"/>
            </w:pPr>
            <w:r>
              <w:rPr>
                <w:rFonts w:hint="eastAsia"/>
              </w:rPr>
              <w:t>（3）明细指标执行情况表，修改支持执行比例不包含在途数的功能。</w:t>
            </w:r>
          </w:p>
          <w:p>
            <w:pPr>
              <w:adjustRightInd w:val="0"/>
              <w:snapToGrid w:val="0"/>
              <w:spacing w:line="240" w:lineRule="atLeast"/>
              <w:jc w:val="left"/>
            </w:pPr>
            <w:r>
              <w:rPr>
                <w:rFonts w:hint="eastAsia"/>
              </w:rPr>
              <w:t>（4）账套参数设置-控制参数，新增加指标对应项目工期已结束并且逾期控制方式为禁止时，不允许手工编制凭证；</w:t>
            </w:r>
          </w:p>
          <w:p>
            <w:pPr>
              <w:adjustRightInd w:val="0"/>
              <w:snapToGrid w:val="0"/>
              <w:spacing w:line="240" w:lineRule="atLeast"/>
              <w:ind w:firstLine="420" w:firstLineChars="200"/>
              <w:jc w:val="left"/>
            </w:pPr>
            <w:r>
              <w:rPr>
                <w:rFonts w:hint="eastAsia"/>
              </w:rPr>
              <w:t>新增指标对应项目已冻结时，不允许手工编制凭证。</w:t>
            </w:r>
          </w:p>
          <w:p>
            <w:pPr>
              <w:adjustRightInd w:val="0"/>
              <w:snapToGrid w:val="0"/>
              <w:spacing w:line="240" w:lineRule="atLeast"/>
              <w:jc w:val="left"/>
            </w:pPr>
            <w:r>
              <w:rPr>
                <w:rFonts w:hint="eastAsia"/>
              </w:rPr>
              <w:t>8.</w:t>
            </w:r>
            <w:r>
              <w:t>移动APP</w:t>
            </w:r>
            <w:r>
              <w:rPr>
                <w:rFonts w:hint="eastAsia"/>
              </w:rPr>
              <w:t>。</w:t>
            </w:r>
          </w:p>
          <w:p>
            <w:pPr>
              <w:adjustRightInd w:val="0"/>
              <w:snapToGrid w:val="0"/>
              <w:spacing w:line="240" w:lineRule="atLeast"/>
              <w:jc w:val="left"/>
            </w:pPr>
            <w:r>
              <w:rPr>
                <w:rFonts w:hint="eastAsia"/>
              </w:rPr>
              <w:t>（1）我的工资，其他收入中增加其他收入合计、所得税合计、实发合计数。</w:t>
            </w:r>
          </w:p>
          <w:p>
            <w:pPr>
              <w:adjustRightInd w:val="0"/>
              <w:snapToGrid w:val="0"/>
              <w:spacing w:line="240" w:lineRule="atLeast"/>
              <w:jc w:val="left"/>
            </w:pPr>
            <w:r>
              <w:rPr>
                <w:rFonts w:hint="eastAsia"/>
              </w:rPr>
              <w:t>（2）报销审批，网报上传的发票附件，在APP上可以查看发票的验真状态。</w:t>
            </w:r>
          </w:p>
          <w:p>
            <w:pPr>
              <w:adjustRightInd w:val="0"/>
              <w:snapToGrid w:val="0"/>
              <w:spacing w:line="240" w:lineRule="atLeast"/>
              <w:jc w:val="left"/>
            </w:pPr>
            <w:r>
              <w:rPr>
                <w:rFonts w:hint="eastAsia"/>
              </w:rPr>
              <w:t>（3）报销审批，现在报销单明细里预算指标信息中的“指标文号”显示代码+名称。</w:t>
            </w:r>
          </w:p>
          <w:p>
            <w:pPr>
              <w:adjustRightInd w:val="0"/>
              <w:snapToGrid w:val="0"/>
              <w:spacing w:line="240" w:lineRule="atLeast"/>
              <w:jc w:val="left"/>
            </w:pPr>
            <w:r>
              <w:rPr>
                <w:rFonts w:hint="eastAsia"/>
              </w:rPr>
              <w:t>（4）解决苹果手机APP不能下载登录问题。</w:t>
            </w:r>
          </w:p>
        </w:tc>
        <w:tc>
          <w:tcPr>
            <w:tcW w:w="817" w:type="dxa"/>
            <w:vAlign w:val="center"/>
          </w:tcPr>
          <w:p>
            <w:pPr>
              <w:adjustRightInd w:val="0"/>
              <w:snapToGrid w:val="0"/>
              <w:spacing w:line="240" w:lineRule="atLeast"/>
              <w:jc w:val="left"/>
            </w:pPr>
            <w:r>
              <w:rPr>
                <w:rFonts w:hint="eastAsia"/>
              </w:rPr>
              <w:t>1套</w:t>
            </w:r>
          </w:p>
        </w:tc>
        <w:tc>
          <w:tcPr>
            <w:tcW w:w="732" w:type="dxa"/>
            <w:vAlign w:val="center"/>
          </w:tcPr>
          <w:p/>
        </w:tc>
      </w:tr>
    </w:tbl>
    <w:p>
      <w:pPr>
        <w:spacing w:line="360" w:lineRule="auto"/>
        <w:rPr>
          <w:rFonts w:hAnsi="宋体" w:cs="宋体"/>
          <w:sz w:val="24"/>
        </w:rPr>
      </w:pPr>
    </w:p>
    <w:p>
      <w:pPr>
        <w:spacing w:line="360" w:lineRule="auto"/>
        <w:rPr>
          <w:rFonts w:ascii="宋体" w:hAnsi="宋体"/>
          <w:b/>
          <w:sz w:val="24"/>
        </w:rPr>
      </w:pPr>
      <w:r>
        <w:rPr>
          <w:rFonts w:hint="eastAsia" w:ascii="宋体" w:hAnsi="宋体"/>
          <w:b/>
          <w:sz w:val="24"/>
        </w:rPr>
        <w:t>二、付款方式</w:t>
      </w:r>
    </w:p>
    <w:p>
      <w:pPr>
        <w:spacing w:line="360" w:lineRule="auto"/>
        <w:ind w:firstLine="480" w:firstLineChars="200"/>
        <w:rPr>
          <w:rFonts w:ascii="宋体" w:hAnsi="宋体"/>
          <w:sz w:val="24"/>
        </w:rPr>
      </w:pPr>
      <w:r>
        <w:rPr>
          <w:rFonts w:hint="eastAsia" w:ascii="宋体" w:hAnsi="宋体"/>
          <w:sz w:val="24"/>
        </w:rPr>
        <w:t>供应商按采购人要求完成项目的服务及技术支持。并经采购人验收合格后付合同金额。成交金额即为合同金额。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有下列情形之一的，属于无效质疑，需方不予受理，由此产生的影响由投标人自行承担：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(1)不是参与该采购项目活动供应商的；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(2)被质疑人为采购人之外的；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(3)所有质疑事项超过质疑有效期的；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(4)以具有法律效力的文书送达之外方式提出的；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(5)未按上述规定递交澄清或质疑函的；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(6)其他不符合受理条件的情形。</w:t>
      </w: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ind w:firstLine="460" w:firstLineChars="192"/>
        <w:rPr>
          <w:rFonts w:ascii="宋体" w:hAnsi="宋体"/>
          <w:sz w:val="24"/>
        </w:rPr>
      </w:pPr>
      <w:r>
        <w:rPr>
          <w:rFonts w:hint="eastAsia" w:ascii="宋体" w:hAnsi="宋体"/>
          <w:sz w:val="24"/>
        </w:rPr>
        <w:t>8.询价响应文件电子版U盘一份，须单独封装。</w:t>
      </w:r>
    </w:p>
    <w:p>
      <w:pPr>
        <w:tabs>
          <w:tab w:val="left" w:pos="1080"/>
        </w:tabs>
        <w:spacing w:line="360" w:lineRule="auto"/>
        <w:rPr>
          <w:rFonts w:ascii="宋体" w:hAnsi="宋体"/>
          <w:b/>
          <w:sz w:val="24"/>
        </w:rPr>
      </w:pPr>
      <w:r>
        <w:rPr>
          <w:rFonts w:hint="eastAsia" w:ascii="宋体" w:hAnsi="宋体"/>
          <w:b/>
          <w:sz w:val="24"/>
        </w:rPr>
        <w:t>五、响应文件的密封及标记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六、响应文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七、公开“报价一览表”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3.依次宣布各供应商的报价等。</w:t>
      </w:r>
    </w:p>
    <w:p>
      <w:pPr>
        <w:spacing w:line="360" w:lineRule="auto"/>
        <w:rPr>
          <w:rFonts w:ascii="宋体" w:hAnsi="宋体"/>
          <w:b/>
          <w:sz w:val="24"/>
        </w:rPr>
      </w:pPr>
      <w:r>
        <w:rPr>
          <w:rFonts w:hint="eastAsia" w:ascii="宋体" w:hAnsi="宋体"/>
          <w:b/>
          <w:sz w:val="24"/>
        </w:rPr>
        <w:t>八、评审程序与标准：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（1）评审时，响应文件出现下列情形之一的，将作为无效响应文件，不得进入评审：</w:t>
      </w:r>
    </w:p>
    <w:p>
      <w:pPr>
        <w:spacing w:line="360" w:lineRule="auto"/>
        <w:ind w:firstLine="480"/>
        <w:rPr>
          <w:rFonts w:ascii="宋体" w:hAnsi="宋体"/>
          <w:sz w:val="24"/>
        </w:rPr>
      </w:pPr>
      <w:r>
        <w:rPr>
          <w:rFonts w:hint="eastAsia" w:ascii="宋体" w:hAnsi="宋体"/>
          <w:sz w:val="24"/>
        </w:rPr>
        <w:t>①经查证核实有相互串通哄抬价格行为的相关响应；</w:t>
      </w:r>
    </w:p>
    <w:p>
      <w:pPr>
        <w:spacing w:line="360" w:lineRule="auto"/>
        <w:ind w:firstLine="480"/>
        <w:rPr>
          <w:rFonts w:ascii="宋体" w:hAnsi="宋体"/>
          <w:sz w:val="24"/>
        </w:rPr>
      </w:pPr>
      <w:r>
        <w:rPr>
          <w:rFonts w:hint="eastAsia" w:ascii="宋体" w:hAnsi="宋体"/>
          <w:sz w:val="24"/>
        </w:rPr>
        <w:t>②响应文件未经法定代表人签字或未盖单位公章；</w:t>
      </w:r>
    </w:p>
    <w:p>
      <w:pPr>
        <w:spacing w:line="360" w:lineRule="auto"/>
        <w:ind w:firstLine="480"/>
        <w:rPr>
          <w:rFonts w:ascii="宋体" w:hAnsi="宋体"/>
          <w:sz w:val="24"/>
        </w:rPr>
      </w:pPr>
      <w:r>
        <w:rPr>
          <w:rFonts w:hint="eastAsia" w:ascii="宋体" w:hAnsi="宋体"/>
          <w:sz w:val="24"/>
        </w:rPr>
        <w:t>③响应文件有备选方案或多项方案者；</w:t>
      </w:r>
    </w:p>
    <w:p>
      <w:pPr>
        <w:spacing w:line="360" w:lineRule="auto"/>
        <w:ind w:firstLine="480"/>
        <w:rPr>
          <w:rFonts w:ascii="宋体" w:hAnsi="宋体"/>
          <w:sz w:val="24"/>
        </w:rPr>
      </w:pPr>
      <w:r>
        <w:rPr>
          <w:rFonts w:hint="eastAsia" w:ascii="宋体" w:hAnsi="宋体"/>
          <w:sz w:val="24"/>
        </w:rPr>
        <w:t>④报价总价超过本项目预算金额的；</w:t>
      </w:r>
    </w:p>
    <w:p>
      <w:pPr>
        <w:spacing w:line="360" w:lineRule="auto"/>
        <w:ind w:firstLine="480"/>
        <w:rPr>
          <w:rFonts w:ascii="宋体" w:hAnsi="宋体"/>
          <w:sz w:val="24"/>
        </w:rPr>
      </w:pPr>
      <w:r>
        <w:rPr>
          <w:rFonts w:hint="eastAsia" w:ascii="宋体" w:hAnsi="宋体"/>
          <w:sz w:val="24"/>
        </w:rPr>
        <w:t>⑤技术响应和商务响应不能满足询价文件中技术要求和商务要求的；</w:t>
      </w:r>
    </w:p>
    <w:p>
      <w:pPr>
        <w:spacing w:line="360" w:lineRule="auto"/>
        <w:ind w:firstLine="480"/>
        <w:rPr>
          <w:rFonts w:ascii="宋体" w:hAnsi="宋体"/>
          <w:sz w:val="24"/>
        </w:rPr>
      </w:pPr>
      <w:r>
        <w:rPr>
          <w:rFonts w:hint="eastAsia" w:ascii="宋体" w:hAnsi="宋体"/>
          <w:sz w:val="24"/>
        </w:rPr>
        <w:t>⑥未满足本文件中第二章中的四、五、六条中的相关要求的。</w:t>
      </w:r>
    </w:p>
    <w:p>
      <w:pPr>
        <w:spacing w:line="360" w:lineRule="auto"/>
        <w:ind w:right="26" w:firstLine="480"/>
        <w:rPr>
          <w:rFonts w:ascii="宋体" w:hAnsi="宋体"/>
          <w:sz w:val="24"/>
        </w:rPr>
      </w:pPr>
      <w:r>
        <w:rPr>
          <w:rFonts w:hint="eastAsia" w:ascii="宋体" w:hAnsi="宋体"/>
          <w:sz w:val="24"/>
        </w:rPr>
        <w:t>（2）有下列情形之一的，询价项目作废：</w:t>
      </w:r>
    </w:p>
    <w:p>
      <w:pPr>
        <w:spacing w:line="360" w:lineRule="auto"/>
        <w:ind w:firstLine="480"/>
        <w:rPr>
          <w:rFonts w:ascii="宋体" w:hAnsi="宋体"/>
          <w:sz w:val="24"/>
        </w:rPr>
      </w:pPr>
      <w:r>
        <w:rPr>
          <w:rFonts w:hint="eastAsia" w:ascii="宋体" w:hAnsi="宋体"/>
          <w:sz w:val="24"/>
        </w:rPr>
        <w:t>①实质响应的合格供应商不足三家，询价失败的；</w:t>
      </w:r>
    </w:p>
    <w:p>
      <w:pPr>
        <w:spacing w:line="360" w:lineRule="auto"/>
        <w:ind w:firstLine="480"/>
        <w:rPr>
          <w:rFonts w:ascii="宋体" w:hAnsi="宋体"/>
          <w:sz w:val="24"/>
        </w:rPr>
      </w:pPr>
      <w:r>
        <w:rPr>
          <w:rFonts w:hint="eastAsia" w:ascii="宋体" w:hAnsi="宋体"/>
          <w:sz w:val="24"/>
        </w:rPr>
        <w:t>②询价小组否决所有响应的；</w:t>
      </w:r>
    </w:p>
    <w:p>
      <w:pPr>
        <w:spacing w:line="360" w:lineRule="auto"/>
        <w:ind w:firstLine="480"/>
        <w:rPr>
          <w:rFonts w:ascii="宋体" w:hAnsi="宋体"/>
          <w:sz w:val="24"/>
        </w:rPr>
      </w:pPr>
      <w:r>
        <w:rPr>
          <w:rFonts w:hint="eastAsia" w:ascii="宋体" w:hAnsi="宋体"/>
          <w:sz w:val="24"/>
        </w:rPr>
        <w:t>③出现影响采购公正的违法、违规行为的；</w:t>
      </w:r>
    </w:p>
    <w:p>
      <w:pPr>
        <w:spacing w:line="360" w:lineRule="auto"/>
        <w:ind w:firstLine="480"/>
        <w:rPr>
          <w:rFonts w:ascii="宋体" w:hAnsi="宋体"/>
          <w:sz w:val="24"/>
        </w:rPr>
      </w:pPr>
      <w:r>
        <w:rPr>
          <w:rFonts w:hint="eastAsia" w:ascii="宋体" w:hAnsi="宋体"/>
          <w:sz w:val="24"/>
        </w:rPr>
        <w:t>④因重大变故，采购任务取消或重大变更的；</w:t>
      </w:r>
    </w:p>
    <w:p>
      <w:pPr>
        <w:spacing w:line="360" w:lineRule="auto"/>
        <w:ind w:firstLine="480"/>
        <w:rPr>
          <w:rFonts w:ascii="宋体" w:hAnsi="宋体"/>
          <w:sz w:val="24"/>
        </w:rPr>
      </w:pPr>
      <w:r>
        <w:rPr>
          <w:rFonts w:hint="eastAsia" w:ascii="宋体" w:hAnsi="宋体"/>
          <w:sz w:val="24"/>
        </w:rPr>
        <w:t>⑤询价文件存在不合理条款，询价程序不符合规定等原因，被主管部门或者监督部门撤销的。</w:t>
      </w:r>
    </w:p>
    <w:p>
      <w:pPr>
        <w:spacing w:line="360" w:lineRule="auto"/>
        <w:ind w:firstLine="480"/>
        <w:rPr>
          <w:rFonts w:ascii="宋体" w:hAnsi="宋体"/>
          <w:b/>
          <w:sz w:val="24"/>
        </w:rPr>
      </w:pPr>
      <w:r>
        <w:rPr>
          <w:rFonts w:hint="eastAsia" w:ascii="宋体" w:hAnsi="宋体"/>
          <w:b/>
          <w:sz w:val="24"/>
        </w:rPr>
        <w:t>★2.询价小组对通过资格性审查和符合性审查的供应商进行详细评审。根据符合采购项目需求、质量、服务均满足询价文件要求且报价最低（优）的原则确定成交供应商候选人排序。</w:t>
      </w:r>
    </w:p>
    <w:p>
      <w:pPr>
        <w:spacing w:line="360" w:lineRule="auto"/>
        <w:ind w:firstLine="420" w:firstLineChars="200"/>
        <w:sectPr>
          <w:headerReference r:id="rId3" w:type="default"/>
          <w:footerReference r:id="rId4" w:type="default"/>
          <w:pgSz w:w="11907" w:h="16840"/>
          <w:pgMar w:top="1418" w:right="1247" w:bottom="1247" w:left="1418" w:header="851" w:footer="992" w:gutter="0"/>
          <w:pgNumType w:start="1"/>
          <w:cols w:space="720" w:num="1"/>
          <w:docGrid w:type="lines" w:linePitch="312" w:charSpace="0"/>
        </w:sectPr>
      </w:pPr>
    </w:p>
    <w:bookmarkEnd w:id="2"/>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36473298"/>
      <w:bookmarkStart w:id="10" w:name="_Toc238276242"/>
      <w:bookmarkStart w:id="11" w:name="_Toc327371177"/>
      <w:bookmarkStart w:id="12" w:name="_Toc265109445"/>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21"/>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6"/>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6"/>
        <w:jc w:val="center"/>
        <w:rPr>
          <w:b/>
          <w:sz w:val="32"/>
          <w:szCs w:val="32"/>
        </w:rPr>
      </w:pPr>
      <w:r>
        <w:rPr>
          <w:rFonts w:hint="eastAsia"/>
          <w:b/>
          <w:sz w:val="32"/>
          <w:szCs w:val="32"/>
        </w:rPr>
        <w:t>分项报价表</w:t>
      </w:r>
    </w:p>
    <w:p>
      <w:pPr>
        <w:pStyle w:val="6"/>
        <w:ind w:firstLine="0"/>
        <w:rPr>
          <w:sz w:val="24"/>
          <w:szCs w:val="24"/>
        </w:rPr>
      </w:pPr>
      <w:r>
        <w:rPr>
          <w:rFonts w:hint="eastAsia"/>
          <w:sz w:val="24"/>
          <w:szCs w:val="24"/>
        </w:rPr>
        <w:t>项目名称：</w:t>
      </w:r>
    </w:p>
    <w:p>
      <w:pPr>
        <w:pStyle w:val="6"/>
        <w:ind w:firstLine="0"/>
        <w:rPr>
          <w:sz w:val="24"/>
          <w:szCs w:val="24"/>
        </w:rPr>
      </w:pPr>
      <w:r>
        <w:rPr>
          <w:rFonts w:hint="eastAsia"/>
          <w:sz w:val="24"/>
          <w:szCs w:val="24"/>
        </w:rPr>
        <w:t>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5245" w:type="dxa"/>
            <w:vAlign w:val="center"/>
          </w:tcPr>
          <w:p>
            <w:pPr>
              <w:pStyle w:val="6"/>
              <w:ind w:firstLine="0"/>
              <w:jc w:val="center"/>
              <w:rPr>
                <w:sz w:val="24"/>
                <w:szCs w:val="24"/>
              </w:rPr>
            </w:pPr>
            <w:r>
              <w:rPr>
                <w:rFonts w:hint="eastAsia"/>
                <w:sz w:val="24"/>
                <w:szCs w:val="24"/>
              </w:rPr>
              <w:t>货物名称（可包含规格、品牌、生产厂家、产地）</w:t>
            </w:r>
          </w:p>
        </w:tc>
        <w:tc>
          <w:tcPr>
            <w:tcW w:w="992"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单价</w:t>
            </w:r>
          </w:p>
        </w:tc>
        <w:tc>
          <w:tcPr>
            <w:tcW w:w="850" w:type="dxa"/>
            <w:vAlign w:val="center"/>
          </w:tcPr>
          <w:p>
            <w:pPr>
              <w:pStyle w:val="6"/>
              <w:ind w:firstLine="0"/>
              <w:jc w:val="center"/>
              <w:rPr>
                <w:sz w:val="24"/>
                <w:szCs w:val="24"/>
              </w:rPr>
            </w:pPr>
            <w:r>
              <w:rPr>
                <w:rFonts w:hint="eastAsia"/>
                <w:sz w:val="24"/>
                <w:szCs w:val="24"/>
              </w:rPr>
              <w:t>总价</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5245" w:type="dxa"/>
          </w:tcPr>
          <w:p>
            <w:pPr>
              <w:pStyle w:val="6"/>
              <w:ind w:firstLine="0"/>
              <w:jc w:val="center"/>
              <w:rPr>
                <w:b/>
                <w:sz w:val="32"/>
                <w:szCs w:val="32"/>
              </w:rPr>
            </w:pPr>
          </w:p>
        </w:tc>
        <w:tc>
          <w:tcPr>
            <w:tcW w:w="992" w:type="dxa"/>
          </w:tcPr>
          <w:p>
            <w:pPr>
              <w:pStyle w:val="6"/>
              <w:ind w:firstLine="0"/>
              <w:jc w:val="center"/>
              <w:rPr>
                <w:sz w:val="32"/>
                <w:szCs w:val="32"/>
              </w:rPr>
            </w:pPr>
          </w:p>
        </w:tc>
        <w:tc>
          <w:tcPr>
            <w:tcW w:w="851"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5245" w:type="dxa"/>
          </w:tcPr>
          <w:p>
            <w:pPr>
              <w:pStyle w:val="6"/>
              <w:ind w:firstLine="0"/>
              <w:jc w:val="center"/>
              <w:rPr>
                <w:b/>
                <w:sz w:val="32"/>
                <w:szCs w:val="32"/>
              </w:rPr>
            </w:pPr>
          </w:p>
        </w:tc>
        <w:tc>
          <w:tcPr>
            <w:tcW w:w="992" w:type="dxa"/>
          </w:tcPr>
          <w:p>
            <w:pPr>
              <w:pStyle w:val="6"/>
              <w:ind w:firstLine="0"/>
              <w:jc w:val="center"/>
              <w:rPr>
                <w:b/>
                <w:sz w:val="32"/>
                <w:szCs w:val="32"/>
              </w:rPr>
            </w:pPr>
          </w:p>
        </w:tc>
        <w:tc>
          <w:tcPr>
            <w:tcW w:w="851"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rPr>
          <w:rFonts w:ascii="宋体" w:hAnsi="宋体"/>
          <w:sz w:val="24"/>
          <w:szCs w:val="24"/>
        </w:rPr>
      </w:pPr>
      <w:r>
        <w:rPr>
          <w:rFonts w:hint="eastAsia" w:ascii="宋体" w:hAnsi="宋体"/>
          <w:sz w:val="24"/>
          <w:szCs w:val="24"/>
        </w:rPr>
        <w:t>说明</w:t>
      </w:r>
    </w:p>
    <w:p>
      <w:pPr>
        <w:pStyle w:val="6"/>
        <w:numPr>
          <w:ilvl w:val="0"/>
          <w:numId w:val="1"/>
        </w:numPr>
        <w:rPr>
          <w:rFonts w:ascii="宋体" w:hAnsi="宋体"/>
          <w:sz w:val="24"/>
          <w:szCs w:val="24"/>
        </w:rPr>
      </w:pPr>
      <w:r>
        <w:rPr>
          <w:rFonts w:hint="eastAsia" w:ascii="宋体" w:hAnsi="宋体"/>
          <w:sz w:val="24"/>
          <w:szCs w:val="24"/>
        </w:rPr>
        <w:t>所有价格均用人民币表示，单位为元。</w:t>
      </w:r>
    </w:p>
    <w:p>
      <w:pPr>
        <w:pStyle w:val="6"/>
        <w:numPr>
          <w:ilvl w:val="0"/>
          <w:numId w:val="1"/>
        </w:numPr>
        <w:rPr>
          <w:rFonts w:ascii="宋体" w:hAnsi="宋体"/>
          <w:sz w:val="24"/>
          <w:szCs w:val="24"/>
        </w:rPr>
      </w:pPr>
      <w:r>
        <w:rPr>
          <w:rFonts w:hint="eastAsia" w:ascii="宋体" w:hAnsi="宋体"/>
          <w:sz w:val="24"/>
          <w:szCs w:val="24"/>
        </w:rPr>
        <w:t>分项报价总计价格必须与《开标一览表》报价一致。</w:t>
      </w:r>
    </w:p>
    <w:p>
      <w:pPr>
        <w:pStyle w:val="6"/>
        <w:numPr>
          <w:ilvl w:val="0"/>
          <w:numId w:val="1"/>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6"/>
        <w:rPr>
          <w:rFonts w:ascii="宋体" w:hAnsi="宋体"/>
          <w:sz w:val="24"/>
          <w:szCs w:val="24"/>
        </w:rPr>
      </w:pPr>
    </w:p>
    <w:p>
      <w:pPr>
        <w:pStyle w:val="6"/>
        <w:rPr>
          <w:rFonts w:ascii="宋体" w:hAnsi="宋体"/>
          <w:sz w:val="24"/>
          <w:szCs w:val="24"/>
        </w:rPr>
      </w:pPr>
    </w:p>
    <w:p>
      <w:pPr>
        <w:pStyle w:val="6"/>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6"/>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投标货物清单</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6"/>
              <w:ind w:firstLine="0"/>
              <w:jc w:val="center"/>
              <w:rPr>
                <w:sz w:val="24"/>
                <w:szCs w:val="24"/>
              </w:rPr>
            </w:pPr>
            <w:r>
              <w:rPr>
                <w:rFonts w:hint="eastAsia"/>
                <w:sz w:val="24"/>
                <w:szCs w:val="24"/>
              </w:rPr>
              <w:t>序号</w:t>
            </w:r>
          </w:p>
        </w:tc>
        <w:tc>
          <w:tcPr>
            <w:tcW w:w="1843" w:type="dxa"/>
            <w:vAlign w:val="center"/>
          </w:tcPr>
          <w:p>
            <w:pPr>
              <w:pStyle w:val="6"/>
              <w:ind w:firstLine="0"/>
              <w:jc w:val="center"/>
              <w:rPr>
                <w:sz w:val="24"/>
                <w:szCs w:val="24"/>
              </w:rPr>
            </w:pPr>
            <w:r>
              <w:rPr>
                <w:rFonts w:hint="eastAsia"/>
                <w:sz w:val="24"/>
                <w:szCs w:val="24"/>
              </w:rPr>
              <w:t>货物名称</w:t>
            </w:r>
          </w:p>
        </w:tc>
        <w:tc>
          <w:tcPr>
            <w:tcW w:w="2835" w:type="dxa"/>
            <w:vAlign w:val="center"/>
          </w:tcPr>
          <w:p>
            <w:pPr>
              <w:pStyle w:val="6"/>
              <w:ind w:firstLine="0"/>
              <w:jc w:val="center"/>
              <w:rPr>
                <w:sz w:val="24"/>
                <w:szCs w:val="24"/>
              </w:rPr>
            </w:pPr>
            <w:r>
              <w:rPr>
                <w:rFonts w:hint="eastAsia"/>
                <w:sz w:val="24"/>
                <w:szCs w:val="24"/>
              </w:rPr>
              <w:t>品牌、型号、生产厂家、产地</w:t>
            </w:r>
          </w:p>
        </w:tc>
        <w:tc>
          <w:tcPr>
            <w:tcW w:w="2410" w:type="dxa"/>
            <w:vAlign w:val="center"/>
          </w:tcPr>
          <w:p>
            <w:pPr>
              <w:pStyle w:val="6"/>
              <w:ind w:firstLine="0"/>
              <w:jc w:val="center"/>
              <w:rPr>
                <w:sz w:val="24"/>
                <w:szCs w:val="24"/>
              </w:rPr>
            </w:pPr>
            <w:r>
              <w:rPr>
                <w:rFonts w:hint="eastAsia"/>
                <w:sz w:val="24"/>
                <w:szCs w:val="24"/>
              </w:rPr>
              <w:t>技术规格</w:t>
            </w:r>
          </w:p>
        </w:tc>
        <w:tc>
          <w:tcPr>
            <w:tcW w:w="850" w:type="dxa"/>
            <w:vAlign w:val="center"/>
          </w:tcPr>
          <w:p>
            <w:pPr>
              <w:pStyle w:val="6"/>
              <w:ind w:firstLine="0"/>
              <w:jc w:val="center"/>
              <w:rPr>
                <w:sz w:val="24"/>
                <w:szCs w:val="24"/>
              </w:rPr>
            </w:pPr>
            <w:r>
              <w:rPr>
                <w:rFonts w:hint="eastAsia"/>
                <w:sz w:val="24"/>
                <w:szCs w:val="24"/>
              </w:rPr>
              <w:t>数量</w:t>
            </w:r>
          </w:p>
        </w:tc>
        <w:tc>
          <w:tcPr>
            <w:tcW w:w="851" w:type="dxa"/>
            <w:vAlign w:val="center"/>
          </w:tcPr>
          <w:p>
            <w:pPr>
              <w:pStyle w:val="6"/>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rFonts w:ascii="宋体" w:hAnsi="宋体"/>
                <w:sz w:val="32"/>
                <w:szCs w:val="32"/>
              </w:rPr>
            </w:pPr>
          </w:p>
        </w:tc>
        <w:tc>
          <w:tcPr>
            <w:tcW w:w="1843" w:type="dxa"/>
          </w:tcPr>
          <w:p>
            <w:pPr>
              <w:pStyle w:val="6"/>
              <w:ind w:firstLine="0"/>
              <w:jc w:val="center"/>
              <w:rPr>
                <w:b/>
                <w:sz w:val="32"/>
                <w:szCs w:val="32"/>
              </w:rPr>
            </w:pPr>
          </w:p>
        </w:tc>
        <w:tc>
          <w:tcPr>
            <w:tcW w:w="2835" w:type="dxa"/>
          </w:tcPr>
          <w:p>
            <w:pPr>
              <w:pStyle w:val="6"/>
              <w:ind w:firstLine="0"/>
              <w:jc w:val="center"/>
              <w:rPr>
                <w:sz w:val="32"/>
                <w:szCs w:val="32"/>
              </w:rPr>
            </w:pPr>
          </w:p>
        </w:tc>
        <w:tc>
          <w:tcPr>
            <w:tcW w:w="2410" w:type="dxa"/>
          </w:tcPr>
          <w:p>
            <w:pPr>
              <w:pStyle w:val="6"/>
              <w:ind w:firstLine="0"/>
              <w:jc w:val="center"/>
              <w:rPr>
                <w:sz w:val="32"/>
                <w:szCs w:val="32"/>
              </w:rPr>
            </w:pPr>
          </w:p>
        </w:tc>
        <w:tc>
          <w:tcPr>
            <w:tcW w:w="850" w:type="dxa"/>
          </w:tcPr>
          <w:p>
            <w:pPr>
              <w:pStyle w:val="6"/>
              <w:ind w:firstLine="0"/>
              <w:jc w:val="center"/>
              <w:rPr>
                <w:sz w:val="32"/>
                <w:szCs w:val="32"/>
              </w:rPr>
            </w:pPr>
          </w:p>
        </w:tc>
        <w:tc>
          <w:tcPr>
            <w:tcW w:w="851" w:type="dxa"/>
          </w:tcPr>
          <w:p>
            <w:pPr>
              <w:pStyle w:val="6"/>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6"/>
              <w:ind w:firstLine="0"/>
              <w:jc w:val="center"/>
              <w:rPr>
                <w:b/>
                <w:sz w:val="32"/>
                <w:szCs w:val="32"/>
              </w:rPr>
            </w:pPr>
          </w:p>
        </w:tc>
        <w:tc>
          <w:tcPr>
            <w:tcW w:w="1843" w:type="dxa"/>
          </w:tcPr>
          <w:p>
            <w:pPr>
              <w:pStyle w:val="6"/>
              <w:ind w:firstLine="0"/>
              <w:jc w:val="center"/>
              <w:rPr>
                <w:b/>
                <w:sz w:val="32"/>
                <w:szCs w:val="32"/>
              </w:rPr>
            </w:pPr>
          </w:p>
        </w:tc>
        <w:tc>
          <w:tcPr>
            <w:tcW w:w="2835" w:type="dxa"/>
          </w:tcPr>
          <w:p>
            <w:pPr>
              <w:pStyle w:val="6"/>
              <w:ind w:firstLine="0"/>
              <w:jc w:val="center"/>
              <w:rPr>
                <w:b/>
                <w:sz w:val="32"/>
                <w:szCs w:val="32"/>
              </w:rPr>
            </w:pPr>
          </w:p>
        </w:tc>
        <w:tc>
          <w:tcPr>
            <w:tcW w:w="2410" w:type="dxa"/>
          </w:tcPr>
          <w:p>
            <w:pPr>
              <w:pStyle w:val="6"/>
              <w:ind w:firstLine="0"/>
              <w:jc w:val="center"/>
              <w:rPr>
                <w:b/>
                <w:sz w:val="32"/>
                <w:szCs w:val="32"/>
              </w:rPr>
            </w:pPr>
          </w:p>
        </w:tc>
        <w:tc>
          <w:tcPr>
            <w:tcW w:w="850" w:type="dxa"/>
          </w:tcPr>
          <w:p>
            <w:pPr>
              <w:pStyle w:val="6"/>
              <w:ind w:firstLine="0"/>
              <w:jc w:val="center"/>
              <w:rPr>
                <w:b/>
                <w:sz w:val="32"/>
                <w:szCs w:val="32"/>
              </w:rPr>
            </w:pPr>
          </w:p>
        </w:tc>
        <w:tc>
          <w:tcPr>
            <w:tcW w:w="851" w:type="dxa"/>
          </w:tcPr>
          <w:p>
            <w:pPr>
              <w:pStyle w:val="6"/>
              <w:ind w:firstLine="0"/>
              <w:jc w:val="center"/>
              <w:rPr>
                <w:b/>
                <w:sz w:val="32"/>
                <w:szCs w:val="32"/>
              </w:rPr>
            </w:pPr>
          </w:p>
        </w:tc>
      </w:tr>
    </w:tbl>
    <w:p>
      <w:pPr>
        <w:pStyle w:val="6"/>
        <w:ind w:firstLine="0"/>
      </w:pPr>
    </w:p>
    <w:p>
      <w:pPr>
        <w:pStyle w:val="6"/>
        <w:ind w:firstLine="0"/>
      </w:pPr>
    </w:p>
    <w:p>
      <w:pPr>
        <w:pStyle w:val="6"/>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4"/>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6"/>
        <w:jc w:val="center"/>
        <w:rPr>
          <w:b/>
          <w:sz w:val="30"/>
          <w:szCs w:val="30"/>
        </w:rPr>
      </w:pPr>
      <w:r>
        <w:rPr>
          <w:rFonts w:hint="eastAsia"/>
          <w:b/>
          <w:sz w:val="30"/>
          <w:szCs w:val="30"/>
        </w:rPr>
        <w:t>采购需求响应、偏离说明表</w:t>
      </w:r>
    </w:p>
    <w:p>
      <w:pPr>
        <w:pStyle w:val="6"/>
      </w:pPr>
    </w:p>
    <w:p>
      <w:pPr>
        <w:pStyle w:val="6"/>
        <w:ind w:firstLine="0"/>
        <w:rPr>
          <w:sz w:val="24"/>
          <w:szCs w:val="24"/>
        </w:rPr>
      </w:pPr>
      <w:r>
        <w:rPr>
          <w:rFonts w:hint="eastAsia"/>
          <w:sz w:val="24"/>
          <w:szCs w:val="24"/>
        </w:rPr>
        <w:t>项目名称：</w:t>
      </w:r>
    </w:p>
    <w:p>
      <w:pPr>
        <w:pStyle w:val="6"/>
        <w:ind w:firstLine="0"/>
        <w:rPr>
          <w:b/>
          <w:sz w:val="24"/>
          <w:szCs w:val="24"/>
        </w:rPr>
      </w:pPr>
      <w:r>
        <w:rPr>
          <w:rFonts w:hint="eastAsia"/>
          <w:sz w:val="24"/>
          <w:szCs w:val="24"/>
        </w:rPr>
        <w:t>项目编号：</w:t>
      </w:r>
    </w:p>
    <w:tbl>
      <w:tblPr>
        <w:tblStyle w:val="2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6"/>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序号</w:t>
            </w:r>
          </w:p>
        </w:tc>
        <w:tc>
          <w:tcPr>
            <w:tcW w:w="4053" w:type="dxa"/>
          </w:tcPr>
          <w:p>
            <w:pPr>
              <w:pStyle w:val="6"/>
              <w:ind w:firstLine="0"/>
              <w:jc w:val="center"/>
            </w:pPr>
            <w:r>
              <w:rPr>
                <w:rFonts w:hint="eastAsia"/>
              </w:rPr>
              <w:t>招标文件要求部分</w:t>
            </w:r>
          </w:p>
        </w:tc>
        <w:tc>
          <w:tcPr>
            <w:tcW w:w="3460" w:type="dxa"/>
          </w:tcPr>
          <w:p>
            <w:pPr>
              <w:pStyle w:val="6"/>
              <w:ind w:firstLine="0"/>
              <w:jc w:val="center"/>
            </w:pPr>
            <w:r>
              <w:rPr>
                <w:rFonts w:hint="eastAsia"/>
              </w:rPr>
              <w:t>投标文件响应部分</w:t>
            </w:r>
          </w:p>
        </w:tc>
        <w:tc>
          <w:tcPr>
            <w:tcW w:w="1270" w:type="dxa"/>
          </w:tcPr>
          <w:p>
            <w:pPr>
              <w:pStyle w:val="6"/>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1</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2</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3</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6"/>
              <w:ind w:firstLine="0"/>
              <w:jc w:val="center"/>
            </w:pPr>
            <w:r>
              <w:rPr>
                <w:rFonts w:hint="eastAsia"/>
              </w:rPr>
              <w:t>…</w:t>
            </w:r>
          </w:p>
        </w:tc>
        <w:tc>
          <w:tcPr>
            <w:tcW w:w="4053" w:type="dxa"/>
          </w:tcPr>
          <w:p>
            <w:pPr>
              <w:pStyle w:val="6"/>
              <w:ind w:firstLine="0"/>
              <w:jc w:val="center"/>
            </w:pPr>
          </w:p>
        </w:tc>
        <w:tc>
          <w:tcPr>
            <w:tcW w:w="3460" w:type="dxa"/>
          </w:tcPr>
          <w:p>
            <w:pPr>
              <w:pStyle w:val="6"/>
              <w:ind w:firstLine="0"/>
              <w:jc w:val="center"/>
            </w:pPr>
          </w:p>
        </w:tc>
        <w:tc>
          <w:tcPr>
            <w:tcW w:w="1270" w:type="dxa"/>
          </w:tcPr>
          <w:p>
            <w:pPr>
              <w:pStyle w:val="6"/>
              <w:ind w:firstLine="0"/>
              <w:jc w:val="center"/>
            </w:pPr>
          </w:p>
        </w:tc>
      </w:tr>
    </w:tbl>
    <w:p>
      <w:pPr>
        <w:pStyle w:val="6"/>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pStyle w:val="6"/>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6"/>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供应商认为应提供的其他材料</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color w:val="000000"/>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4795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pPr>
                            <w:pStyle w:val="13"/>
                            <w:rPr>
                              <w:rStyle w:val="25"/>
                            </w:rPr>
                          </w:pPr>
                          <w:r>
                            <w:fldChar w:fldCharType="begin"/>
                          </w:r>
                          <w:r>
                            <w:rPr>
                              <w:rStyle w:val="25"/>
                            </w:rPr>
                            <w:instrText xml:space="preserve">PAGE  </w:instrText>
                          </w:r>
                          <w:r>
                            <w:fldChar w:fldCharType="separate"/>
                          </w:r>
                          <w:r>
                            <w:rPr>
                              <w:rStyle w:val="25"/>
                            </w:rPr>
                            <w:t>2</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4.55pt;mso-position-horizontal:center;mso-position-horizontal-relative:margin;mso-wrap-style:none;z-index:251659264;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nyxwC0QAAAAIBAAAPAAAAAAAAAAEAIAAAACIAAABkcnMvZG93&#10;bnJldi54bWxQSwECFAAUAAAACACHTuJA2ILGCgcCAAABBAAADgAAAAAAAAABACAAAAAgAQAAZHJz&#10;L2Uyb0RvYy54bWxQSwUGAAAAAAYABgBZAQAAmQUAAAAA&#10;">
              <v:fill on="f" focussize="0,0"/>
              <v:stroke on="f"/>
              <v:imagedata o:title=""/>
              <o:lock v:ext="edit" aspectratio="f"/>
              <v:textbox inset="0mm,0mm,0mm,0mm" style="mso-fit-shape-to-text:t;">
                <w:txbxContent>
                  <w:p>
                    <w:pPr>
                      <w:pStyle w:val="13"/>
                      <w:rPr>
                        <w:rStyle w:val="25"/>
                      </w:rPr>
                    </w:pPr>
                    <w:r>
                      <w:fldChar w:fldCharType="begin"/>
                    </w:r>
                    <w:r>
                      <w:rPr>
                        <w:rStyle w:val="25"/>
                      </w:rPr>
                      <w:instrText xml:space="preserve">PAGE  </w:instrText>
                    </w:r>
                    <w:r>
                      <w:fldChar w:fldCharType="separate"/>
                    </w:r>
                    <w:r>
                      <w:rPr>
                        <w:rStyle w:val="25"/>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1BE9"/>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084C"/>
    <w:rsid w:val="00123084"/>
    <w:rsid w:val="0012387D"/>
    <w:rsid w:val="0012528C"/>
    <w:rsid w:val="0013185B"/>
    <w:rsid w:val="00131CD9"/>
    <w:rsid w:val="001329C4"/>
    <w:rsid w:val="00136528"/>
    <w:rsid w:val="00136FF5"/>
    <w:rsid w:val="0013768A"/>
    <w:rsid w:val="0014386E"/>
    <w:rsid w:val="00143AE0"/>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AE1"/>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445"/>
    <w:rsid w:val="002807E0"/>
    <w:rsid w:val="002812D5"/>
    <w:rsid w:val="002831F0"/>
    <w:rsid w:val="00286410"/>
    <w:rsid w:val="00290391"/>
    <w:rsid w:val="002908A9"/>
    <w:rsid w:val="00296E1B"/>
    <w:rsid w:val="002A09BF"/>
    <w:rsid w:val="002A545C"/>
    <w:rsid w:val="002A69C9"/>
    <w:rsid w:val="002A733C"/>
    <w:rsid w:val="002B01A5"/>
    <w:rsid w:val="002B4107"/>
    <w:rsid w:val="002B4AFE"/>
    <w:rsid w:val="002C0D1E"/>
    <w:rsid w:val="002C3898"/>
    <w:rsid w:val="002C3C6E"/>
    <w:rsid w:val="002C48A7"/>
    <w:rsid w:val="002C5AC0"/>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BD3"/>
    <w:rsid w:val="00482F9A"/>
    <w:rsid w:val="0048586D"/>
    <w:rsid w:val="0048668D"/>
    <w:rsid w:val="004A0122"/>
    <w:rsid w:val="004A465A"/>
    <w:rsid w:val="004A5DF3"/>
    <w:rsid w:val="004A62BD"/>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3119"/>
    <w:rsid w:val="005459B4"/>
    <w:rsid w:val="0055098E"/>
    <w:rsid w:val="0055334C"/>
    <w:rsid w:val="00553738"/>
    <w:rsid w:val="00556F3F"/>
    <w:rsid w:val="00557CBB"/>
    <w:rsid w:val="00560F40"/>
    <w:rsid w:val="00563EC0"/>
    <w:rsid w:val="005674AD"/>
    <w:rsid w:val="0057312A"/>
    <w:rsid w:val="005745C8"/>
    <w:rsid w:val="0057558B"/>
    <w:rsid w:val="00581E3B"/>
    <w:rsid w:val="005826EF"/>
    <w:rsid w:val="00592C51"/>
    <w:rsid w:val="005A1577"/>
    <w:rsid w:val="005A58EA"/>
    <w:rsid w:val="005A7F5A"/>
    <w:rsid w:val="005B1F53"/>
    <w:rsid w:val="005B5FE1"/>
    <w:rsid w:val="005B7CE1"/>
    <w:rsid w:val="005C025F"/>
    <w:rsid w:val="005D1E56"/>
    <w:rsid w:val="005D2357"/>
    <w:rsid w:val="005E59F2"/>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2C0"/>
    <w:rsid w:val="0065370F"/>
    <w:rsid w:val="006608BC"/>
    <w:rsid w:val="006609A5"/>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5DC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D6498"/>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1280"/>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3F05"/>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6EB"/>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3A3D"/>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2B1B"/>
    <w:rsid w:val="00DA35AB"/>
    <w:rsid w:val="00DB1220"/>
    <w:rsid w:val="00DB3650"/>
    <w:rsid w:val="00DB42DD"/>
    <w:rsid w:val="00DB6ABA"/>
    <w:rsid w:val="00DC0365"/>
    <w:rsid w:val="00DC0CE5"/>
    <w:rsid w:val="00DC4827"/>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DE14C68"/>
    <w:rsid w:val="1F44140D"/>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7F79F7"/>
    <w:rsid w:val="6FA636AF"/>
    <w:rsid w:val="77132E88"/>
    <w:rsid w:val="77B708B5"/>
    <w:rsid w:val="79583F04"/>
    <w:rsid w:val="79C62E83"/>
    <w:rsid w:val="7B106F2E"/>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link w:val="40"/>
    <w:qFormat/>
    <w:uiPriority w:val="0"/>
    <w:pPr>
      <w:ind w:firstLine="420"/>
    </w:pPr>
    <w:rPr>
      <w:szCs w:val="20"/>
    </w:rPr>
  </w:style>
  <w:style w:type="paragraph" w:styleId="7">
    <w:name w:val="Document Map"/>
    <w:basedOn w:val="1"/>
    <w:link w:val="37"/>
    <w:qFormat/>
    <w:uiPriority w:val="0"/>
    <w:rPr>
      <w:rFonts w:ascii="宋体"/>
      <w:sz w:val="18"/>
      <w:szCs w:val="18"/>
    </w:rPr>
  </w:style>
  <w:style w:type="paragraph" w:styleId="8">
    <w:name w:val="annotation text"/>
    <w:basedOn w:val="1"/>
    <w:link w:val="47"/>
    <w:qFormat/>
    <w:uiPriority w:val="0"/>
    <w:pPr>
      <w:jc w:val="left"/>
    </w:pPr>
  </w:style>
  <w:style w:type="paragraph" w:styleId="9">
    <w:name w:val="Body Text"/>
    <w:basedOn w:val="1"/>
    <w:link w:val="48"/>
    <w:qFormat/>
    <w:uiPriority w:val="0"/>
    <w:pPr>
      <w:spacing w:after="120"/>
    </w:pPr>
    <w:rPr>
      <w:sz w:val="28"/>
    </w:rPr>
  </w:style>
  <w:style w:type="paragraph" w:styleId="10">
    <w:name w:val="Body Text Indent"/>
    <w:basedOn w:val="1"/>
    <w:link w:val="49"/>
    <w:qFormat/>
    <w:uiPriority w:val="0"/>
    <w:pPr>
      <w:ind w:firstLine="830" w:firstLineChars="352"/>
    </w:pPr>
    <w:rPr>
      <w:rFonts w:ascii="仿宋_GB2312" w:eastAsia="仿宋_GB2312"/>
      <w:sz w:val="32"/>
      <w:szCs w:val="20"/>
    </w:rPr>
  </w:style>
  <w:style w:type="paragraph" w:styleId="11">
    <w:name w:val="Plain Text"/>
    <w:basedOn w:val="1"/>
    <w:link w:val="39"/>
    <w:qFormat/>
    <w:uiPriority w:val="0"/>
    <w:rPr>
      <w:rFonts w:ascii="宋体" w:hAnsi="Courier New" w:cs="Courier New"/>
      <w:szCs w:val="21"/>
    </w:rPr>
  </w:style>
  <w:style w:type="paragraph" w:styleId="12">
    <w:name w:val="Balloon Text"/>
    <w:basedOn w:val="1"/>
    <w:link w:val="50"/>
    <w:qFormat/>
    <w:uiPriority w:val="0"/>
    <w:rPr>
      <w:sz w:val="18"/>
      <w:szCs w:val="18"/>
    </w:rPr>
  </w:style>
  <w:style w:type="paragraph" w:styleId="13">
    <w:name w:val="footer"/>
    <w:basedOn w:val="1"/>
    <w:link w:val="51"/>
    <w:qFormat/>
    <w:uiPriority w:val="0"/>
    <w:pPr>
      <w:tabs>
        <w:tab w:val="center" w:pos="4153"/>
        <w:tab w:val="right" w:pos="8306"/>
      </w:tabs>
      <w:snapToGrid w:val="0"/>
      <w:jc w:val="left"/>
    </w:pPr>
    <w:rPr>
      <w:sz w:val="18"/>
      <w:szCs w:val="18"/>
    </w:rPr>
  </w:style>
  <w:style w:type="paragraph" w:styleId="14">
    <w:name w:val="header"/>
    <w:basedOn w:val="1"/>
    <w:link w:val="4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Body Text 2"/>
    <w:basedOn w:val="1"/>
    <w:link w:val="52"/>
    <w:qFormat/>
    <w:uiPriority w:val="0"/>
    <w:pPr>
      <w:spacing w:after="120" w:line="480" w:lineRule="auto"/>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link w:val="43"/>
    <w:qFormat/>
    <w:uiPriority w:val="0"/>
    <w:pPr>
      <w:spacing w:before="240" w:after="60"/>
      <w:jc w:val="center"/>
      <w:outlineLvl w:val="0"/>
    </w:pPr>
    <w:rPr>
      <w:rFonts w:asciiTheme="majorHAnsi" w:hAnsiTheme="majorHAnsi" w:eastAsiaTheme="majorEastAsia" w:cstheme="majorBidi"/>
      <w:b/>
      <w:bCs/>
      <w:sz w:val="32"/>
      <w:szCs w:val="32"/>
    </w:rPr>
  </w:style>
  <w:style w:type="paragraph" w:styleId="20">
    <w:name w:val="annotation subject"/>
    <w:basedOn w:val="8"/>
    <w:next w:val="8"/>
    <w:link w:val="53"/>
    <w:qFormat/>
    <w:uiPriority w:val="0"/>
    <w:rPr>
      <w:b/>
      <w:bCs/>
    </w:rPr>
  </w:style>
  <w:style w:type="table" w:styleId="22">
    <w:name w:val="Table Grid"/>
    <w:basedOn w:val="2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22"/>
    <w:rPr>
      <w:b/>
      <w:bCs/>
    </w:rPr>
  </w:style>
  <w:style w:type="character" w:styleId="25">
    <w:name w:val="page number"/>
    <w:basedOn w:val="23"/>
    <w:qFormat/>
    <w:uiPriority w:val="0"/>
  </w:style>
  <w:style w:type="character" w:styleId="26">
    <w:name w:val="Hyperlink"/>
    <w:qFormat/>
    <w:uiPriority w:val="0"/>
    <w:rPr>
      <w:color w:val="151515"/>
      <w:u w:val="none"/>
    </w:rPr>
  </w:style>
  <w:style w:type="character" w:styleId="27">
    <w:name w:val="annotation reference"/>
    <w:qFormat/>
    <w:uiPriority w:val="0"/>
    <w:rPr>
      <w:sz w:val="21"/>
      <w:szCs w:val="21"/>
    </w:rPr>
  </w:style>
  <w:style w:type="paragraph" w:customStyle="1" w:styleId="28">
    <w:name w:val="Char Char"/>
    <w:basedOn w:val="1"/>
    <w:qFormat/>
    <w:uiPriority w:val="0"/>
    <w:rPr>
      <w:rFonts w:ascii="Tahoma" w:hAnsi="Tahoma"/>
      <w:sz w:val="24"/>
      <w:szCs w:val="20"/>
    </w:rPr>
  </w:style>
  <w:style w:type="paragraph" w:styleId="2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Char"/>
    <w:basedOn w:val="1"/>
    <w:qFormat/>
    <w:uiPriority w:val="0"/>
    <w:rPr>
      <w:rFonts w:ascii="仿宋_GB2312" w:eastAsia="仿宋_GB2312"/>
      <w:b/>
      <w:sz w:val="32"/>
      <w:szCs w:val="32"/>
    </w:rPr>
  </w:style>
  <w:style w:type="paragraph" w:customStyle="1" w:styleId="31">
    <w:name w:val="_Style 19"/>
    <w:basedOn w:val="1"/>
    <w:qFormat/>
    <w:uiPriority w:val="0"/>
    <w:pPr>
      <w:tabs>
        <w:tab w:val="right" w:pos="-2120"/>
      </w:tabs>
      <w:snapToGrid w:val="0"/>
    </w:pPr>
  </w:style>
  <w:style w:type="paragraph" w:customStyle="1" w:styleId="32">
    <w:name w:val="排版"/>
    <w:basedOn w:val="1"/>
    <w:next w:val="9"/>
    <w:qFormat/>
    <w:uiPriority w:val="0"/>
    <w:pPr>
      <w:spacing w:line="600" w:lineRule="exact"/>
    </w:pPr>
    <w:rPr>
      <w:rFonts w:eastAsia="华文仿宋"/>
      <w:spacing w:val="6"/>
      <w:sz w:val="32"/>
    </w:rPr>
  </w:style>
  <w:style w:type="paragraph" w:customStyle="1" w:styleId="33">
    <w:name w:val="Char1"/>
    <w:basedOn w:val="1"/>
    <w:qFormat/>
    <w:uiPriority w:val="0"/>
    <w:pPr>
      <w:tabs>
        <w:tab w:val="right" w:pos="-2120"/>
      </w:tabs>
      <w:snapToGrid w:val="0"/>
    </w:p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5">
    <w:name w:val="List Paragraph"/>
    <w:basedOn w:val="1"/>
    <w:qFormat/>
    <w:uiPriority w:val="34"/>
    <w:pPr>
      <w:ind w:firstLine="420" w:firstLineChars="200"/>
    </w:pPr>
  </w:style>
  <w:style w:type="character" w:customStyle="1" w:styleId="36">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7">
    <w:name w:val="文档结构图 字符"/>
    <w:basedOn w:val="23"/>
    <w:link w:val="7"/>
    <w:qFormat/>
    <w:uiPriority w:val="0"/>
    <w:rPr>
      <w:rFonts w:ascii="宋体"/>
      <w:kern w:val="2"/>
      <w:sz w:val="18"/>
      <w:szCs w:val="18"/>
    </w:rPr>
  </w:style>
  <w:style w:type="character" w:customStyle="1" w:styleId="38">
    <w:name w:val="font11"/>
    <w:qFormat/>
    <w:uiPriority w:val="0"/>
    <w:rPr>
      <w:rFonts w:ascii="Calibri" w:hAnsi="Calibri" w:cs="Calibri"/>
      <w:color w:val="000000"/>
      <w:sz w:val="20"/>
      <w:szCs w:val="20"/>
      <w:u w:val="none"/>
    </w:rPr>
  </w:style>
  <w:style w:type="character" w:customStyle="1" w:styleId="39">
    <w:name w:val="纯文本 字符"/>
    <w:link w:val="11"/>
    <w:qFormat/>
    <w:uiPriority w:val="0"/>
    <w:rPr>
      <w:rFonts w:ascii="宋体" w:hAnsi="Courier New" w:eastAsia="宋体" w:cs="Courier New"/>
      <w:kern w:val="2"/>
      <w:sz w:val="21"/>
      <w:szCs w:val="21"/>
      <w:lang w:val="en-US" w:eastAsia="zh-CN" w:bidi="ar-SA"/>
    </w:rPr>
  </w:style>
  <w:style w:type="character" w:customStyle="1" w:styleId="40">
    <w:name w:val="正文缩进 字符"/>
    <w:link w:val="6"/>
    <w:qFormat/>
    <w:uiPriority w:val="0"/>
    <w:rPr>
      <w:rFonts w:eastAsia="宋体"/>
      <w:kern w:val="2"/>
      <w:sz w:val="21"/>
      <w:lang w:val="en-US" w:eastAsia="zh-CN" w:bidi="ar-SA"/>
    </w:rPr>
  </w:style>
  <w:style w:type="character" w:customStyle="1" w:styleId="41">
    <w:name w:val="页眉 字符"/>
    <w:link w:val="14"/>
    <w:qFormat/>
    <w:uiPriority w:val="0"/>
    <w:rPr>
      <w:rFonts w:eastAsia="宋体"/>
      <w:kern w:val="2"/>
      <w:sz w:val="18"/>
      <w:szCs w:val="18"/>
      <w:lang w:val="en-US" w:eastAsia="zh-CN" w:bidi="ar-SA"/>
    </w:rPr>
  </w:style>
  <w:style w:type="character" w:customStyle="1" w:styleId="42">
    <w:name w:val="标题 3 字符"/>
    <w:basedOn w:val="23"/>
    <w:link w:val="4"/>
    <w:qFormat/>
    <w:uiPriority w:val="0"/>
    <w:rPr>
      <w:b/>
      <w:bCs/>
      <w:kern w:val="2"/>
      <w:sz w:val="32"/>
      <w:szCs w:val="32"/>
    </w:rPr>
  </w:style>
  <w:style w:type="character" w:customStyle="1" w:styleId="43">
    <w:name w:val="标题 字符"/>
    <w:basedOn w:val="23"/>
    <w:link w:val="19"/>
    <w:qFormat/>
    <w:uiPriority w:val="0"/>
    <w:rPr>
      <w:rFonts w:asciiTheme="majorHAnsi" w:hAnsiTheme="majorHAnsi" w:eastAsiaTheme="majorEastAsia" w:cstheme="majorBidi"/>
      <w:b/>
      <w:bCs/>
      <w:kern w:val="2"/>
      <w:sz w:val="32"/>
      <w:szCs w:val="32"/>
    </w:rPr>
  </w:style>
  <w:style w:type="paragraph" w:customStyle="1" w:styleId="44">
    <w:name w:val="Table Paragraph"/>
    <w:basedOn w:val="1"/>
    <w:qFormat/>
    <w:uiPriority w:val="1"/>
    <w:rPr>
      <w:rFonts w:ascii="宋体" w:hAnsi="宋体" w:cs="宋体"/>
      <w:szCs w:val="22"/>
    </w:rPr>
  </w:style>
  <w:style w:type="character" w:customStyle="1" w:styleId="45">
    <w:name w:val="标题 1 字符"/>
    <w:basedOn w:val="23"/>
    <w:link w:val="2"/>
    <w:qFormat/>
    <w:uiPriority w:val="0"/>
    <w:rPr>
      <w:b/>
      <w:bCs/>
      <w:kern w:val="44"/>
      <w:sz w:val="44"/>
      <w:szCs w:val="44"/>
    </w:rPr>
  </w:style>
  <w:style w:type="character" w:customStyle="1" w:styleId="46">
    <w:name w:val="标题 2 字符"/>
    <w:basedOn w:val="23"/>
    <w:link w:val="3"/>
    <w:qFormat/>
    <w:uiPriority w:val="0"/>
    <w:rPr>
      <w:rFonts w:ascii="Arial" w:hAnsi="Arial" w:eastAsia="黑体"/>
      <w:b/>
      <w:bCs/>
      <w:kern w:val="2"/>
      <w:sz w:val="32"/>
      <w:szCs w:val="32"/>
    </w:rPr>
  </w:style>
  <w:style w:type="character" w:customStyle="1" w:styleId="47">
    <w:name w:val="批注文字 字符"/>
    <w:basedOn w:val="23"/>
    <w:link w:val="8"/>
    <w:qFormat/>
    <w:uiPriority w:val="0"/>
    <w:rPr>
      <w:kern w:val="2"/>
      <w:sz w:val="21"/>
      <w:szCs w:val="24"/>
    </w:rPr>
  </w:style>
  <w:style w:type="character" w:customStyle="1" w:styleId="48">
    <w:name w:val="正文文本 字符"/>
    <w:basedOn w:val="23"/>
    <w:link w:val="9"/>
    <w:qFormat/>
    <w:uiPriority w:val="0"/>
    <w:rPr>
      <w:kern w:val="2"/>
      <w:sz w:val="28"/>
      <w:szCs w:val="24"/>
    </w:rPr>
  </w:style>
  <w:style w:type="character" w:customStyle="1" w:styleId="49">
    <w:name w:val="正文文本缩进 字符"/>
    <w:basedOn w:val="23"/>
    <w:link w:val="10"/>
    <w:qFormat/>
    <w:uiPriority w:val="0"/>
    <w:rPr>
      <w:rFonts w:ascii="仿宋_GB2312" w:eastAsia="仿宋_GB2312"/>
      <w:kern w:val="2"/>
      <w:sz w:val="32"/>
    </w:rPr>
  </w:style>
  <w:style w:type="character" w:customStyle="1" w:styleId="50">
    <w:name w:val="批注框文本 字符"/>
    <w:basedOn w:val="23"/>
    <w:link w:val="12"/>
    <w:qFormat/>
    <w:uiPriority w:val="0"/>
    <w:rPr>
      <w:kern w:val="2"/>
      <w:sz w:val="18"/>
      <w:szCs w:val="18"/>
    </w:rPr>
  </w:style>
  <w:style w:type="character" w:customStyle="1" w:styleId="51">
    <w:name w:val="页脚 字符"/>
    <w:basedOn w:val="23"/>
    <w:link w:val="13"/>
    <w:qFormat/>
    <w:uiPriority w:val="0"/>
    <w:rPr>
      <w:kern w:val="2"/>
      <w:sz w:val="18"/>
      <w:szCs w:val="18"/>
    </w:rPr>
  </w:style>
  <w:style w:type="character" w:customStyle="1" w:styleId="52">
    <w:name w:val="正文文本 2 字符"/>
    <w:basedOn w:val="23"/>
    <w:link w:val="17"/>
    <w:qFormat/>
    <w:uiPriority w:val="0"/>
    <w:rPr>
      <w:kern w:val="2"/>
      <w:sz w:val="21"/>
      <w:szCs w:val="24"/>
    </w:rPr>
  </w:style>
  <w:style w:type="character" w:customStyle="1" w:styleId="53">
    <w:name w:val="批注主题 字符"/>
    <w:basedOn w:val="47"/>
    <w:link w:val="20"/>
    <w:qFormat/>
    <w:uiPriority w:val="0"/>
    <w:rPr>
      <w:b/>
      <w:bCs/>
      <w:kern w:val="2"/>
      <w:sz w:val="21"/>
      <w:szCs w:val="24"/>
    </w:rPr>
  </w:style>
  <w:style w:type="character" w:customStyle="1" w:styleId="54">
    <w:name w:val="font91"/>
    <w:basedOn w:val="23"/>
    <w:qFormat/>
    <w:uiPriority w:val="0"/>
    <w:rPr>
      <w:rFonts w:ascii="宋体" w:hAnsi="宋体" w:eastAsia="宋体" w:cs="宋体"/>
      <w:color w:val="000000"/>
      <w:sz w:val="20"/>
      <w:szCs w:val="20"/>
      <w:u w:val="none"/>
    </w:rPr>
  </w:style>
  <w:style w:type="character" w:customStyle="1" w:styleId="55">
    <w:name w:val="font51"/>
    <w:basedOn w:val="23"/>
    <w:qFormat/>
    <w:uiPriority w:val="0"/>
    <w:rPr>
      <w:rFonts w:hint="eastAsia" w:ascii="宋体" w:hAnsi="宋体" w:eastAsia="宋体" w:cs="宋体"/>
      <w:color w:val="000000"/>
      <w:sz w:val="20"/>
      <w:szCs w:val="20"/>
      <w:u w:val="none"/>
    </w:rPr>
  </w:style>
  <w:style w:type="character" w:customStyle="1" w:styleId="56">
    <w:name w:val="font21"/>
    <w:basedOn w:val="23"/>
    <w:qFormat/>
    <w:uiPriority w:val="0"/>
    <w:rPr>
      <w:rFonts w:hint="eastAsia" w:ascii="宋体" w:hAnsi="宋体" w:eastAsia="宋体" w:cs="宋体"/>
      <w:color w:val="000000"/>
      <w:sz w:val="24"/>
      <w:szCs w:val="24"/>
      <w:u w:val="none"/>
    </w:rPr>
  </w:style>
  <w:style w:type="character" w:customStyle="1" w:styleId="57">
    <w:name w:val="font01"/>
    <w:basedOn w:val="2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8175</Words>
  <Characters>8404</Characters>
  <Lines>104</Lines>
  <Paragraphs>29</Paragraphs>
  <TotalTime>0</TotalTime>
  <ScaleCrop>false</ScaleCrop>
  <LinksUpToDate>false</LinksUpToDate>
  <CharactersWithSpaces>9026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2022-06-28T06:00:00Z</dcterms:created>
  <dc:creator>微软用户</dc:creator>
  <cp:lastModifiedBy>口天马尧</cp:lastModifiedBy>
  <cp:lastPrinted>2020-06-23T05:34:00Z</cp:lastPrinted>
  <dcterms:modified xsi:type="dcterms:W3CDTF">2022-07-05T05:46:32Z</dcterms:modified>
  <dc:title>湖北省省级政府采购</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50DEC7F2C0F44FC2B4F390FBBFF469F8</vt:lpwstr>
  </property>
</Properties>
</file>