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color w:val="auto"/>
          <w:sz w:val="32"/>
          <w:szCs w:val="32"/>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2023年电梯维保</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shd w:val="clear"/>
        <w:snapToGrid w:val="0"/>
        <w:spacing w:line="360" w:lineRule="auto"/>
        <w:ind w:firstLine="1807" w:firstLineChars="500"/>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36"/>
          <w:szCs w:val="36"/>
          <w:highlight w:val="none"/>
        </w:rPr>
        <w:t>磋商文件编号:LZCS—202</w:t>
      </w:r>
      <w:r>
        <w:rPr>
          <w:rFonts w:hint="eastAsia" w:ascii="仿宋" w:hAnsi="仿宋" w:eastAsia="仿宋" w:cs="仿宋"/>
          <w:b/>
          <w:color w:val="auto"/>
          <w:sz w:val="36"/>
          <w:szCs w:val="36"/>
          <w:highlight w:val="none"/>
          <w:lang w:val="en-US" w:eastAsia="zh-CN"/>
        </w:rPr>
        <w:t>3008</w:t>
      </w:r>
    </w:p>
    <w:p>
      <w:pPr>
        <w:spacing w:line="360" w:lineRule="auto"/>
        <w:jc w:val="center"/>
        <w:rPr>
          <w:rFonts w:hint="eastAsia" w:ascii="仿宋" w:hAnsi="仿宋" w:eastAsia="仿宋" w:cs="仿宋"/>
          <w:b/>
          <w:color w:val="auto"/>
          <w:sz w:val="36"/>
          <w:szCs w:val="36"/>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5"/>
        <w:ind w:firstLine="640"/>
        <w:rPr>
          <w:rFonts w:hint="eastAsia" w:ascii="仿宋" w:hAnsi="仿宋" w:eastAsia="仿宋" w:cs="仿宋"/>
          <w:color w:val="auto"/>
          <w:sz w:val="32"/>
          <w:szCs w:val="32"/>
        </w:rPr>
      </w:pPr>
    </w:p>
    <w:p>
      <w:pPr>
        <w:pStyle w:val="5"/>
        <w:ind w:firstLine="640"/>
        <w:rPr>
          <w:rFonts w:hint="eastAsia" w:ascii="仿宋" w:hAnsi="仿宋" w:eastAsia="仿宋" w:cs="仿宋"/>
          <w:color w:val="auto"/>
          <w:sz w:val="32"/>
          <w:szCs w:val="32"/>
        </w:rPr>
      </w:pPr>
    </w:p>
    <w:p>
      <w:pPr>
        <w:pStyle w:val="5"/>
        <w:ind w:firstLine="640"/>
        <w:rPr>
          <w:rFonts w:hint="eastAsia" w:ascii="仿宋" w:hAnsi="仿宋" w:eastAsia="仿宋" w:cs="仿宋"/>
          <w:color w:val="auto"/>
          <w:sz w:val="32"/>
          <w:szCs w:val="32"/>
        </w:rPr>
      </w:pPr>
    </w:p>
    <w:p>
      <w:pPr>
        <w:pStyle w:val="5"/>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7</w:t>
      </w:r>
      <w:r>
        <w:rPr>
          <w:rFonts w:hint="eastAsia" w:ascii="仿宋" w:hAnsi="仿宋" w:eastAsia="仿宋" w:cs="仿宋"/>
          <w:b/>
          <w:color w:val="auto"/>
          <w:sz w:val="36"/>
          <w:szCs w:val="36"/>
        </w:rPr>
        <w:t>月</w:t>
      </w:r>
      <w:bookmarkEnd w:id="0"/>
      <w:bookmarkStart w:id="3" w:name="_Toc361769627"/>
      <w:bookmarkStart w:id="4" w:name="_Toc361769761"/>
    </w:p>
    <w:p>
      <w:pPr>
        <w:spacing w:line="360" w:lineRule="auto"/>
        <w:rPr>
          <w:rFonts w:hint="eastAsia" w:ascii="仿宋" w:hAnsi="仿宋" w:eastAsia="仿宋" w:cs="仿宋"/>
          <w:bCs/>
          <w:color w:val="auto"/>
        </w:rPr>
      </w:pPr>
    </w:p>
    <w:p>
      <w:pPr>
        <w:pStyle w:val="3"/>
        <w:snapToGrid w:val="0"/>
        <w:spacing w:before="0" w:after="0" w:line="360" w:lineRule="auto"/>
        <w:jc w:val="center"/>
        <w:rPr>
          <w:rFonts w:hint="eastAsia" w:ascii="仿宋" w:hAnsi="仿宋" w:eastAsia="仿宋" w:cs="仿宋"/>
          <w:bCs w:val="0"/>
          <w:color w:val="auto"/>
        </w:rPr>
      </w:pPr>
      <w:bookmarkStart w:id="5" w:name="_Toc31084"/>
      <w:bookmarkStart w:id="6" w:name="_Toc4104"/>
      <w:bookmarkStart w:id="7" w:name="_Toc10210"/>
      <w:r>
        <w:rPr>
          <w:rFonts w:hint="eastAsia" w:ascii="仿宋" w:hAnsi="仿宋" w:eastAsia="仿宋" w:cs="仿宋"/>
          <w:bCs w:val="0"/>
          <w:color w:val="auto"/>
        </w:rPr>
        <w:t>目   录</w:t>
      </w:r>
      <w:bookmarkEnd w:id="1"/>
      <w:bookmarkEnd w:id="2"/>
      <w:bookmarkEnd w:id="3"/>
      <w:bookmarkEnd w:id="4"/>
      <w:bookmarkEnd w:id="5"/>
      <w:bookmarkEnd w:id="6"/>
      <w:bookmarkEnd w:id="7"/>
    </w:p>
    <w:p>
      <w:pPr>
        <w:spacing w:line="360" w:lineRule="auto"/>
        <w:rPr>
          <w:rFonts w:hint="eastAsia" w:ascii="仿宋" w:hAnsi="仿宋" w:eastAsia="仿宋" w:cs="仿宋"/>
          <w:color w:val="auto"/>
        </w:rPr>
      </w:pPr>
    </w:p>
    <w:p>
      <w:pPr>
        <w:pStyle w:val="28"/>
        <w:tabs>
          <w:tab w:val="right" w:leader="dot" w:pos="8732"/>
        </w:tabs>
        <w:rPr>
          <w:color w:val="auto"/>
        </w:rPr>
      </w:pPr>
      <w:r>
        <w:rPr>
          <w:rFonts w:hint="eastAsia" w:ascii="仿宋" w:hAnsi="仿宋" w:eastAsia="仿宋" w:cs="仿宋"/>
          <w:caps w:val="0"/>
          <w:color w:val="auto"/>
          <w:sz w:val="24"/>
          <w:szCs w:val="24"/>
        </w:rPr>
        <w:fldChar w:fldCharType="begin"/>
      </w:r>
      <w:r>
        <w:rPr>
          <w:rFonts w:hint="eastAsia" w:ascii="仿宋" w:hAnsi="仿宋" w:eastAsia="仿宋" w:cs="仿宋"/>
          <w:caps w:val="0"/>
          <w:color w:val="auto"/>
          <w:sz w:val="24"/>
          <w:szCs w:val="24"/>
        </w:rPr>
        <w:instrText xml:space="preserve"> TOC \o "1-3" \h \z \u </w:instrText>
      </w:r>
      <w:r>
        <w:rPr>
          <w:rFonts w:hint="eastAsia" w:ascii="仿宋" w:hAnsi="仿宋" w:eastAsia="仿宋" w:cs="仿宋"/>
          <w:caps w:val="0"/>
          <w:color w:val="auto"/>
          <w:sz w:val="24"/>
          <w:szCs w:val="24"/>
        </w:rPr>
        <w:fldChar w:fldCharType="separate"/>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_Toc20830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 xml:space="preserve">第一部分  </w:t>
      </w:r>
      <w:r>
        <w:rPr>
          <w:rFonts w:hint="eastAsia" w:ascii="仿宋" w:hAnsi="仿宋" w:eastAsia="仿宋" w:cs="仿宋"/>
          <w:color w:val="auto"/>
          <w:sz w:val="21"/>
          <w:szCs w:val="21"/>
        </w:rPr>
        <w:t>竞争性磋商公告</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_Toc20830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2</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_Toc13778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第二部分  供应商须知</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_Toc13778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5</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_Toc9320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第</w:t>
      </w:r>
      <w:r>
        <w:rPr>
          <w:rFonts w:hint="eastAsia" w:ascii="仿宋" w:hAnsi="仿宋" w:eastAsia="仿宋" w:cs="仿宋"/>
          <w:bCs w:val="0"/>
          <w:color w:val="auto"/>
          <w:sz w:val="21"/>
          <w:szCs w:val="21"/>
          <w:lang w:val="en-US" w:eastAsia="zh-CN"/>
        </w:rPr>
        <w:t>三</w:t>
      </w:r>
      <w:r>
        <w:rPr>
          <w:rFonts w:hint="eastAsia" w:ascii="仿宋" w:hAnsi="仿宋" w:eastAsia="仿宋" w:cs="仿宋"/>
          <w:bCs w:val="0"/>
          <w:color w:val="auto"/>
          <w:sz w:val="21"/>
          <w:szCs w:val="21"/>
        </w:rPr>
        <w:t xml:space="preserve">部分  </w:t>
      </w:r>
      <w:r>
        <w:rPr>
          <w:rFonts w:hint="eastAsia" w:ascii="仿宋" w:hAnsi="仿宋" w:eastAsia="仿宋" w:cs="仿宋"/>
          <w:bCs w:val="0"/>
          <w:color w:val="auto"/>
          <w:sz w:val="21"/>
          <w:szCs w:val="21"/>
          <w:lang w:val="en-US" w:eastAsia="zh-CN"/>
        </w:rPr>
        <w:t>采购需求</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_Toc9320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15</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_Toc4462 </w:instrText>
      </w:r>
      <w:r>
        <w:rPr>
          <w:rFonts w:hint="eastAsia" w:ascii="仿宋" w:hAnsi="仿宋" w:eastAsia="仿宋" w:cs="仿宋"/>
          <w:caps/>
          <w:color w:val="auto"/>
          <w:sz w:val="21"/>
          <w:szCs w:val="21"/>
        </w:rPr>
        <w:fldChar w:fldCharType="separate"/>
      </w:r>
      <w:r>
        <w:rPr>
          <w:rFonts w:hint="eastAsia" w:ascii="仿宋" w:hAnsi="仿宋" w:eastAsia="仿宋" w:cs="仿宋"/>
          <w:color w:val="auto"/>
          <w:sz w:val="21"/>
          <w:szCs w:val="21"/>
        </w:rPr>
        <w:t>第四</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 xml:space="preserve">  合同条款</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_Toc4462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18</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color w:val="auto"/>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_Toc7634 </w:instrText>
      </w:r>
      <w:r>
        <w:rPr>
          <w:rFonts w:hint="eastAsia" w:ascii="仿宋" w:hAnsi="仿宋" w:eastAsia="仿宋" w:cs="仿宋"/>
          <w:caps/>
          <w:color w:val="auto"/>
          <w:sz w:val="21"/>
          <w:szCs w:val="21"/>
        </w:rPr>
        <w:fldChar w:fldCharType="separate"/>
      </w:r>
      <w:r>
        <w:rPr>
          <w:rFonts w:hint="eastAsia" w:ascii="仿宋" w:hAnsi="仿宋" w:eastAsia="仿宋" w:cs="仿宋"/>
          <w:color w:val="auto"/>
          <w:sz w:val="21"/>
          <w:szCs w:val="21"/>
        </w:rPr>
        <w:t>第五</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 xml:space="preserve">  竞争性磋商响应文件格式</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_Toc7634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22</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19"/>
        <w:tabs>
          <w:tab w:val="right" w:leader="dot" w:pos="8732"/>
        </w:tabs>
        <w:rPr>
          <w:color w:val="auto"/>
        </w:rPr>
      </w:pPr>
    </w:p>
    <w:p>
      <w:pPr>
        <w:snapToGrid w:val="0"/>
        <w:spacing w:line="360" w:lineRule="auto"/>
        <w:rPr>
          <w:rFonts w:hint="eastAsia" w:ascii="仿宋" w:hAnsi="仿宋" w:eastAsia="仿宋" w:cs="仿宋"/>
          <w:b/>
          <w:caps/>
          <w:color w:val="auto"/>
          <w:sz w:val="24"/>
        </w:rPr>
      </w:pPr>
      <w:r>
        <w:rPr>
          <w:rFonts w:hint="eastAsia" w:ascii="仿宋" w:hAnsi="仿宋" w:eastAsia="仿宋" w:cs="仿宋"/>
          <w:caps/>
          <w:color w:val="auto"/>
        </w:rPr>
        <w:fldChar w:fldCharType="end"/>
      </w:r>
      <w:bookmarkStart w:id="8" w:name="_Toc361769628"/>
      <w:bookmarkStart w:id="9" w:name="_Toc361769762"/>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3"/>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NumType w:fmt="decimal" w:start="1"/>
          <w:cols w:space="720" w:num="1"/>
          <w:titlePg/>
        </w:sectPr>
      </w:pPr>
    </w:p>
    <w:p>
      <w:pPr>
        <w:rPr>
          <w:rFonts w:hint="eastAsia" w:ascii="仿宋" w:hAnsi="仿宋" w:eastAsia="仿宋" w:cs="仿宋"/>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sz w:val="36"/>
          <w:szCs w:val="36"/>
        </w:rPr>
      </w:pPr>
      <w:bookmarkStart w:id="10" w:name="_Toc20830"/>
      <w:r>
        <w:rPr>
          <w:rFonts w:hint="eastAsia" w:ascii="仿宋" w:hAnsi="仿宋" w:eastAsia="仿宋" w:cs="仿宋"/>
          <w:bCs w:val="0"/>
          <w:color w:val="auto"/>
          <w:sz w:val="36"/>
          <w:szCs w:val="36"/>
        </w:rPr>
        <w:t xml:space="preserve">第一部分  </w:t>
      </w:r>
      <w:bookmarkEnd w:id="8"/>
      <w:bookmarkEnd w:id="9"/>
      <w:r>
        <w:rPr>
          <w:rFonts w:hint="eastAsia" w:ascii="仿宋" w:hAnsi="仿宋" w:eastAsia="仿宋" w:cs="仿宋"/>
          <w:color w:val="auto"/>
          <w:sz w:val="36"/>
          <w:szCs w:val="36"/>
        </w:rPr>
        <w:t>竞争性磋商公告</w:t>
      </w:r>
      <w:bookmarkEnd w:id="10"/>
    </w:p>
    <w:p>
      <w:pPr>
        <w:jc w:val="center"/>
        <w:rPr>
          <w:rFonts w:hint="eastAsia" w:ascii="仿宋" w:hAnsi="仿宋" w:eastAsia="仿宋" w:cs="仿宋"/>
          <w:b/>
          <w:bCs/>
          <w:color w:val="auto"/>
          <w:sz w:val="28"/>
          <w:szCs w:val="32"/>
          <w:lang w:eastAsia="zh-CN"/>
        </w:rPr>
      </w:pPr>
      <w:r>
        <w:rPr>
          <w:rFonts w:hint="eastAsia" w:ascii="仿宋" w:hAnsi="仿宋" w:eastAsia="仿宋" w:cs="仿宋"/>
          <w:b/>
          <w:bCs/>
          <w:color w:val="auto"/>
          <w:sz w:val="44"/>
        </w:rPr>
        <w:br w:type="page"/>
      </w:r>
      <w:r>
        <w:rPr>
          <w:rFonts w:hint="eastAsia" w:ascii="仿宋" w:hAnsi="仿宋" w:eastAsia="仿宋" w:cs="仿宋"/>
          <w:b/>
          <w:bCs/>
          <w:color w:val="auto"/>
          <w:sz w:val="28"/>
          <w:szCs w:val="28"/>
          <w:lang w:eastAsia="zh-CN"/>
        </w:rPr>
        <w:t>兰州职业技术学院</w:t>
      </w:r>
      <w:r>
        <w:rPr>
          <w:rFonts w:hint="eastAsia" w:ascii="仿宋" w:hAnsi="仿宋" w:eastAsia="仿宋" w:cs="仿宋"/>
          <w:b/>
          <w:bCs/>
          <w:color w:val="auto"/>
          <w:sz w:val="28"/>
          <w:szCs w:val="28"/>
          <w:lang w:val="en-US" w:eastAsia="zh-CN"/>
        </w:rPr>
        <w:t>2023年电梯维保</w:t>
      </w:r>
      <w:r>
        <w:rPr>
          <w:rFonts w:hint="eastAsia" w:ascii="仿宋" w:hAnsi="仿宋" w:eastAsia="仿宋" w:cs="仿宋"/>
          <w:b/>
          <w:bCs/>
          <w:color w:val="auto"/>
          <w:sz w:val="28"/>
          <w:szCs w:val="28"/>
          <w:lang w:eastAsia="zh-CN"/>
        </w:rPr>
        <w:t>项目</w:t>
      </w:r>
    </w:p>
    <w:p>
      <w:pPr>
        <w:snapToGrid w:val="0"/>
        <w:spacing w:line="360" w:lineRule="auto"/>
        <w:jc w:val="left"/>
        <w:rPr>
          <w:rFonts w:hint="eastAsia" w:ascii="仿宋" w:hAnsi="仿宋" w:eastAsia="仿宋" w:cs="仿宋"/>
          <w:b/>
          <w:bCs/>
          <w:color w:val="auto"/>
          <w:sz w:val="28"/>
          <w:szCs w:val="32"/>
        </w:rPr>
      </w:pPr>
    </w:p>
    <w:p>
      <w:pPr>
        <w:jc w:val="left"/>
        <w:rPr>
          <w:rFonts w:hint="eastAsia" w:ascii="仿宋" w:hAnsi="仿宋" w:eastAsia="仿宋" w:cs="仿宋"/>
          <w:color w:val="auto"/>
          <w:sz w:val="21"/>
          <w:szCs w:val="21"/>
        </w:rPr>
      </w:pPr>
      <w:r>
        <w:rPr>
          <w:rFonts w:hint="eastAsia" w:ascii="仿宋" w:hAnsi="仿宋" w:eastAsia="仿宋" w:cs="仿宋"/>
          <w:color w:val="auto"/>
          <w:sz w:val="24"/>
        </w:rPr>
        <w:t xml:space="preserve">  </w:t>
      </w: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2023年电梯维保</w:t>
      </w:r>
      <w:r>
        <w:rPr>
          <w:rFonts w:hint="eastAsia" w:ascii="仿宋" w:hAnsi="仿宋" w:eastAsia="仿宋" w:cs="仿宋"/>
          <w:color w:val="auto"/>
          <w:sz w:val="21"/>
          <w:szCs w:val="21"/>
          <w:lang w:eastAsia="zh-CN"/>
        </w:rPr>
        <w:t>项目</w:t>
      </w:r>
      <w:r>
        <w:rPr>
          <w:rFonts w:hint="eastAsia" w:ascii="仿宋" w:hAnsi="仿宋" w:eastAsia="仿宋" w:cs="仿宋"/>
          <w:color w:val="auto"/>
          <w:sz w:val="21"/>
          <w:szCs w:val="21"/>
        </w:rPr>
        <w:t>以竞争性磋商方式进行采购，欢迎符合资格条件的供应商前来参加。</w:t>
      </w:r>
    </w:p>
    <w:p>
      <w:pPr>
        <w:numPr>
          <w:ilvl w:val="0"/>
          <w:numId w:val="3"/>
        </w:numPr>
        <w:snapToGrid w:val="0"/>
        <w:spacing w:line="360" w:lineRule="auto"/>
        <w:ind w:firstLine="422" w:firstLineChars="20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磋商文件编号：LZCS—202</w:t>
      </w:r>
      <w:r>
        <w:rPr>
          <w:rFonts w:hint="eastAsia" w:ascii="仿宋" w:hAnsi="仿宋" w:eastAsia="仿宋" w:cs="仿宋"/>
          <w:b/>
          <w:color w:val="auto"/>
          <w:sz w:val="21"/>
          <w:szCs w:val="21"/>
          <w:highlight w:val="none"/>
          <w:lang w:val="en-US" w:eastAsia="zh-CN"/>
        </w:rPr>
        <w:t>3008</w:t>
      </w:r>
    </w:p>
    <w:p>
      <w:pPr>
        <w:numPr>
          <w:ilvl w:val="0"/>
          <w:numId w:val="3"/>
        </w:numPr>
        <w:snapToGrid w:val="0"/>
        <w:spacing w:line="360" w:lineRule="auto"/>
        <w:ind w:firstLine="422" w:firstLineChars="200"/>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磋商内容：</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2023年电梯维保</w:t>
      </w:r>
      <w:r>
        <w:rPr>
          <w:rFonts w:hint="eastAsia" w:ascii="仿宋" w:hAnsi="仿宋" w:eastAsia="仿宋" w:cs="仿宋"/>
          <w:color w:val="auto"/>
          <w:sz w:val="21"/>
          <w:szCs w:val="21"/>
          <w:lang w:eastAsia="zh-CN"/>
        </w:rPr>
        <w:t>项目</w:t>
      </w:r>
    </w:p>
    <w:p>
      <w:pPr>
        <w:snapToGrid w:val="0"/>
        <w:spacing w:line="360" w:lineRule="auto"/>
        <w:ind w:firstLine="422" w:firstLineChars="200"/>
        <w:jc w:val="left"/>
        <w:rPr>
          <w:rFonts w:hint="eastAsia" w:ascii="仿宋" w:hAnsi="仿宋" w:eastAsia="仿宋" w:cs="仿宋"/>
          <w:b/>
          <w:color w:val="auto"/>
          <w:sz w:val="21"/>
          <w:szCs w:val="21"/>
        </w:rPr>
      </w:pPr>
      <w:r>
        <w:rPr>
          <w:rFonts w:hint="eastAsia" w:ascii="仿宋" w:hAnsi="仿宋" w:eastAsia="仿宋" w:cs="仿宋"/>
          <w:b/>
          <w:color w:val="auto"/>
          <w:sz w:val="21"/>
          <w:szCs w:val="21"/>
        </w:rPr>
        <w:t>三、供应商资格要求：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1.供应商必须符合《中华人民共和国政府采购法》第二十二条要求；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2.供应商应是在中华人民共和国境内注册取得营业执照的独立法人或其他组织，具有相应经营范围；</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3.营业执照副本（复印件）；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4.法人代表身份证（正、反面复印件）；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5.法人授权函（原件）及被授权人身份证（正、反面复印件）；</w:t>
      </w:r>
    </w:p>
    <w:p>
      <w:pPr>
        <w:spacing w:line="240" w:lineRule="auto"/>
        <w:ind w:firstLine="420" w:firstLineChars="20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6.有良好的商业信誉和健全的财务会计制度，会计师事务所出具的审计的完整的财务报告（复印件）</w:t>
      </w:r>
      <w:r>
        <w:rPr>
          <w:rFonts w:hint="eastAsia" w:ascii="仿宋" w:hAnsi="仿宋" w:eastAsia="仿宋" w:cs="仿宋"/>
          <w:color w:val="auto"/>
          <w:sz w:val="21"/>
          <w:szCs w:val="21"/>
          <w:lang w:val="en-US" w:eastAsia="zh-CN"/>
        </w:rPr>
        <w:t>或银行资信证明。</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7.提供本项目采购活动前三年内在经营活动中没有重大违法记录的书面声明(必须为公告发布之日至投标截止时间内出具的原件，原件装订于投标文件内)；</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8.供应商需提供须为未被列入“信用中国”网站记录失信被执行人或重大税收违法案件当事人名单或政府采购严重违法失信行为记录名单；未被列入“信用</w:t>
      </w:r>
      <w:r>
        <w:rPr>
          <w:rFonts w:hint="eastAsia" w:ascii="仿宋" w:hAnsi="仿宋" w:eastAsia="仿宋" w:cs="仿宋"/>
          <w:color w:val="auto"/>
          <w:sz w:val="21"/>
          <w:szCs w:val="21"/>
          <w:lang w:val="en-US" w:eastAsia="zh-CN"/>
        </w:rPr>
        <w:t>中国</w:t>
      </w:r>
      <w:r>
        <w:rPr>
          <w:rFonts w:hint="eastAsia" w:ascii="仿宋" w:hAnsi="仿宋" w:eastAsia="仿宋" w:cs="仿宋"/>
          <w:color w:val="auto"/>
          <w:sz w:val="21"/>
          <w:szCs w:val="21"/>
        </w:rPr>
        <w:t>”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https://www.creditchina.gov.cn/),中国政府采购网（www.ccgp.gov.cn)。</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9.以上条款为</w:t>
      </w:r>
      <w:r>
        <w:rPr>
          <w:rFonts w:hint="eastAsia" w:ascii="仿宋" w:hAnsi="仿宋" w:eastAsia="仿宋" w:cs="仿宋"/>
          <w:color w:val="auto"/>
          <w:sz w:val="21"/>
          <w:szCs w:val="21"/>
          <w:lang w:val="en-US" w:eastAsia="zh-CN"/>
        </w:rPr>
        <w:t>本</w:t>
      </w:r>
      <w:r>
        <w:rPr>
          <w:rFonts w:hint="eastAsia" w:ascii="仿宋" w:hAnsi="仿宋" w:eastAsia="仿宋" w:cs="仿宋"/>
          <w:color w:val="auto"/>
          <w:sz w:val="21"/>
          <w:szCs w:val="21"/>
        </w:rPr>
        <w:t>项目必须提供的文件，其中证书必须在有效期内(三证合一的不提供第4、5）项)，上述所有条款中的复印件必须加盖供应商公章。若法定代表人参加,须提供第4项，若法人授权人参加,须提供第4项和第5项。未按上述要求制作</w:t>
      </w:r>
      <w:r>
        <w:rPr>
          <w:rFonts w:hint="eastAsia" w:ascii="仿宋" w:hAnsi="仿宋" w:eastAsia="仿宋" w:cs="仿宋"/>
          <w:color w:val="auto"/>
          <w:sz w:val="21"/>
          <w:szCs w:val="21"/>
          <w:lang w:val="en-US" w:eastAsia="zh-CN"/>
        </w:rPr>
        <w:t>磋商</w:t>
      </w:r>
      <w:r>
        <w:rPr>
          <w:rFonts w:hint="eastAsia" w:ascii="仿宋" w:hAnsi="仿宋" w:eastAsia="仿宋" w:cs="仿宋"/>
          <w:color w:val="auto"/>
          <w:sz w:val="21"/>
          <w:szCs w:val="21"/>
        </w:rPr>
        <w:t>响应性文件的，将视为无效投标。</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10.本项目不接受联合体竞价。</w:t>
      </w:r>
    </w:p>
    <w:p>
      <w:pPr>
        <w:spacing w:line="24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lang w:val="en-US" w:eastAsia="zh-CN"/>
        </w:rPr>
        <w:t>四</w:t>
      </w:r>
      <w:r>
        <w:rPr>
          <w:rFonts w:hint="eastAsia" w:ascii="仿宋" w:hAnsi="仿宋" w:eastAsia="仿宋" w:cs="仿宋"/>
          <w:b/>
          <w:bCs/>
          <w:color w:val="auto"/>
          <w:sz w:val="21"/>
          <w:szCs w:val="21"/>
        </w:rPr>
        <w:t>、获取磋商文件的时间期限、地点、方式及招标文件获取</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磋商文件获取时间：202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日至 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19</w:t>
      </w:r>
      <w:r>
        <w:rPr>
          <w:rFonts w:hint="eastAsia" w:ascii="仿宋" w:hAnsi="仿宋" w:eastAsia="仿宋" w:cs="仿宋"/>
          <w:color w:val="auto"/>
          <w:sz w:val="21"/>
          <w:szCs w:val="21"/>
        </w:rPr>
        <w:t>日。</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获取方式及地点：网上自行获取：兰州职业技术学院官方网站（http:// http://www.lvu.edu.cn/）在线获得</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获磋商文件售价：免费</w:t>
      </w:r>
    </w:p>
    <w:p>
      <w:pPr>
        <w:spacing w:line="24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rPr>
        <w:t>六、磋商截止时间、磋商时间及地点</w:t>
      </w:r>
      <w:r>
        <w:rPr>
          <w:rFonts w:hint="eastAsia" w:ascii="仿宋" w:hAnsi="仿宋" w:eastAsia="仿宋" w:cs="仿宋"/>
          <w:color w:val="auto"/>
          <w:sz w:val="21"/>
          <w:szCs w:val="21"/>
        </w:rPr>
        <w:t xml:space="preserve">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（一）磋商截止时间：202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19</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00</w:t>
      </w:r>
      <w:r>
        <w:rPr>
          <w:rFonts w:hint="eastAsia" w:ascii="仿宋" w:hAnsi="仿宋" w:eastAsia="仿宋" w:cs="仿宋"/>
          <w:color w:val="auto"/>
          <w:sz w:val="21"/>
          <w:szCs w:val="21"/>
        </w:rPr>
        <w:t xml:space="preserve">分（北京时间）。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（二）磋商文件递交地点：兰州职业技术学院</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（三）磋商时间：202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19</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00</w:t>
      </w:r>
      <w:r>
        <w:rPr>
          <w:rFonts w:hint="eastAsia" w:ascii="仿宋" w:hAnsi="仿宋" w:eastAsia="仿宋" w:cs="仿宋"/>
          <w:color w:val="auto"/>
          <w:sz w:val="21"/>
          <w:szCs w:val="21"/>
        </w:rPr>
        <w:t xml:space="preserve">分（北京时间）。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（四）磋商地点：兰州职业技术学院综合楼</w:t>
      </w:r>
      <w:r>
        <w:rPr>
          <w:rFonts w:hint="eastAsia" w:ascii="仿宋" w:hAnsi="仿宋" w:eastAsia="仿宋" w:cs="仿宋"/>
          <w:color w:val="auto"/>
          <w:sz w:val="21"/>
          <w:szCs w:val="21"/>
          <w:lang w:val="en-US" w:eastAsia="zh-CN"/>
        </w:rPr>
        <w:t>614</w:t>
      </w:r>
      <w:r>
        <w:rPr>
          <w:rFonts w:hint="eastAsia" w:ascii="仿宋" w:hAnsi="仿宋" w:eastAsia="仿宋" w:cs="仿宋"/>
          <w:color w:val="auto"/>
          <w:sz w:val="21"/>
          <w:szCs w:val="21"/>
        </w:rPr>
        <w:t>会议室</w:t>
      </w:r>
    </w:p>
    <w:p>
      <w:pPr>
        <w:spacing w:line="24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 xml:space="preserve">七、联系方式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采 购 人：兰州职业技术学院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 系 人：</w:t>
      </w:r>
      <w:r>
        <w:rPr>
          <w:rFonts w:hint="eastAsia" w:ascii="仿宋" w:hAnsi="仿宋" w:eastAsia="仿宋" w:cs="仿宋"/>
          <w:color w:val="auto"/>
          <w:sz w:val="21"/>
          <w:szCs w:val="21"/>
          <w:lang w:val="en-US" w:eastAsia="zh-CN"/>
        </w:rPr>
        <w:t>吴</w:t>
      </w:r>
      <w:r>
        <w:rPr>
          <w:rFonts w:hint="eastAsia" w:ascii="仿宋" w:hAnsi="仿宋" w:eastAsia="仿宋" w:cs="仿宋"/>
          <w:color w:val="auto"/>
          <w:sz w:val="21"/>
          <w:szCs w:val="21"/>
        </w:rPr>
        <w:t xml:space="preserve">老师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联系地址：兰州市安宁区刘沙公路37号</w:t>
      </w:r>
    </w:p>
    <w:p>
      <w:pPr>
        <w:spacing w:line="240" w:lineRule="auto"/>
        <w:ind w:firstLine="420" w:firstLineChars="200"/>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联系电话：</w:t>
      </w:r>
      <w:r>
        <w:rPr>
          <w:rFonts w:hint="eastAsia" w:ascii="仿宋" w:hAnsi="仿宋" w:eastAsia="仿宋" w:cs="仿宋"/>
          <w:color w:val="auto"/>
          <w:sz w:val="21"/>
          <w:szCs w:val="21"/>
          <w:lang w:val="en-US" w:eastAsia="zh-CN"/>
        </w:rPr>
        <w:t>0931-7619761</w:t>
      </w:r>
    </w:p>
    <w:p>
      <w:pPr>
        <w:spacing w:line="240" w:lineRule="auto"/>
        <w:jc w:val="right"/>
        <w:rPr>
          <w:rFonts w:hint="eastAsia" w:ascii="仿宋" w:hAnsi="仿宋" w:eastAsia="仿宋" w:cs="仿宋"/>
          <w:color w:val="auto"/>
          <w:sz w:val="21"/>
          <w:szCs w:val="21"/>
        </w:rPr>
      </w:pP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 xml:space="preserve">兰州职业技术学院                                           </w:t>
      </w: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 xml:space="preserve">日 </w:t>
      </w:r>
    </w:p>
    <w:p>
      <w:pPr>
        <w:spacing w:line="360" w:lineRule="auto"/>
        <w:rPr>
          <w:rFonts w:hint="eastAsia" w:ascii="仿宋" w:hAnsi="仿宋" w:eastAsia="仿宋" w:cs="仿宋"/>
          <w:color w:val="auto"/>
          <w:sz w:val="24"/>
        </w:rPr>
      </w:pPr>
    </w:p>
    <w:p>
      <w:pPr>
        <w:pStyle w:val="5"/>
        <w:ind w:left="0" w:leftChars="0" w:firstLine="0" w:firstLineChars="0"/>
        <w:rPr>
          <w:rFonts w:hint="eastAsia" w:ascii="仿宋" w:hAnsi="仿宋" w:eastAsia="仿宋" w:cs="仿宋"/>
          <w:bCs/>
          <w:color w:val="auto"/>
        </w:rPr>
      </w:pPr>
      <w:bookmarkStart w:id="11" w:name="_Toc361769629"/>
      <w:bookmarkStart w:id="12" w:name="_Toc361769763"/>
    </w:p>
    <w:p>
      <w:pPr>
        <w:pStyle w:val="5"/>
        <w:ind w:left="0" w:leftChars="0" w:firstLine="0" w:firstLineChars="0"/>
        <w:rPr>
          <w:rFonts w:hint="eastAsia" w:ascii="仿宋" w:hAnsi="仿宋" w:eastAsia="仿宋" w:cs="仿宋"/>
          <w:bCs/>
          <w:color w:val="auto"/>
        </w:rPr>
      </w:pPr>
    </w:p>
    <w:p>
      <w:pPr>
        <w:pStyle w:val="5"/>
        <w:ind w:left="0" w:leftChars="0" w:firstLine="0" w:firstLineChars="0"/>
        <w:rPr>
          <w:rFonts w:hint="eastAsia" w:ascii="仿宋" w:hAnsi="仿宋" w:eastAsia="仿宋" w:cs="仿宋"/>
          <w:bCs/>
          <w:color w:val="auto"/>
        </w:rPr>
      </w:pPr>
    </w:p>
    <w:p>
      <w:pPr>
        <w:rPr>
          <w:rFonts w:hint="eastAsia" w:ascii="仿宋" w:hAnsi="仿宋" w:eastAsia="仿宋" w:cs="仿宋"/>
          <w:bCs w:val="0"/>
          <w:color w:val="auto"/>
        </w:rPr>
      </w:pPr>
    </w:p>
    <w:p>
      <w:pPr>
        <w:pStyle w:val="32"/>
        <w:rPr>
          <w:rFonts w:hint="eastAsia" w:ascii="仿宋" w:hAnsi="仿宋" w:eastAsia="仿宋" w:cs="仿宋"/>
          <w:bCs w:val="0"/>
          <w:color w:val="auto"/>
        </w:rPr>
      </w:pPr>
    </w:p>
    <w:p>
      <w:pPr>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16"/>
        <w:rPr>
          <w:rFonts w:hint="eastAsia" w:ascii="仿宋" w:hAnsi="仿宋" w:eastAsia="仿宋" w:cs="仿宋"/>
          <w:bCs w:val="0"/>
          <w:color w:val="auto"/>
        </w:rPr>
      </w:pPr>
    </w:p>
    <w:p>
      <w:pPr>
        <w:pStyle w:val="32"/>
        <w:rPr>
          <w:rFonts w:hint="eastAsia" w:ascii="仿宋" w:hAnsi="仿宋" w:eastAsia="仿宋" w:cs="仿宋"/>
          <w:bCs w:val="0"/>
          <w:color w:val="auto"/>
        </w:rPr>
      </w:pPr>
    </w:p>
    <w:p>
      <w:pPr>
        <w:rPr>
          <w:rFonts w:hint="eastAsia" w:ascii="仿宋" w:hAnsi="仿宋" w:eastAsia="仿宋" w:cs="仿宋"/>
          <w:bCs w:val="0"/>
          <w:color w:val="auto"/>
        </w:rPr>
      </w:pPr>
    </w:p>
    <w:p>
      <w:pPr>
        <w:pStyle w:val="32"/>
        <w:rPr>
          <w:rFonts w:hint="eastAsia" w:ascii="仿宋" w:hAnsi="仿宋" w:eastAsia="仿宋" w:cs="仿宋"/>
          <w:color w:val="auto"/>
        </w:rPr>
      </w:pPr>
    </w:p>
    <w:p>
      <w:pPr>
        <w:pStyle w:val="3"/>
        <w:spacing w:line="360" w:lineRule="auto"/>
        <w:jc w:val="center"/>
        <w:rPr>
          <w:rFonts w:hint="eastAsia" w:ascii="仿宋" w:hAnsi="仿宋" w:eastAsia="仿宋" w:cs="仿宋"/>
          <w:bCs w:val="0"/>
          <w:color w:val="auto"/>
          <w:sz w:val="36"/>
          <w:szCs w:val="36"/>
        </w:rPr>
      </w:pPr>
      <w:bookmarkStart w:id="13" w:name="_Toc13778"/>
      <w:r>
        <w:rPr>
          <w:rFonts w:hint="eastAsia" w:ascii="仿宋" w:hAnsi="仿宋" w:eastAsia="仿宋" w:cs="仿宋"/>
          <w:bCs w:val="0"/>
          <w:color w:val="auto"/>
          <w:sz w:val="36"/>
          <w:szCs w:val="36"/>
        </w:rPr>
        <w:t>第二部分  供应商须知</w:t>
      </w:r>
      <w:bookmarkEnd w:id="11"/>
      <w:bookmarkEnd w:id="12"/>
      <w:bookmarkEnd w:id="13"/>
    </w:p>
    <w:p>
      <w:pPr>
        <w:pStyle w:val="20"/>
        <w:spacing w:line="360" w:lineRule="auto"/>
        <w:jc w:val="center"/>
        <w:rPr>
          <w:rFonts w:hint="eastAsia" w:ascii="仿宋" w:hAnsi="仿宋" w:eastAsia="仿宋" w:cs="仿宋"/>
          <w:b/>
          <w:bCs/>
          <w:color w:val="auto"/>
          <w:sz w:val="32"/>
          <w:szCs w:val="32"/>
        </w:rPr>
      </w:pPr>
      <w:bookmarkStart w:id="14" w:name="_Toc361769630"/>
      <w:bookmarkStart w:id="15" w:name="_Toc361769764"/>
    </w:p>
    <w:p>
      <w:pPr>
        <w:pStyle w:val="20"/>
        <w:spacing w:line="360" w:lineRule="auto"/>
        <w:jc w:val="center"/>
        <w:rPr>
          <w:rFonts w:hint="eastAsia" w:ascii="仿宋" w:hAnsi="仿宋" w:eastAsia="仿宋" w:cs="仿宋"/>
          <w:b/>
          <w:bCs/>
          <w:color w:val="auto"/>
          <w:sz w:val="32"/>
          <w:szCs w:val="32"/>
        </w:rPr>
      </w:pPr>
    </w:p>
    <w:p>
      <w:pPr>
        <w:pStyle w:val="20"/>
        <w:spacing w:line="360" w:lineRule="auto"/>
        <w:jc w:val="center"/>
        <w:rPr>
          <w:rFonts w:hint="eastAsia" w:ascii="仿宋" w:hAnsi="仿宋" w:eastAsia="仿宋" w:cs="仿宋"/>
          <w:b/>
          <w:bCs/>
          <w:color w:val="auto"/>
          <w:sz w:val="32"/>
          <w:szCs w:val="32"/>
        </w:rPr>
      </w:pPr>
    </w:p>
    <w:p>
      <w:pPr>
        <w:pStyle w:val="20"/>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37"/>
        <w:ind w:firstLine="321"/>
        <w:rPr>
          <w:rFonts w:hint="eastAsia" w:ascii="仿宋" w:hAnsi="仿宋" w:eastAsia="仿宋" w:cs="仿宋"/>
          <w:b/>
          <w:bCs/>
          <w:color w:val="auto"/>
          <w:sz w:val="32"/>
          <w:szCs w:val="32"/>
        </w:rPr>
      </w:pPr>
    </w:p>
    <w:p>
      <w:pPr>
        <w:pStyle w:val="37"/>
        <w:ind w:firstLine="321"/>
        <w:rPr>
          <w:rFonts w:hint="eastAsia" w:ascii="仿宋" w:hAnsi="仿宋" w:eastAsia="仿宋" w:cs="仿宋"/>
          <w:b/>
          <w:bCs/>
          <w:color w:val="auto"/>
          <w:sz w:val="32"/>
          <w:szCs w:val="32"/>
        </w:rPr>
      </w:pPr>
    </w:p>
    <w:p>
      <w:pPr>
        <w:pStyle w:val="37"/>
        <w:ind w:firstLine="321"/>
        <w:rPr>
          <w:rFonts w:hint="eastAsia" w:ascii="仿宋" w:hAnsi="仿宋" w:eastAsia="仿宋" w:cs="仿宋"/>
          <w:b/>
          <w:bCs/>
          <w:color w:val="auto"/>
          <w:sz w:val="32"/>
          <w:szCs w:val="32"/>
        </w:rPr>
      </w:pPr>
    </w:p>
    <w:p>
      <w:pPr>
        <w:pStyle w:val="37"/>
        <w:ind w:firstLine="321"/>
        <w:rPr>
          <w:rFonts w:hint="eastAsia" w:ascii="仿宋" w:hAnsi="仿宋" w:eastAsia="仿宋" w:cs="仿宋"/>
          <w:b/>
          <w:bCs/>
          <w:color w:val="auto"/>
          <w:sz w:val="32"/>
          <w:szCs w:val="32"/>
        </w:rPr>
      </w:pPr>
    </w:p>
    <w:p>
      <w:pPr>
        <w:pStyle w:val="3"/>
        <w:snapToGrid w:val="0"/>
        <w:spacing w:line="360" w:lineRule="auto"/>
        <w:ind w:left="420" w:leftChars="200"/>
        <w:jc w:val="center"/>
        <w:rPr>
          <w:rFonts w:hint="eastAsia" w:ascii="仿宋" w:hAnsi="仿宋" w:eastAsia="仿宋" w:cs="仿宋"/>
          <w:b/>
          <w:bCs w:val="0"/>
          <w:color w:val="auto"/>
          <w:w w:val="95"/>
          <w:kern w:val="2"/>
          <w:sz w:val="28"/>
          <w:szCs w:val="28"/>
          <w:lang w:val="en-US" w:eastAsia="zh-CN" w:bidi="ar-SA"/>
        </w:rPr>
      </w:pPr>
      <w:bookmarkStart w:id="16" w:name="_Toc14913"/>
      <w:bookmarkStart w:id="17" w:name="_Toc17640"/>
      <w:bookmarkStart w:id="18" w:name="_Toc24202"/>
      <w:r>
        <w:rPr>
          <w:rFonts w:hint="eastAsia" w:ascii="仿宋" w:hAnsi="仿宋" w:eastAsia="仿宋" w:cs="仿宋"/>
          <w:b/>
          <w:bCs w:val="0"/>
          <w:color w:val="auto"/>
          <w:w w:val="95"/>
          <w:kern w:val="2"/>
          <w:sz w:val="28"/>
          <w:szCs w:val="28"/>
          <w:lang w:val="en-US" w:eastAsia="zh-CN" w:bidi="ar-SA"/>
        </w:rPr>
        <w:t>一、</w:t>
      </w:r>
      <w:bookmarkEnd w:id="14"/>
      <w:bookmarkEnd w:id="15"/>
      <w:bookmarkEnd w:id="16"/>
      <w:bookmarkEnd w:id="17"/>
      <w:r>
        <w:rPr>
          <w:rFonts w:hint="eastAsia" w:ascii="仿宋" w:hAnsi="仿宋" w:eastAsia="仿宋" w:cs="仿宋"/>
          <w:b/>
          <w:bCs w:val="0"/>
          <w:color w:val="auto"/>
          <w:w w:val="95"/>
          <w:kern w:val="2"/>
          <w:sz w:val="28"/>
          <w:szCs w:val="28"/>
          <w:lang w:val="en-US" w:eastAsia="zh-CN" w:bidi="ar-SA"/>
        </w:rPr>
        <w:t>供应商须知资料表</w:t>
      </w:r>
      <w:bookmarkEnd w:id="18"/>
    </w:p>
    <w:p>
      <w:pPr>
        <w:adjustRightInd w:val="0"/>
        <w:snapToGrid w:val="0"/>
        <w:spacing w:line="360" w:lineRule="auto"/>
        <w:rPr>
          <w:rFonts w:hint="eastAsia" w:ascii="仿宋" w:hAnsi="仿宋" w:eastAsia="仿宋" w:cs="仿宋"/>
          <w:b/>
          <w:bCs/>
          <w:color w:val="auto"/>
          <w:w w:val="95"/>
          <w:sz w:val="21"/>
          <w:szCs w:val="21"/>
        </w:rPr>
      </w:pPr>
      <w:r>
        <w:rPr>
          <w:rFonts w:hint="eastAsia" w:ascii="仿宋" w:hAnsi="仿宋" w:eastAsia="仿宋" w:cs="仿宋"/>
          <w:b/>
          <w:bCs/>
          <w:color w:val="auto"/>
          <w:sz w:val="21"/>
          <w:szCs w:val="21"/>
        </w:rPr>
        <w:t>本表关于本项目的服务的具体资料是对供应商须知的具体补充和修改。</w:t>
      </w:r>
    </w:p>
    <w:tbl>
      <w:tblPr>
        <w:tblStyle w:val="39"/>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项号</w:t>
            </w:r>
          </w:p>
        </w:tc>
        <w:tc>
          <w:tcPr>
            <w:tcW w:w="8507" w:type="dxa"/>
            <w:vAlign w:val="center"/>
          </w:tcPr>
          <w:p>
            <w:pPr>
              <w:pStyle w:val="20"/>
              <w:snapToGrid w:val="0"/>
              <w:spacing w:line="240" w:lineRule="auto"/>
              <w:jc w:val="center"/>
              <w:rPr>
                <w:rFonts w:hint="eastAsia" w:ascii="仿宋" w:hAnsi="仿宋" w:eastAsia="仿宋" w:cs="仿宋"/>
                <w:bCs/>
                <w:color w:val="auto"/>
                <w:szCs w:val="21"/>
                <w:lang w:bidi="ar"/>
              </w:rPr>
            </w:pPr>
            <w:r>
              <w:rPr>
                <w:rFonts w:hint="eastAsia" w:ascii="仿宋" w:hAnsi="仿宋" w:eastAsia="仿宋" w:cs="仿宋"/>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1</w:t>
            </w:r>
          </w:p>
        </w:tc>
        <w:tc>
          <w:tcPr>
            <w:tcW w:w="8507" w:type="dxa"/>
            <w:vAlign w:val="center"/>
          </w:tcPr>
          <w:p>
            <w:pPr>
              <w:pStyle w:val="20"/>
              <w:snapToGrid w:val="0"/>
              <w:spacing w:line="240" w:lineRule="auto"/>
              <w:ind w:firstLine="420" w:firstLineChars="200"/>
              <w:rPr>
                <w:rFonts w:hint="eastAsia" w:ascii="仿宋" w:hAnsi="仿宋" w:eastAsia="仿宋" w:cs="仿宋"/>
                <w:bCs/>
                <w:color w:val="auto"/>
                <w:szCs w:val="21"/>
                <w:lang w:eastAsia="zh-CN" w:bidi="ar"/>
              </w:rPr>
            </w:pPr>
            <w:r>
              <w:rPr>
                <w:rFonts w:hint="eastAsia" w:ascii="仿宋" w:hAnsi="仿宋" w:eastAsia="仿宋" w:cs="仿宋"/>
                <w:bCs/>
                <w:color w:val="auto"/>
                <w:szCs w:val="21"/>
                <w:lang w:bidi="ar"/>
              </w:rPr>
              <w:t>项目名称：</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2023年电梯维保</w:t>
            </w:r>
            <w:r>
              <w:rPr>
                <w:rFonts w:hint="eastAsia" w:ascii="仿宋" w:hAnsi="仿宋" w:eastAsia="仿宋" w:cs="仿宋"/>
                <w:color w:val="auto"/>
                <w:sz w:val="21"/>
                <w:szCs w:val="21"/>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2</w:t>
            </w:r>
          </w:p>
        </w:tc>
        <w:tc>
          <w:tcPr>
            <w:tcW w:w="8507" w:type="dxa"/>
            <w:vAlign w:val="center"/>
          </w:tcPr>
          <w:p>
            <w:pPr>
              <w:pStyle w:val="20"/>
              <w:snapToGrid w:val="0"/>
              <w:spacing w:line="240" w:lineRule="auto"/>
              <w:ind w:firstLine="420" w:firstLineChars="200"/>
              <w:rPr>
                <w:rFonts w:hint="default" w:ascii="仿宋" w:hAnsi="仿宋" w:eastAsia="仿宋" w:cs="仿宋"/>
                <w:bCs/>
                <w:color w:val="auto"/>
                <w:szCs w:val="21"/>
                <w:lang w:val="en-US" w:eastAsia="zh-CN" w:bidi="ar"/>
              </w:rPr>
            </w:pPr>
            <w:r>
              <w:rPr>
                <w:rFonts w:hint="eastAsia" w:ascii="仿宋" w:hAnsi="仿宋" w:eastAsia="仿宋" w:cs="仿宋"/>
                <w:bCs/>
                <w:color w:val="auto"/>
                <w:szCs w:val="21"/>
                <w:lang w:bidi="ar"/>
              </w:rPr>
              <w:t>磋商内容：</w:t>
            </w:r>
            <w:r>
              <w:rPr>
                <w:rFonts w:hint="eastAsia" w:ascii="仿宋" w:hAnsi="仿宋" w:eastAsia="仿宋" w:cs="仿宋"/>
                <w:color w:val="auto"/>
                <w:sz w:val="21"/>
                <w:szCs w:val="21"/>
                <w:lang w:val="en-US" w:eastAsia="zh-CN"/>
              </w:rPr>
              <w:t>电梯维保        项目预算：7.5万元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3</w:t>
            </w:r>
          </w:p>
        </w:tc>
        <w:tc>
          <w:tcPr>
            <w:tcW w:w="8507" w:type="dxa"/>
            <w:vAlign w:val="center"/>
          </w:tcPr>
          <w:p>
            <w:pPr>
              <w:numPr>
                <w:ilvl w:val="0"/>
                <w:numId w:val="0"/>
              </w:numPr>
              <w:snapToGrid w:val="0"/>
              <w:spacing w:line="360" w:lineRule="auto"/>
              <w:rPr>
                <w:rFonts w:hint="default" w:ascii="仿宋" w:hAnsi="仿宋" w:eastAsia="仿宋" w:cs="仿宋"/>
                <w:bCs/>
                <w:color w:val="auto"/>
                <w:szCs w:val="21"/>
                <w:lang w:val="en-US" w:eastAsia="zh-CN" w:bidi="ar"/>
              </w:rPr>
            </w:pPr>
            <w:r>
              <w:rPr>
                <w:rFonts w:hint="eastAsia" w:ascii="仿宋" w:hAnsi="仿宋" w:eastAsia="仿宋" w:cs="仿宋"/>
                <w:bCs/>
                <w:color w:val="auto"/>
                <w:szCs w:val="21"/>
                <w:lang w:val="en-US" w:eastAsia="zh-CN" w:bidi="ar"/>
              </w:rPr>
              <w:t xml:space="preserve">    服务期限：一年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4</w:t>
            </w:r>
          </w:p>
        </w:tc>
        <w:tc>
          <w:tcPr>
            <w:tcW w:w="8507" w:type="dxa"/>
            <w:vAlign w:val="center"/>
          </w:tcPr>
          <w:p>
            <w:pPr>
              <w:pStyle w:val="20"/>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color w:val="auto"/>
                <w:sz w:val="21"/>
                <w:szCs w:val="21"/>
                <w:lang w:val="en-US" w:eastAsia="zh-CN"/>
              </w:rPr>
              <w:t xml:space="preserve"> 项目预算：7.5万元</w:t>
            </w:r>
            <w:bookmarkStart w:id="154" w:name="_GoBack"/>
            <w:bookmarkEnd w:id="1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5</w:t>
            </w:r>
          </w:p>
        </w:tc>
        <w:tc>
          <w:tcPr>
            <w:tcW w:w="8507" w:type="dxa"/>
            <w:vAlign w:val="center"/>
          </w:tcPr>
          <w:p>
            <w:pPr>
              <w:pStyle w:val="20"/>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bidi="ar"/>
              </w:rPr>
              <w:t>投标有效期：</w:t>
            </w:r>
            <w:r>
              <w:rPr>
                <w:rFonts w:hint="eastAsia" w:ascii="仿宋" w:hAnsi="仿宋" w:eastAsia="仿宋" w:cs="仿宋"/>
                <w:bCs/>
                <w:color w:val="auto"/>
                <w:szCs w:val="21"/>
                <w:u w:val="single"/>
                <w:lang w:bidi="ar"/>
              </w:rPr>
              <w:t xml:space="preserve">90 </w:t>
            </w:r>
            <w:r>
              <w:rPr>
                <w:rFonts w:hint="eastAsia" w:ascii="仿宋" w:hAnsi="仿宋" w:eastAsia="仿宋" w:cs="仿宋"/>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6</w:t>
            </w:r>
          </w:p>
        </w:tc>
        <w:tc>
          <w:tcPr>
            <w:tcW w:w="8507" w:type="dxa"/>
            <w:vAlign w:val="center"/>
          </w:tcPr>
          <w:p>
            <w:pPr>
              <w:pStyle w:val="20"/>
              <w:snapToGrid w:val="0"/>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供应商资格要求：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1.供应商必须符合《中华人民共和国政府采购法》第二十二条要求；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2.供应商应是在中华人民共和国境内注册取得营业执照的独立法人或其他组织，具有相应经营范围；</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3.营业执照副本（复印件）；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4.法人代表身份证（正、反面复印件）；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5.法人授权函（原件）及被授权人身份证（正、反面复印件）；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6.资格承诺函</w:t>
            </w:r>
          </w:p>
          <w:p>
            <w:pPr>
              <w:ind w:firstLine="420" w:firstLineChars="200"/>
              <w:jc w:val="left"/>
              <w:rPr>
                <w:rFonts w:hint="default"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7.供应商应具有特种设备安装改造修理、机械设备维护业务范围的营业执照，须具备特种设备安装改造维修（电梯）B级及以上许可证（有效的旧证），或特种设备安装改造修理单位许可电梯安装（含修理）（新证）许可项目包含曳引驱动乘客电梯（含消防员电梯）。</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8.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9.本项目不接受联合体竞价。</w:t>
            </w:r>
          </w:p>
          <w:p>
            <w:pPr>
              <w:spacing w:line="240" w:lineRule="auto"/>
              <w:ind w:firstLine="420" w:firstLineChars="200"/>
              <w:rPr>
                <w:rFonts w:hint="eastAsia" w:ascii="仿宋" w:hAnsi="仿宋" w:eastAsia="仿宋" w:cs="仿宋"/>
                <w:bCs/>
                <w:color w:val="auto"/>
                <w:szCs w:val="21"/>
                <w:lang w:bidi="ar"/>
              </w:rPr>
            </w:pPr>
            <w:r>
              <w:rPr>
                <w:rFonts w:hint="eastAsia" w:ascii="仿宋" w:hAnsi="仿宋" w:eastAsia="仿宋" w:cs="仿宋"/>
                <w:color w:val="auto"/>
                <w:kern w:val="2"/>
                <w:sz w:val="21"/>
                <w:szCs w:val="21"/>
                <w:lang w:val="en-US" w:eastAsia="zh-CN" w:bidi="ar-SA"/>
              </w:rPr>
              <w:t>以上条款为本项目必须提供的文件，其中证书必须在有效期内(三证合一的不提供第4、5）项)，上述所有条款中的复印件必须加盖供</w:t>
            </w:r>
            <w:r>
              <w:rPr>
                <w:rFonts w:hint="eastAsia" w:ascii="仿宋" w:hAnsi="仿宋" w:eastAsia="仿宋" w:cs="仿宋"/>
                <w:color w:val="auto"/>
                <w:szCs w:val="21"/>
              </w:rPr>
              <w:t>应商公章。若法定代表人参加,须提供第4项，若法人授权人参加,须提供第4项和第5项。未按上述要求制作响应性文件的，将视为无效投标</w:t>
            </w:r>
            <w:r>
              <w:rPr>
                <w:rFonts w:hint="eastAsia" w:ascii="仿宋" w:hAnsi="仿宋" w:eastAsia="仿宋" w:cs="仿宋"/>
                <w:bCs/>
                <w:color w:val="auto"/>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7</w:t>
            </w:r>
          </w:p>
        </w:tc>
        <w:tc>
          <w:tcPr>
            <w:tcW w:w="8507" w:type="dxa"/>
            <w:vAlign w:val="center"/>
          </w:tcPr>
          <w:p>
            <w:pPr>
              <w:pStyle w:val="20"/>
              <w:snapToGrid w:val="0"/>
              <w:spacing w:line="360" w:lineRule="auto"/>
              <w:rPr>
                <w:rFonts w:hint="eastAsia" w:ascii="仿宋" w:hAnsi="仿宋" w:eastAsia="仿宋" w:cs="仿宋"/>
                <w:bCs/>
                <w:color w:val="auto"/>
                <w:szCs w:val="21"/>
                <w:lang w:bidi="ar"/>
              </w:rPr>
            </w:pPr>
            <w:r>
              <w:rPr>
                <w:rFonts w:hint="eastAsia" w:ascii="仿宋" w:hAnsi="仿宋" w:eastAsia="仿宋" w:cs="仿宋"/>
                <w:bCs/>
                <w:color w:val="auto"/>
                <w:szCs w:val="21"/>
                <w:lang w:bidi="ar"/>
              </w:rPr>
              <w:t>磋商响应文件及电子版要求：</w:t>
            </w:r>
          </w:p>
          <w:p>
            <w:pPr>
              <w:pStyle w:val="20"/>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val="zh-CN" w:bidi="ar"/>
              </w:rPr>
              <w:t>纸质文件</w:t>
            </w:r>
            <w:r>
              <w:rPr>
                <w:rFonts w:hint="eastAsia" w:ascii="仿宋" w:hAnsi="仿宋" w:eastAsia="仿宋" w:cs="仿宋"/>
                <w:bCs/>
                <w:color w:val="auto"/>
                <w:szCs w:val="21"/>
                <w:lang w:bidi="ar"/>
              </w:rPr>
              <w:t>份数：正本一套、副本二套；</w:t>
            </w:r>
          </w:p>
          <w:p>
            <w:pPr>
              <w:pStyle w:val="20"/>
              <w:snapToGrid w:val="0"/>
              <w:spacing w:line="360" w:lineRule="auto"/>
              <w:ind w:firstLine="420" w:firstLineChars="200"/>
              <w:rPr>
                <w:rFonts w:hint="eastAsia" w:ascii="仿宋" w:hAnsi="仿宋" w:eastAsia="仿宋" w:cs="仿宋"/>
                <w:b/>
                <w:color w:val="auto"/>
                <w:szCs w:val="21"/>
                <w:lang w:bidi="ar"/>
              </w:rPr>
            </w:pPr>
            <w:r>
              <w:rPr>
                <w:rFonts w:hint="eastAsia" w:ascii="仿宋" w:hAnsi="仿宋" w:eastAsia="仿宋" w:cs="仿宋"/>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8</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val="zh-CN"/>
              </w:rPr>
              <w:t>供应商必须按照磋商文件的规定和要求签字、盖章（法人代表的签字可用具有法定效力的签字章）</w:t>
            </w:r>
            <w:r>
              <w:rPr>
                <w:rFonts w:hint="eastAsia" w:ascii="仿宋" w:hAnsi="仿宋" w:eastAsia="仿宋" w:cs="仿宋"/>
                <w:color w:val="auto"/>
                <w:szCs w:val="21"/>
              </w:rPr>
              <w:t>,未按规定签字盖章的</w:t>
            </w:r>
            <w:r>
              <w:rPr>
                <w:rFonts w:hint="eastAsia" w:ascii="仿宋" w:hAnsi="仿宋" w:eastAsia="仿宋" w:cs="仿宋"/>
                <w:color w:val="auto"/>
                <w:kern w:val="0"/>
                <w:szCs w:val="21"/>
                <w:lang w:val="zh-CN"/>
              </w:rPr>
              <w:t>，按</w:t>
            </w:r>
            <w:r>
              <w:rPr>
                <w:rFonts w:hint="eastAsia" w:ascii="仿宋" w:hAnsi="仿宋" w:eastAsia="仿宋" w:cs="仿宋"/>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9</w:t>
            </w:r>
          </w:p>
        </w:tc>
        <w:tc>
          <w:tcPr>
            <w:tcW w:w="8507" w:type="dxa"/>
            <w:vAlign w:val="center"/>
          </w:tcPr>
          <w:p>
            <w:pPr>
              <w:spacing w:line="240" w:lineRule="auto"/>
              <w:rPr>
                <w:rFonts w:hint="eastAsia" w:ascii="仿宋" w:hAnsi="仿宋" w:eastAsia="仿宋" w:cs="仿宋"/>
                <w:color w:val="auto"/>
                <w:szCs w:val="21"/>
              </w:rPr>
            </w:pPr>
            <w:r>
              <w:rPr>
                <w:rFonts w:hint="eastAsia" w:ascii="仿宋" w:hAnsi="仿宋" w:eastAsia="仿宋" w:cs="仿宋"/>
                <w:color w:val="auto"/>
                <w:szCs w:val="21"/>
              </w:rPr>
              <w:t>磋商文件澄清:</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供应商于202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15</w:t>
            </w:r>
            <w:r>
              <w:rPr>
                <w:rFonts w:hint="eastAsia" w:ascii="仿宋" w:hAnsi="仿宋" w:eastAsia="仿宋" w:cs="仿宋"/>
                <w:color w:val="auto"/>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val="en-US" w:eastAsia="zh-CN" w:bidi="ar"/>
              </w:rPr>
            </w:pPr>
            <w:r>
              <w:rPr>
                <w:rFonts w:hint="eastAsia" w:ascii="仿宋" w:hAnsi="仿宋" w:eastAsia="仿宋" w:cs="仿宋"/>
                <w:b/>
                <w:color w:val="auto"/>
                <w:szCs w:val="21"/>
                <w:lang w:val="en-US" w:eastAsia="zh-CN" w:bidi="ar"/>
              </w:rPr>
              <w:t>10</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val="en-US" w:eastAsia="zh-CN" w:bidi="ar"/>
              </w:rPr>
            </w:pPr>
            <w:r>
              <w:rPr>
                <w:rFonts w:hint="eastAsia" w:ascii="仿宋" w:hAnsi="仿宋" w:eastAsia="仿宋" w:cs="仿宋"/>
                <w:b/>
                <w:color w:val="auto"/>
                <w:szCs w:val="21"/>
                <w:lang w:val="en-US" w:eastAsia="zh-CN" w:bidi="ar"/>
              </w:rPr>
              <w:t>11</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递交磋商文件地点、时间：</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递交磋商文件的地点：兰州职业技术学院综合楼</w:t>
            </w:r>
            <w:r>
              <w:rPr>
                <w:rFonts w:hint="eastAsia" w:ascii="仿宋" w:hAnsi="仿宋" w:eastAsia="仿宋" w:cs="仿宋"/>
                <w:color w:val="auto"/>
                <w:szCs w:val="21"/>
                <w:lang w:val="en-US" w:eastAsia="zh-CN"/>
              </w:rPr>
              <w:t>614</w:t>
            </w:r>
            <w:r>
              <w:rPr>
                <w:rFonts w:hint="eastAsia" w:ascii="仿宋" w:hAnsi="仿宋" w:eastAsia="仿宋" w:cs="仿宋"/>
                <w:color w:val="auto"/>
                <w:szCs w:val="21"/>
              </w:rPr>
              <w:t>会议室</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递交磋商文件时间：202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19</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14</w:t>
            </w:r>
            <w:r>
              <w:rPr>
                <w:rFonts w:hint="eastAsia" w:ascii="仿宋" w:hAnsi="仿宋" w:eastAsia="仿宋" w:cs="仿宋"/>
                <w:color w:val="auto"/>
                <w:szCs w:val="21"/>
              </w:rPr>
              <w:t>:</w:t>
            </w:r>
            <w:r>
              <w:rPr>
                <w:rFonts w:hint="eastAsia" w:ascii="仿宋" w:hAnsi="仿宋" w:eastAsia="仿宋" w:cs="仿宋"/>
                <w:color w:val="auto"/>
                <w:szCs w:val="21"/>
                <w:lang w:val="en-US" w:eastAsia="zh-CN"/>
              </w:rPr>
              <w:t>0</w:t>
            </w:r>
            <w:r>
              <w:rPr>
                <w:rFonts w:hint="eastAsia" w:ascii="仿宋" w:hAnsi="仿宋" w:eastAsia="仿宋" w:cs="仿宋"/>
                <w:color w:val="auto"/>
                <w:szCs w:val="21"/>
              </w:rPr>
              <w:t>0之前。</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val="zh-CN"/>
              </w:rPr>
              <w:t>必须在此时间前将</w:t>
            </w:r>
            <w:r>
              <w:rPr>
                <w:rFonts w:hint="eastAsia" w:ascii="仿宋" w:hAnsi="仿宋" w:eastAsia="仿宋" w:cs="仿宋"/>
                <w:color w:val="auto"/>
                <w:szCs w:val="21"/>
              </w:rPr>
              <w:t>磋商</w:t>
            </w:r>
            <w:r>
              <w:rPr>
                <w:rFonts w:hint="eastAsia" w:ascii="仿宋" w:hAnsi="仿宋" w:eastAsia="仿宋" w:cs="仿宋"/>
                <w:color w:val="auto"/>
                <w:szCs w:val="21"/>
                <w:lang w:val="zh-CN"/>
              </w:rPr>
              <w:t>文件、</w:t>
            </w:r>
            <w:r>
              <w:rPr>
                <w:rFonts w:hint="eastAsia" w:ascii="仿宋" w:hAnsi="仿宋" w:eastAsia="仿宋" w:cs="仿宋"/>
                <w:color w:val="auto"/>
                <w:szCs w:val="21"/>
              </w:rPr>
              <w:t>报价</w:t>
            </w:r>
            <w:r>
              <w:rPr>
                <w:rFonts w:hint="eastAsia" w:ascii="仿宋" w:hAnsi="仿宋" w:eastAsia="仿宋" w:cs="仿宋"/>
                <w:color w:val="auto"/>
                <w:szCs w:val="21"/>
                <w:lang w:val="zh-CN"/>
              </w:rPr>
              <w:t>一览表、</w:t>
            </w:r>
            <w:r>
              <w:rPr>
                <w:rFonts w:hint="eastAsia" w:ascii="仿宋" w:hAnsi="仿宋" w:eastAsia="仿宋" w:cs="仿宋"/>
                <w:color w:val="auto"/>
                <w:szCs w:val="21"/>
              </w:rPr>
              <w:t>电子文档等</w:t>
            </w:r>
            <w:r>
              <w:rPr>
                <w:rFonts w:hint="eastAsia" w:ascii="仿宋" w:hAnsi="仿宋" w:eastAsia="仿宋" w:cs="仿宋"/>
                <w:color w:val="auto"/>
                <w:szCs w:val="21"/>
                <w:lang w:val="zh-CN"/>
              </w:rPr>
              <w:t>文件按招标文件规定密封后送达开标地点，对迟于该时间递交的上述文件将不予接收，本次招标不接受邮寄的投标文件。</w:t>
            </w:r>
          </w:p>
        </w:tc>
      </w:tr>
    </w:tbl>
    <w:p>
      <w:pPr>
        <w:pStyle w:val="20"/>
        <w:spacing w:line="360" w:lineRule="auto"/>
        <w:outlineLvl w:val="1"/>
        <w:rPr>
          <w:rFonts w:hint="eastAsia" w:ascii="仿宋" w:hAnsi="仿宋" w:eastAsia="仿宋" w:cs="仿宋"/>
          <w:b/>
          <w:bCs/>
          <w:color w:val="auto"/>
          <w:sz w:val="32"/>
          <w:szCs w:val="32"/>
        </w:rPr>
      </w:pPr>
      <w:bookmarkStart w:id="19" w:name="_Toc361769631"/>
      <w:bookmarkStart w:id="20" w:name="_Toc361769765"/>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ind w:left="0" w:leftChars="0" w:firstLine="0" w:firstLineChars="0"/>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bookmarkEnd w:id="19"/>
    <w:bookmarkEnd w:id="20"/>
    <w:p>
      <w:pPr>
        <w:pStyle w:val="3"/>
        <w:snapToGrid w:val="0"/>
        <w:spacing w:line="360" w:lineRule="auto"/>
        <w:jc w:val="both"/>
        <w:rPr>
          <w:rFonts w:hint="eastAsia" w:ascii="仿宋" w:hAnsi="仿宋" w:eastAsia="仿宋" w:cs="仿宋"/>
          <w:b/>
          <w:bCs/>
          <w:color w:val="auto"/>
          <w:kern w:val="2"/>
          <w:sz w:val="24"/>
          <w:szCs w:val="24"/>
          <w:lang w:val="en-US" w:eastAsia="zh-CN" w:bidi="ar-SA"/>
        </w:rPr>
      </w:pPr>
      <w:bookmarkStart w:id="21" w:name="_Toc103602601"/>
      <w:bookmarkStart w:id="22" w:name="_Toc20828"/>
      <w:bookmarkStart w:id="23" w:name="_Toc420957350"/>
    </w:p>
    <w:p>
      <w:pPr>
        <w:pStyle w:val="3"/>
        <w:snapToGrid w:val="0"/>
        <w:spacing w:line="360" w:lineRule="auto"/>
        <w:ind w:firstLine="2891" w:firstLineChars="1200"/>
        <w:jc w:val="both"/>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二、供应商须知</w:t>
      </w:r>
      <w:bookmarkEnd w:id="21"/>
      <w:bookmarkEnd w:id="22"/>
      <w:bookmarkEnd w:id="23"/>
    </w:p>
    <w:p>
      <w:pPr>
        <w:spacing w:line="240" w:lineRule="auto"/>
        <w:rPr>
          <w:rFonts w:hint="eastAsia" w:ascii="仿宋" w:hAnsi="仿宋" w:eastAsia="仿宋" w:cs="仿宋"/>
          <w:b/>
          <w:bCs/>
          <w:color w:val="auto"/>
        </w:rPr>
      </w:pPr>
      <w:bookmarkStart w:id="24" w:name="_Toc103602602"/>
      <w:bookmarkStart w:id="25" w:name="_Toc420957351"/>
      <w:bookmarkStart w:id="26" w:name="_Toc520356143"/>
      <w:r>
        <w:rPr>
          <w:rFonts w:hint="eastAsia" w:ascii="仿宋" w:hAnsi="仿宋" w:eastAsia="仿宋" w:cs="仿宋"/>
          <w:b/>
          <w:bCs/>
          <w:color w:val="auto"/>
        </w:rPr>
        <w:t>一、说  明</w:t>
      </w:r>
      <w:bookmarkEnd w:id="24"/>
      <w:bookmarkEnd w:id="25"/>
      <w:bookmarkEnd w:id="26"/>
    </w:p>
    <w:p>
      <w:pPr>
        <w:spacing w:line="240" w:lineRule="auto"/>
        <w:ind w:firstLine="420" w:firstLineChars="200"/>
        <w:rPr>
          <w:rFonts w:hint="eastAsia" w:ascii="仿宋" w:hAnsi="仿宋" w:eastAsia="仿宋" w:cs="仿宋"/>
          <w:color w:val="auto"/>
        </w:rPr>
      </w:pPr>
      <w:bookmarkStart w:id="27" w:name="_Toc103602603"/>
      <w:bookmarkStart w:id="28" w:name="_Toc35423885"/>
      <w:bookmarkStart w:id="29" w:name="_Toc520356144"/>
      <w:bookmarkStart w:id="30" w:name="_Toc420957352"/>
      <w:r>
        <w:rPr>
          <w:rFonts w:hint="eastAsia" w:ascii="仿宋" w:hAnsi="仿宋" w:eastAsia="仿宋" w:cs="仿宋"/>
          <w:color w:val="auto"/>
        </w:rPr>
        <w:t>1</w:t>
      </w:r>
      <w:r>
        <w:rPr>
          <w:rFonts w:hint="eastAsia" w:ascii="仿宋" w:hAnsi="仿宋" w:eastAsia="仿宋" w:cs="仿宋"/>
          <w:color w:val="auto"/>
          <w:lang w:eastAsia="zh-CN"/>
        </w:rPr>
        <w:t>、</w:t>
      </w:r>
      <w:r>
        <w:rPr>
          <w:rFonts w:hint="eastAsia" w:ascii="仿宋" w:hAnsi="仿宋" w:eastAsia="仿宋" w:cs="仿宋"/>
          <w:color w:val="auto"/>
        </w:rPr>
        <w:t>招标采购单位及合格的投标人</w:t>
      </w:r>
      <w:bookmarkEnd w:id="27"/>
      <w:bookmarkEnd w:id="28"/>
      <w:bookmarkEnd w:id="29"/>
      <w:bookmarkEnd w:id="30"/>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1.1招标采购单位：系指本项目中“采购人”。</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1.2满足以下条件的投标人是合格的投标人，可以参加本次投标：</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1.2.1不接受联合体投标。</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1.2.2投标人必须</w:t>
      </w:r>
      <w:r>
        <w:rPr>
          <w:rFonts w:hint="eastAsia" w:ascii="仿宋" w:hAnsi="仿宋" w:eastAsia="仿宋" w:cs="仿宋"/>
          <w:color w:val="auto"/>
          <w:lang w:val="en-US" w:eastAsia="zh-CN"/>
        </w:rPr>
        <w:t>报名</w:t>
      </w:r>
      <w:r>
        <w:rPr>
          <w:rFonts w:hint="eastAsia" w:ascii="仿宋" w:hAnsi="仿宋" w:eastAsia="仿宋" w:cs="仿宋"/>
          <w:color w:val="auto"/>
        </w:rPr>
        <w:t>并登记备案，否则无资格参加本次投标。</w:t>
      </w:r>
    </w:p>
    <w:p>
      <w:pPr>
        <w:spacing w:line="240" w:lineRule="auto"/>
        <w:ind w:firstLine="420" w:firstLineChars="200"/>
        <w:rPr>
          <w:rFonts w:hint="eastAsia" w:ascii="仿宋" w:hAnsi="仿宋" w:eastAsia="仿宋" w:cs="仿宋"/>
          <w:color w:val="auto"/>
        </w:rPr>
      </w:pPr>
      <w:bookmarkStart w:id="31" w:name="_Toc420957353"/>
      <w:bookmarkStart w:id="32" w:name="_Toc103602604"/>
      <w:bookmarkStart w:id="33" w:name="_Toc35423886"/>
      <w:r>
        <w:rPr>
          <w:rFonts w:hint="eastAsia" w:ascii="仿宋" w:hAnsi="仿宋" w:eastAsia="仿宋" w:cs="仿宋"/>
          <w:color w:val="auto"/>
        </w:rPr>
        <w:t>2</w:t>
      </w:r>
      <w:bookmarkEnd w:id="31"/>
      <w:bookmarkStart w:id="34" w:name="_Toc420957354"/>
      <w:bookmarkStart w:id="35" w:name="_Toc520356145"/>
      <w:r>
        <w:rPr>
          <w:rFonts w:hint="eastAsia" w:ascii="仿宋" w:hAnsi="仿宋" w:eastAsia="仿宋" w:cs="仿宋"/>
          <w:color w:val="auto"/>
          <w:lang w:eastAsia="zh-CN"/>
        </w:rPr>
        <w:t>、</w:t>
      </w:r>
      <w:r>
        <w:rPr>
          <w:rFonts w:hint="eastAsia" w:ascii="仿宋" w:hAnsi="仿宋" w:eastAsia="仿宋" w:cs="仿宋"/>
          <w:color w:val="auto"/>
        </w:rPr>
        <w:t>合格的服务</w:t>
      </w:r>
      <w:bookmarkEnd w:id="32"/>
      <w:bookmarkEnd w:id="33"/>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2.1服务系指磋商文件规定的投标人须承担的与招标有关的各项服务以及其他类似的义务。</w:t>
      </w:r>
    </w:p>
    <w:p>
      <w:pPr>
        <w:spacing w:line="240" w:lineRule="auto"/>
        <w:ind w:firstLine="420" w:firstLineChars="200"/>
        <w:rPr>
          <w:rFonts w:hint="eastAsia" w:ascii="仿宋" w:hAnsi="仿宋" w:eastAsia="仿宋" w:cs="仿宋"/>
          <w:color w:val="auto"/>
        </w:rPr>
      </w:pPr>
      <w:bookmarkStart w:id="36" w:name="_Toc35423887"/>
      <w:bookmarkStart w:id="37" w:name="_Toc103602605"/>
      <w:r>
        <w:rPr>
          <w:rFonts w:hint="eastAsia" w:ascii="仿宋" w:hAnsi="仿宋" w:eastAsia="仿宋" w:cs="仿宋"/>
          <w:color w:val="auto"/>
        </w:rPr>
        <w:t>3</w:t>
      </w:r>
      <w:r>
        <w:rPr>
          <w:rFonts w:hint="eastAsia" w:ascii="仿宋" w:hAnsi="仿宋" w:eastAsia="仿宋" w:cs="仿宋"/>
          <w:color w:val="auto"/>
          <w:lang w:eastAsia="zh-CN"/>
        </w:rPr>
        <w:t>、</w:t>
      </w:r>
      <w:r>
        <w:rPr>
          <w:rFonts w:hint="eastAsia" w:ascii="仿宋" w:hAnsi="仿宋" w:eastAsia="仿宋" w:cs="仿宋"/>
          <w:color w:val="auto"/>
        </w:rPr>
        <w:t>投标费用</w:t>
      </w:r>
      <w:bookmarkEnd w:id="34"/>
      <w:bookmarkEnd w:id="35"/>
      <w:bookmarkEnd w:id="36"/>
      <w:bookmarkEnd w:id="37"/>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3.1投标人应承担所有与准备和参加投标有关的费用，不论投标的结果如何，招标采购单位均无承担的义务和责任。</w:t>
      </w:r>
    </w:p>
    <w:p>
      <w:pPr>
        <w:spacing w:line="240" w:lineRule="auto"/>
        <w:rPr>
          <w:rFonts w:hint="eastAsia" w:ascii="仿宋" w:hAnsi="仿宋" w:eastAsia="仿宋" w:cs="仿宋"/>
          <w:b/>
          <w:bCs/>
          <w:color w:val="auto"/>
        </w:rPr>
      </w:pPr>
      <w:bookmarkStart w:id="38" w:name="_Toc420957355"/>
      <w:bookmarkStart w:id="39" w:name="_Toc520356146"/>
      <w:bookmarkStart w:id="40" w:name="_Toc103602606"/>
      <w:r>
        <w:rPr>
          <w:rFonts w:hint="eastAsia" w:ascii="仿宋" w:hAnsi="仿宋" w:eastAsia="仿宋" w:cs="仿宋"/>
          <w:b/>
          <w:bCs/>
          <w:color w:val="auto"/>
        </w:rPr>
        <w:t>二、</w:t>
      </w:r>
      <w:bookmarkEnd w:id="38"/>
      <w:bookmarkEnd w:id="39"/>
      <w:bookmarkStart w:id="41" w:name="_Toc520356150"/>
      <w:bookmarkStart w:id="42" w:name="_Toc516367020"/>
      <w:r>
        <w:rPr>
          <w:rFonts w:hint="eastAsia" w:ascii="仿宋" w:hAnsi="仿宋" w:eastAsia="仿宋" w:cs="仿宋"/>
          <w:b/>
          <w:bCs/>
          <w:color w:val="auto"/>
        </w:rPr>
        <w:t>竞争性磋商文件</w:t>
      </w:r>
      <w:bookmarkEnd w:id="40"/>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4、竞争性磋商文件构成</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4.1竞争性磋商文件包括：</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(1)竞争性磋商公告</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(2)供应商须知及前附表</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(3)合同条款及合同格式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(4)竞争性磋商响应文件格式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(5)采购需求</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4.2供应商应仔细阅读竞争性磋商文件中的所有内容。如果供应商未按竞争性磋商文件要求提供全部资料或提交的竞争性磋商响应文件没有对竞争性磋商文件做出实质性响应，那么供应商将承担其风险，并有可能导致竞争性磋商响应文件被拒绝。</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4.3竞争性磋商文件的最终解释权归代理机构所有。</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5、竞争性磋商文件的澄清</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5.1任何要求对竞争性磋商文件进行澄清的供应商，均应在投标截止日期五天前按投标邀请书中的通讯地址以书面形式如信函、电报、电传、传真等通知招标代理机构，招标代理机构对投标截止日期前五天收到的任何澄清要求将以书面形式予以答复，同时将书面答复寄送每个购买竞争性磋商文件的供应商，答复中包括所问问题，但不包括问题的来源。</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6、竞争性磋商文件的修改</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6.1在投标截止期前的任何时候，无论出于何种原因，招标代理机构可主动地或在解答供应商提出的澄清问题时对竞争性磋商文件进行修改。</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6.2 竞争性磋商文件的修改将以书面形式包括</w:t>
      </w:r>
      <w:r>
        <w:rPr>
          <w:rFonts w:hint="eastAsia" w:ascii="仿宋" w:hAnsi="仿宋" w:eastAsia="仿宋" w:cs="仿宋"/>
          <w:color w:val="auto"/>
          <w:lang w:val="en-US" w:eastAsia="zh-CN"/>
        </w:rPr>
        <w:t>电子邮件</w:t>
      </w:r>
      <w:r>
        <w:rPr>
          <w:rFonts w:hint="eastAsia" w:ascii="仿宋" w:hAnsi="仿宋" w:eastAsia="仿宋" w:cs="仿宋"/>
          <w:color w:val="auto"/>
        </w:rPr>
        <w:t>，通知所有购买竞争性磋商文件的供应商，并对其具有约束力，供应商应立即以</w:t>
      </w:r>
      <w:r>
        <w:rPr>
          <w:rFonts w:hint="eastAsia" w:ascii="仿宋" w:hAnsi="仿宋" w:eastAsia="仿宋" w:cs="仿宋"/>
          <w:color w:val="auto"/>
          <w:lang w:val="en-US" w:eastAsia="zh-CN"/>
        </w:rPr>
        <w:t>电子邮件</w:t>
      </w:r>
      <w:r>
        <w:rPr>
          <w:rFonts w:hint="eastAsia" w:ascii="仿宋" w:hAnsi="仿宋" w:eastAsia="仿宋" w:cs="仿宋"/>
          <w:color w:val="auto"/>
        </w:rPr>
        <w:t>形式确认已收到修改文件。</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6.3 为使供应商编写投标书时有充分时间对竞争性磋商文件的修改部分进行研究，招标代理机构可酌情延长投标截止日期，并通知每一个供应商。</w:t>
      </w:r>
    </w:p>
    <w:p>
      <w:pPr>
        <w:spacing w:line="240" w:lineRule="auto"/>
        <w:ind w:firstLine="420" w:firstLineChars="200"/>
        <w:rPr>
          <w:rFonts w:hint="eastAsia" w:ascii="仿宋" w:hAnsi="仿宋" w:eastAsia="仿宋" w:cs="仿宋"/>
          <w:color w:val="auto"/>
        </w:rPr>
      </w:pPr>
      <w:bookmarkStart w:id="43" w:name="_Toc420957359"/>
      <w:bookmarkStart w:id="44" w:name="_Toc103602607"/>
      <w:r>
        <w:rPr>
          <w:rFonts w:hint="eastAsia" w:ascii="仿宋" w:hAnsi="仿宋" w:eastAsia="仿宋" w:cs="仿宋"/>
          <w:color w:val="auto"/>
        </w:rPr>
        <w:t>三、</w:t>
      </w:r>
      <w:bookmarkEnd w:id="41"/>
      <w:bookmarkEnd w:id="42"/>
      <w:bookmarkEnd w:id="43"/>
      <w:r>
        <w:rPr>
          <w:rFonts w:hint="eastAsia" w:ascii="仿宋" w:hAnsi="仿宋" w:eastAsia="仿宋" w:cs="仿宋"/>
          <w:color w:val="auto"/>
        </w:rPr>
        <w:t>竞争性磋商响应性文件的编制</w:t>
      </w:r>
      <w:bookmarkEnd w:id="44"/>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7、投标的语言及度量衡</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7.1供应商提交的磋商响应性文件以及供应商和招标代理机构就投标交换的文件和来往信件均应使用中文。</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7.2除在技术文件中另有规定外，度量衡单位应使用公制单位。</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8、竞争性磋商响应性文件的组成</w:t>
      </w:r>
    </w:p>
    <w:p>
      <w:pPr>
        <w:spacing w:line="240" w:lineRule="auto"/>
        <w:ind w:firstLine="420" w:firstLineChars="200"/>
        <w:rPr>
          <w:rFonts w:hint="eastAsia" w:ascii="仿宋" w:hAnsi="仿宋" w:eastAsia="仿宋" w:cs="仿宋"/>
          <w:color w:val="auto"/>
        </w:rPr>
      </w:pPr>
      <w:bookmarkStart w:id="45" w:name="_Ref467052588"/>
      <w:r>
        <w:rPr>
          <w:rFonts w:hint="eastAsia" w:ascii="仿宋" w:hAnsi="仿宋" w:eastAsia="仿宋" w:cs="仿宋"/>
          <w:color w:val="auto"/>
        </w:rPr>
        <w:t>8.1投标人应完整地按招标文件提供的投标文件格式填写投标文件，投标文件按A4幅面装订（胶装，封面装订材料不限），须编写方便查阅的文件目录，并逐页标明页码。投标文件应包括以下内容：</w:t>
      </w:r>
      <w:bookmarkEnd w:id="45"/>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1、商务部分</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附件1投标书（格式）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附件2 开标一览表（格式）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附件3 投标人服务团队人员一览表（格式）</w:t>
      </w:r>
    </w:p>
    <w:p>
      <w:pPr>
        <w:spacing w:line="24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rPr>
        <w:t>附件</w:t>
      </w:r>
      <w:r>
        <w:rPr>
          <w:rFonts w:hint="eastAsia" w:ascii="仿宋" w:hAnsi="仿宋" w:eastAsia="仿宋" w:cs="仿宋"/>
          <w:color w:val="auto"/>
          <w:lang w:val="en-US" w:eastAsia="zh-CN"/>
        </w:rPr>
        <w:t>4</w:t>
      </w:r>
      <w:r>
        <w:rPr>
          <w:rFonts w:hint="eastAsia" w:ascii="仿宋" w:hAnsi="仿宋" w:eastAsia="仿宋" w:cs="仿宋"/>
          <w:color w:val="auto"/>
        </w:rPr>
        <w:t xml:space="preserve"> </w:t>
      </w:r>
      <w:r>
        <w:rPr>
          <w:rFonts w:hint="eastAsia" w:ascii="仿宋" w:hAnsi="仿宋" w:eastAsia="仿宋" w:cs="仿宋"/>
          <w:color w:val="auto"/>
          <w:lang w:val="en-US" w:eastAsia="zh-CN"/>
        </w:rPr>
        <w:t>服务方案</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w:t>
      </w:r>
      <w:r>
        <w:rPr>
          <w:rFonts w:hint="eastAsia" w:ascii="仿宋" w:hAnsi="仿宋" w:eastAsia="仿宋" w:cs="仿宋"/>
          <w:color w:val="auto"/>
          <w:lang w:val="en-US" w:eastAsia="zh-CN"/>
        </w:rPr>
        <w:t>5</w:t>
      </w:r>
      <w:r>
        <w:rPr>
          <w:rFonts w:hint="eastAsia" w:ascii="仿宋" w:hAnsi="仿宋" w:eastAsia="仿宋" w:cs="仿宋"/>
          <w:color w:val="auto"/>
        </w:rPr>
        <w:t xml:space="preserve"> 业绩表</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w:t>
      </w:r>
      <w:r>
        <w:rPr>
          <w:rFonts w:hint="eastAsia" w:ascii="仿宋" w:hAnsi="仿宋" w:eastAsia="仿宋" w:cs="仿宋"/>
          <w:color w:val="auto"/>
          <w:lang w:val="en-US" w:eastAsia="zh-CN"/>
        </w:rPr>
        <w:t>6</w:t>
      </w:r>
      <w:r>
        <w:rPr>
          <w:rFonts w:hint="eastAsia" w:ascii="仿宋" w:hAnsi="仿宋" w:eastAsia="仿宋" w:cs="仿宋"/>
          <w:color w:val="auto"/>
        </w:rPr>
        <w:t xml:space="preserve"> 资格证明文件（格式）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2、技术部分（格式自拟）</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9、竞争性磋商响应性文件格式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9.1竞争性磋商响应文件包括本须知中规定的内容，供应商提交的竞争性磋商响应文件应当使用竞争性磋商文件所提供的竞争性磋商响应文件全部格式。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9.2供应商应将磋商响应性文件按规定的顺序编排、并应编制目录、逐页标注连续页码，并装订成册。</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10、磋商报价</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10.1供应商应在竞争性磋商响应文件</w:t>
      </w:r>
      <w:r>
        <w:rPr>
          <w:rFonts w:hint="eastAsia" w:ascii="仿宋" w:hAnsi="仿宋" w:eastAsia="仿宋" w:cs="仿宋"/>
          <w:color w:val="auto"/>
          <w:lang w:val="en-US" w:eastAsia="zh-CN"/>
        </w:rPr>
        <w:t>应按文件规定报出</w:t>
      </w:r>
      <w:r>
        <w:rPr>
          <w:rFonts w:hint="eastAsia" w:ascii="仿宋" w:hAnsi="仿宋" w:eastAsia="仿宋" w:cs="仿宋"/>
          <w:color w:val="auto"/>
        </w:rPr>
        <w:t>磋商报价。</w:t>
      </w:r>
    </w:p>
    <w:p>
      <w:pPr>
        <w:spacing w:line="240" w:lineRule="auto"/>
        <w:ind w:firstLine="420" w:firstLineChars="200"/>
        <w:rPr>
          <w:rFonts w:hint="eastAsia" w:ascii="仿宋" w:hAnsi="仿宋" w:eastAsia="仿宋" w:cs="仿宋"/>
          <w:color w:val="auto"/>
          <w:lang w:eastAsia="zh-CN"/>
        </w:rPr>
      </w:pPr>
      <w:r>
        <w:rPr>
          <w:rFonts w:hint="eastAsia" w:ascii="仿宋" w:hAnsi="仿宋" w:eastAsia="仿宋" w:cs="仿宋"/>
          <w:color w:val="auto"/>
        </w:rPr>
        <w:t>10.2磋商报价为最终报价</w:t>
      </w:r>
      <w:r>
        <w:rPr>
          <w:rFonts w:hint="eastAsia" w:ascii="仿宋" w:hAnsi="仿宋" w:eastAsia="仿宋" w:cs="仿宋"/>
          <w:color w:val="auto"/>
          <w:lang w:eastAsia="zh-CN"/>
        </w:rPr>
        <w:t>。</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、投标有效期</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.1所投的标应从磋商之日起</w:t>
      </w:r>
      <w:r>
        <w:rPr>
          <w:rFonts w:hint="eastAsia" w:ascii="仿宋" w:hAnsi="仿宋" w:eastAsia="仿宋" w:cs="仿宋"/>
          <w:color w:val="auto"/>
          <w:lang w:val="en-US" w:eastAsia="zh-CN"/>
        </w:rPr>
        <w:t>90</w:t>
      </w:r>
      <w:r>
        <w:rPr>
          <w:rFonts w:hint="eastAsia" w:ascii="仿宋" w:hAnsi="仿宋" w:eastAsia="仿宋" w:cs="仿宋"/>
          <w:color w:val="auto"/>
        </w:rPr>
        <w:t>天内有效。</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12</w:t>
      </w:r>
      <w:r>
        <w:rPr>
          <w:rFonts w:hint="eastAsia" w:ascii="仿宋" w:hAnsi="仿宋" w:eastAsia="仿宋" w:cs="仿宋"/>
          <w:color w:val="auto"/>
        </w:rPr>
        <w:t>、</w:t>
      </w:r>
      <w:r>
        <w:rPr>
          <w:rFonts w:hint="eastAsia" w:ascii="仿宋" w:hAnsi="仿宋" w:eastAsia="仿宋" w:cs="仿宋"/>
          <w:color w:val="auto"/>
          <w:lang w:val="en-US" w:eastAsia="zh-CN"/>
        </w:rPr>
        <w:t>磋商响应文件</w:t>
      </w:r>
      <w:r>
        <w:rPr>
          <w:rFonts w:hint="eastAsia" w:ascii="仿宋" w:hAnsi="仿宋" w:eastAsia="仿宋" w:cs="仿宋"/>
          <w:color w:val="auto"/>
        </w:rPr>
        <w:t>的式样和签署</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12</w:t>
      </w:r>
      <w:r>
        <w:rPr>
          <w:rFonts w:hint="eastAsia" w:ascii="仿宋" w:hAnsi="仿宋" w:eastAsia="仿宋" w:cs="仿宋"/>
          <w:color w:val="auto"/>
        </w:rPr>
        <w:t>.1供应商应提交一份竞争性磋商响应文件正本、二份竞争性磋商响应文件副本、一份竞争性磋商响应文件电子版（U盘一份，提交不退，电子文档内容与竞争性磋商响应文件正本一致，为PDF版本加盖公章），每套竞争性磋商响应文件须清楚地标明“正本”、“副本”、“U盘电子版”。一旦正本与副本不符，以正本为准。</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12</w:t>
      </w:r>
      <w:r>
        <w:rPr>
          <w:rFonts w:hint="eastAsia" w:ascii="仿宋" w:hAnsi="仿宋" w:eastAsia="仿宋" w:cs="仿宋"/>
          <w:color w:val="auto"/>
        </w:rPr>
        <w:t>.2竞争性磋商响应文件的正本需打印，并由供应商或经正式授权的代表在竞争性磋商响应文件上签字。除没有修改过的印刷文献外，竞争性磋商响应文件的每一页都应由供应商或其授权代表用姓或首字母签字。竞争性磋商响应文件的副本可采用正本的复印件。</w:t>
      </w:r>
    </w:p>
    <w:p>
      <w:pPr>
        <w:spacing w:line="240" w:lineRule="auto"/>
        <w:ind w:firstLine="420" w:firstLineChars="200"/>
        <w:rPr>
          <w:rFonts w:hint="eastAsia" w:ascii="仿宋" w:hAnsi="仿宋" w:eastAsia="仿宋" w:cs="仿宋"/>
          <w:color w:val="auto"/>
          <w:lang w:val="en-US" w:eastAsia="zh-CN"/>
        </w:rPr>
      </w:pPr>
      <w:bookmarkStart w:id="46" w:name="_Toc103602608"/>
      <w:r>
        <w:rPr>
          <w:rFonts w:hint="eastAsia" w:ascii="仿宋" w:hAnsi="仿宋" w:eastAsia="仿宋" w:cs="仿宋"/>
          <w:color w:val="auto"/>
          <w:lang w:val="en-US" w:eastAsia="zh-CN"/>
        </w:rPr>
        <w:t>12.3任何行间插字、涂改或增删，必须由竞争性磋商响应文件签字人姓或首字母在旁边签字才有效。</w:t>
      </w:r>
      <w:bookmarkEnd w:id="46"/>
    </w:p>
    <w:p>
      <w:pPr>
        <w:spacing w:line="240" w:lineRule="auto"/>
        <w:ind w:firstLine="420" w:firstLineChars="200"/>
        <w:rPr>
          <w:rFonts w:hint="eastAsia" w:ascii="仿宋" w:hAnsi="仿宋" w:eastAsia="仿宋" w:cs="仿宋"/>
          <w:color w:val="auto"/>
        </w:rPr>
      </w:pPr>
      <w:bookmarkStart w:id="47" w:name="_Toc103602609"/>
      <w:bookmarkStart w:id="48" w:name="_Toc520356166"/>
      <w:bookmarkStart w:id="49" w:name="_Toc35423907"/>
      <w:bookmarkStart w:id="50" w:name="_Toc420957375"/>
      <w:r>
        <w:rPr>
          <w:rFonts w:hint="eastAsia" w:ascii="仿宋" w:hAnsi="仿宋" w:eastAsia="仿宋" w:cs="仿宋"/>
          <w:color w:val="auto"/>
        </w:rPr>
        <w:t>四</w:t>
      </w:r>
      <w:r>
        <w:rPr>
          <w:rFonts w:hint="eastAsia" w:ascii="仿宋" w:hAnsi="仿宋" w:eastAsia="仿宋" w:cs="仿宋"/>
          <w:color w:val="auto"/>
          <w:lang w:eastAsia="zh-CN"/>
        </w:rPr>
        <w:t>、</w:t>
      </w:r>
      <w:r>
        <w:rPr>
          <w:rFonts w:hint="eastAsia" w:ascii="仿宋" w:hAnsi="仿宋" w:eastAsia="仿宋" w:cs="仿宋"/>
          <w:color w:val="auto"/>
        </w:rPr>
        <w:t>竞争性磋商响应性文件的密封和递交</w:t>
      </w:r>
      <w:bookmarkEnd w:id="47"/>
    </w:p>
    <w:p>
      <w:pPr>
        <w:spacing w:line="36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13</w:t>
      </w:r>
      <w:r>
        <w:rPr>
          <w:rFonts w:hint="eastAsia" w:ascii="仿宋" w:hAnsi="仿宋" w:eastAsia="仿宋" w:cs="仿宋"/>
          <w:color w:val="auto"/>
        </w:rPr>
        <w:t>、竞争性磋商响应性文件的密封和标记</w:t>
      </w:r>
    </w:p>
    <w:p>
      <w:pPr>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.1供应商应将投标一览表和投标电子版（U盘、光盘）分别单独密封提交，并在信封上标明“投标一览表”、“投标电子版（U盘、光盘）”字样（见格式一）。</w:t>
      </w:r>
    </w:p>
    <w:p>
      <w:pPr>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.2供应商应将磋商响应性文件的正本、所有的副本以及U盘、光盘电子版分别用单独的信封密封，且在信封上标明“正本”、“副本” 、“U盘电子版”字样，然后再将所有信封封装在一个外层信封中。</w:t>
      </w:r>
    </w:p>
    <w:p>
      <w:pPr>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.2.1内外层封套均应：</w:t>
      </w:r>
    </w:p>
    <w:p>
      <w:pPr>
        <w:snapToGrid w:val="0"/>
        <w:spacing w:line="360" w:lineRule="auto"/>
        <w:ind w:left="753"/>
        <w:rPr>
          <w:rFonts w:hint="eastAsia" w:ascii="仿宋" w:hAnsi="仿宋" w:eastAsia="仿宋" w:cs="仿宋"/>
          <w:color w:val="auto"/>
          <w:sz w:val="21"/>
          <w:szCs w:val="21"/>
        </w:rPr>
      </w:pPr>
      <w:r>
        <w:rPr>
          <w:rFonts w:hint="eastAsia" w:ascii="仿宋" w:hAnsi="仿宋" w:eastAsia="仿宋" w:cs="仿宋"/>
          <w:color w:val="auto"/>
          <w:sz w:val="21"/>
          <w:szCs w:val="21"/>
        </w:rPr>
        <w:t>（1）清楚标明递交至“供应商须知前附表”中指明的地址。</w:t>
      </w:r>
    </w:p>
    <w:p>
      <w:pPr>
        <w:snapToGrid w:val="0"/>
        <w:spacing w:line="360" w:lineRule="auto"/>
        <w:ind w:left="1365" w:hanging="612"/>
        <w:rPr>
          <w:rFonts w:hint="eastAsia" w:ascii="仿宋" w:hAnsi="仿宋" w:eastAsia="仿宋" w:cs="仿宋"/>
          <w:color w:val="auto"/>
          <w:sz w:val="21"/>
          <w:szCs w:val="21"/>
        </w:rPr>
      </w:pPr>
      <w:r>
        <w:rPr>
          <w:rFonts w:hint="eastAsia" w:ascii="仿宋" w:hAnsi="仿宋" w:eastAsia="仿宋" w:cs="仿宋"/>
          <w:color w:val="auto"/>
          <w:sz w:val="21"/>
          <w:szCs w:val="21"/>
        </w:rPr>
        <w:t>（2）标上合同名称、竞争性磋商文件编号/包号及“在</w:t>
      </w:r>
      <w:r>
        <w:rPr>
          <w:rFonts w:hint="eastAsia" w:ascii="仿宋" w:hAnsi="仿宋" w:eastAsia="仿宋" w:cs="仿宋"/>
          <w:color w:val="auto"/>
          <w:sz w:val="21"/>
          <w:szCs w:val="21"/>
          <w:u w:val="single"/>
        </w:rPr>
        <w:t xml:space="preserve">  月  </w:t>
      </w:r>
      <w:r>
        <w:rPr>
          <w:rFonts w:hint="eastAsia" w:ascii="仿宋" w:hAnsi="仿宋" w:eastAsia="仿宋" w:cs="仿宋"/>
          <w:color w:val="auto"/>
          <w:sz w:val="21"/>
          <w:szCs w:val="21"/>
        </w:rPr>
        <w:t>日（提交投标书日期）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时（磋商时间）以前不得开封”的字样。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、竞争性磋商响应文件的修改和撤回</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.1供应商在递交竞争性磋商响应文件后，可以修改和撤回其竞争性磋商响应文件，但招标代理机构必须在规定的投标截止期之前收到该修改或撤回的书面通知。</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.2供应商的修改或撤回通知书，应按规定密封、标注和递送,并应在封套上加注“修改”或“撤回”字样。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.3投标截止期之后的修改和撤回均无效。</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bookmarkStart w:id="51" w:name="_Toc103602610"/>
      <w:r>
        <w:rPr>
          <w:rFonts w:hint="eastAsia" w:ascii="仿宋" w:hAnsi="仿宋" w:eastAsia="仿宋" w:cs="仿宋"/>
          <w:color w:val="auto"/>
          <w:lang w:val="en-US" w:eastAsia="zh-CN"/>
        </w:rPr>
        <w:t>14</w:t>
      </w:r>
      <w:r>
        <w:rPr>
          <w:rFonts w:hint="eastAsia" w:ascii="仿宋" w:hAnsi="仿宋" w:eastAsia="仿宋" w:cs="仿宋"/>
          <w:color w:val="auto"/>
        </w:rPr>
        <w:t>.4供应商不得在投标截止日起至竞争性磋商响应文件有效期期满前撤回竞争性磋商响应文件，否则其投标保证金将被没收。</w:t>
      </w:r>
      <w:bookmarkEnd w:id="51"/>
    </w:p>
    <w:bookmarkEnd w:id="48"/>
    <w:bookmarkEnd w:id="49"/>
    <w:bookmarkEnd w:id="50"/>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bookmarkStart w:id="52" w:name="_Toc103602611"/>
      <w:bookmarkStart w:id="53" w:name="_Toc520356173"/>
      <w:bookmarkStart w:id="54" w:name="_Ref467306874"/>
      <w:bookmarkStart w:id="55" w:name="_Toc35423914"/>
      <w:bookmarkStart w:id="56" w:name="_Toc420957382"/>
      <w:r>
        <w:rPr>
          <w:rFonts w:hint="eastAsia" w:ascii="仿宋" w:hAnsi="仿宋" w:eastAsia="仿宋" w:cs="仿宋"/>
          <w:color w:val="auto"/>
        </w:rPr>
        <w:t>五</w:t>
      </w:r>
      <w:r>
        <w:rPr>
          <w:rFonts w:hint="eastAsia" w:ascii="仿宋" w:hAnsi="仿宋" w:eastAsia="仿宋" w:cs="仿宋"/>
          <w:color w:val="auto"/>
          <w:lang w:eastAsia="zh-CN"/>
        </w:rPr>
        <w:t>、</w:t>
      </w:r>
      <w:r>
        <w:rPr>
          <w:rFonts w:hint="eastAsia" w:ascii="仿宋" w:hAnsi="仿宋" w:eastAsia="仿宋" w:cs="仿宋"/>
          <w:color w:val="auto"/>
        </w:rPr>
        <w:t>竞争性磋商</w:t>
      </w:r>
      <w:bookmarkEnd w:id="52"/>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、磋商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.1 招标代理机构将在“供应商须知前附表”规定的时间、地点组织磋商。供应商应委派代表参加。</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.2 提交了可接受的“撤回”通知的投标将不予开封。</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.3评标方法：综合评分法。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、磋商小组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.1 招标机构将按照《中华人民共和国政府采购法》有关规定组建磋商小组。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w:t>
      </w:r>
      <w:r>
        <w:rPr>
          <w:rFonts w:hint="eastAsia" w:ascii="仿宋" w:hAnsi="仿宋" w:eastAsia="仿宋" w:cs="仿宋"/>
          <w:color w:val="auto"/>
          <w:lang w:val="en-US" w:eastAsia="zh-CN"/>
        </w:rPr>
        <w:t>2</w:t>
      </w:r>
      <w:r>
        <w:rPr>
          <w:rFonts w:hint="eastAsia" w:ascii="仿宋" w:hAnsi="仿宋" w:eastAsia="仿宋" w:cs="仿宋"/>
          <w:color w:val="auto"/>
        </w:rPr>
        <w:t xml:space="preserve"> 磋商小组所有成员集中与单一供应商分别进行磋商。在磋商中，磋商的任何一方不得透露与磋商有关的其他供应商的技术资料、价格和其他信息。竞争性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w:t>
      </w:r>
      <w:r>
        <w:rPr>
          <w:rFonts w:hint="eastAsia" w:ascii="仿宋" w:hAnsi="仿宋" w:eastAsia="仿宋" w:cs="仿宋"/>
          <w:color w:val="auto"/>
          <w:lang w:val="en-US" w:eastAsia="zh-CN"/>
        </w:rPr>
        <w:t>3</w:t>
      </w:r>
      <w:r>
        <w:rPr>
          <w:rFonts w:hint="eastAsia" w:ascii="仿宋" w:hAnsi="仿宋" w:eastAsia="仿宋" w:cs="仿宋"/>
          <w:color w:val="auto"/>
        </w:rPr>
        <w:t xml:space="preserve"> 磋商结束后，磋商小组应当要求所有参加磋商的供应商在规定时间内进行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w:t>
      </w:r>
      <w:r>
        <w:rPr>
          <w:rFonts w:hint="eastAsia" w:ascii="仿宋" w:hAnsi="仿宋" w:eastAsia="仿宋" w:cs="仿宋"/>
          <w:color w:val="auto"/>
          <w:lang w:val="en-US" w:eastAsia="zh-CN"/>
        </w:rPr>
        <w:t>4</w:t>
      </w:r>
      <w:r>
        <w:rPr>
          <w:rFonts w:hint="eastAsia" w:ascii="仿宋" w:hAnsi="仿宋" w:eastAsia="仿宋" w:cs="仿宋"/>
          <w:color w:val="auto"/>
        </w:rPr>
        <w:t>参加磋商的供应商应当对磋商的承诺和最后报价以书面形式确认，并由授权代表签字。</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17</w:t>
      </w:r>
      <w:r>
        <w:rPr>
          <w:rFonts w:hint="eastAsia" w:ascii="仿宋" w:hAnsi="仿宋" w:eastAsia="仿宋" w:cs="仿宋"/>
          <w:color w:val="auto"/>
        </w:rPr>
        <w:t>、磋商过程的保密性</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17</w:t>
      </w:r>
      <w:r>
        <w:rPr>
          <w:rFonts w:hint="eastAsia" w:ascii="仿宋" w:hAnsi="仿宋" w:eastAsia="仿宋" w:cs="仿宋"/>
          <w:color w:val="auto"/>
        </w:rPr>
        <w:t>.1磋商后，直到向中标的供应商授予合同时止，凡与审查、澄清、评价和比较投标的有关资料以及授标意见等，均不得向供应商及与评标无关的其他人透露。</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竞争性磋商响应文件的初审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.1磋商小组将审查竞争性磋商响应文件是否完整、资格证明文件是否齐全、合格，投标保证金是否足额、有无计算上的错误等。</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w:t>
      </w:r>
      <w:r>
        <w:rPr>
          <w:rFonts w:hint="eastAsia" w:ascii="仿宋" w:hAnsi="仿宋" w:eastAsia="仿宋" w:cs="仿宋"/>
          <w:color w:val="auto"/>
          <w:lang w:val="en-US" w:eastAsia="zh-CN"/>
        </w:rPr>
        <w:t>2</w:t>
      </w:r>
      <w:r>
        <w:rPr>
          <w:rFonts w:hint="eastAsia" w:ascii="仿宋" w:hAnsi="仿宋" w:eastAsia="仿宋" w:cs="仿宋"/>
          <w:color w:val="auto"/>
        </w:rPr>
        <w:t>如果投标实质性没有响应竞争性磋商文件的要求，其投标将被拒绝。供应商不得通过修正或撤消不符合要求的偏离或保留从而使其投标成为实质上响应的投标。</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w:t>
      </w:r>
      <w:r>
        <w:rPr>
          <w:rFonts w:hint="eastAsia" w:ascii="仿宋" w:hAnsi="仿宋" w:eastAsia="仿宋" w:cs="仿宋"/>
          <w:color w:val="auto"/>
          <w:lang w:val="en-US" w:eastAsia="zh-CN"/>
        </w:rPr>
        <w:t>3</w:t>
      </w:r>
      <w:r>
        <w:rPr>
          <w:rFonts w:hint="eastAsia" w:ascii="仿宋" w:hAnsi="仿宋" w:eastAsia="仿宋" w:cs="仿宋"/>
          <w:color w:val="auto"/>
        </w:rPr>
        <w:t>采购人只对在初审中确定为实质性响应的竞争性磋商响应文件进行进一步的详细商务和技术评审。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19</w:t>
      </w:r>
      <w:r>
        <w:rPr>
          <w:rFonts w:hint="eastAsia" w:ascii="仿宋" w:hAnsi="仿宋" w:eastAsia="仿宋" w:cs="仿宋"/>
          <w:color w:val="auto"/>
        </w:rPr>
        <w:t>、竞争性磋商响应文件的澄清</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19</w:t>
      </w:r>
      <w:r>
        <w:rPr>
          <w:rFonts w:hint="eastAsia" w:ascii="仿宋" w:hAnsi="仿宋" w:eastAsia="仿宋" w:cs="仿宋"/>
          <w:color w:val="auto"/>
        </w:rPr>
        <w:t xml:space="preserve">.1为有助于对竞争性磋商响应文件的审查、评价和比较，评标期间可分别要求供应商对其竞争性磋商响应文件进行澄清或答疑，有关澄清或答疑要求的答复应以书面形式提交。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20</w:t>
      </w:r>
      <w:r>
        <w:rPr>
          <w:rFonts w:hint="eastAsia" w:ascii="仿宋" w:hAnsi="仿宋" w:eastAsia="仿宋" w:cs="仿宋"/>
          <w:color w:val="auto"/>
        </w:rPr>
        <w:t>、竞争性磋商响应文件的详细评审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20</w:t>
      </w:r>
      <w:r>
        <w:rPr>
          <w:rFonts w:hint="eastAsia" w:ascii="仿宋" w:hAnsi="仿宋" w:eastAsia="仿宋" w:cs="仿宋"/>
          <w:color w:val="auto"/>
        </w:rPr>
        <w:t>.1磋商小组将只对确定为实质上响应竞争性磋商文件要求的投标进行详细磋商。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w:t>
      </w:r>
      <w:r>
        <w:rPr>
          <w:rFonts w:hint="eastAsia" w:ascii="仿宋" w:hAnsi="仿宋" w:eastAsia="仿宋" w:cs="仿宋"/>
          <w:color w:val="auto"/>
        </w:rPr>
        <w:t>竞争性磋商综合评分法。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21.1</w:t>
      </w:r>
      <w:r>
        <w:rPr>
          <w:rFonts w:hint="eastAsia" w:ascii="仿宋" w:hAnsi="仿宋" w:eastAsia="仿宋" w:cs="仿宋"/>
          <w:color w:val="auto"/>
        </w:rPr>
        <w:t>详细磋商即以竞争性磋商文件为依据，对所有实质上响应的投标分别从“商务”、“技术”、“服务”和“价格”四个方面进行磋商，结合节能环保产品报价占总项目的比例，给予相应的加分。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w:t>
      </w:r>
      <w:r>
        <w:rPr>
          <w:rFonts w:hint="eastAsia" w:ascii="仿宋" w:hAnsi="仿宋" w:eastAsia="仿宋" w:cs="仿宋"/>
          <w:color w:val="auto"/>
        </w:rPr>
        <w:t>.</w:t>
      </w:r>
      <w:r>
        <w:rPr>
          <w:rFonts w:hint="eastAsia" w:ascii="仿宋" w:hAnsi="仿宋" w:eastAsia="仿宋" w:cs="仿宋"/>
          <w:color w:val="auto"/>
          <w:lang w:val="en-US" w:eastAsia="zh-CN"/>
        </w:rPr>
        <w:t>2</w:t>
      </w:r>
      <w:r>
        <w:rPr>
          <w:rFonts w:hint="eastAsia" w:ascii="仿宋" w:hAnsi="仿宋" w:eastAsia="仿宋" w:cs="仿宋"/>
          <w:color w:val="auto"/>
        </w:rPr>
        <w:t>综合评分法中的价格分统一采用低价优先法计算，即满足竞争性磋商文件要求且最后报价最低的供应商的价格为磋商基准价，其价格分为满分。其他供应商的价格分统一按照下列公式计算：</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磋商报价得分=（磋商基准价/最终磋商报价）×分值</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w:t>
      </w:r>
      <w:r>
        <w:rPr>
          <w:rFonts w:hint="eastAsia" w:ascii="仿宋" w:hAnsi="仿宋" w:eastAsia="仿宋" w:cs="仿宋"/>
          <w:color w:val="auto"/>
        </w:rPr>
        <w:t>.</w:t>
      </w:r>
      <w:r>
        <w:rPr>
          <w:rFonts w:hint="eastAsia" w:ascii="仿宋" w:hAnsi="仿宋" w:eastAsia="仿宋" w:cs="仿宋"/>
          <w:color w:val="auto"/>
          <w:lang w:val="en-US" w:eastAsia="zh-CN"/>
        </w:rPr>
        <w:t>3</w:t>
      </w:r>
      <w:r>
        <w:rPr>
          <w:rFonts w:hint="eastAsia" w:ascii="仿宋" w:hAnsi="仿宋" w:eastAsia="仿宋" w:cs="仿宋"/>
          <w:color w:val="auto"/>
        </w:rPr>
        <w:t>评分准则</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lang w:eastAsia="zh-CN"/>
        </w:rPr>
      </w:pPr>
      <w:r>
        <w:rPr>
          <w:rFonts w:hint="eastAsia" w:ascii="仿宋" w:hAnsi="仿宋" w:eastAsia="仿宋" w:cs="仿宋"/>
          <w:color w:val="auto"/>
        </w:rPr>
        <w:t>对投标报价、</w:t>
      </w:r>
      <w:r>
        <w:rPr>
          <w:rFonts w:hint="eastAsia" w:ascii="仿宋" w:hAnsi="仿宋" w:eastAsia="仿宋" w:cs="仿宋"/>
          <w:color w:val="auto"/>
          <w:lang w:val="en-US" w:eastAsia="zh-CN"/>
        </w:rPr>
        <w:t>服务能力</w:t>
      </w:r>
      <w:r>
        <w:rPr>
          <w:rFonts w:hint="eastAsia" w:ascii="仿宋" w:hAnsi="仿宋" w:eastAsia="仿宋" w:cs="仿宋"/>
          <w:color w:val="auto"/>
        </w:rPr>
        <w:t>、相关业绩、服务团队、需求的理解程度和服务计划满足应用需求的程度、服务管理、服务管理流程及实施方案等方面综合评定、打分。出具评审意见、推荐预</w:t>
      </w:r>
      <w:r>
        <w:rPr>
          <w:rFonts w:hint="eastAsia" w:ascii="仿宋" w:hAnsi="仿宋" w:eastAsia="仿宋" w:cs="仿宋"/>
          <w:color w:val="auto"/>
          <w:lang w:val="en-US" w:eastAsia="zh-CN"/>
        </w:rPr>
        <w:t>成交</w:t>
      </w:r>
      <w:r>
        <w:rPr>
          <w:rFonts w:hint="eastAsia" w:ascii="仿宋" w:hAnsi="仿宋" w:eastAsia="仿宋" w:cs="仿宋"/>
          <w:color w:val="auto"/>
          <w:lang w:eastAsia="zh-CN"/>
        </w:rPr>
        <w:t>候选</w:t>
      </w:r>
      <w:r>
        <w:rPr>
          <w:rFonts w:hint="eastAsia" w:ascii="仿宋" w:hAnsi="仿宋" w:eastAsia="仿宋" w:cs="仿宋"/>
          <w:color w:val="auto"/>
        </w:rPr>
        <w:t>人</w:t>
      </w:r>
      <w:r>
        <w:rPr>
          <w:rFonts w:hint="eastAsia" w:ascii="仿宋" w:hAnsi="仿宋" w:eastAsia="仿宋" w:cs="仿宋"/>
          <w:color w:val="auto"/>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每位评委在审阅投标资料的基础上，对各投标单位进行综合打分。最后汇总所有评委的分数，求出每个投标单位的平均分并排序。预选排名前</w:t>
      </w:r>
      <w:r>
        <w:rPr>
          <w:rFonts w:hint="eastAsia" w:ascii="仿宋" w:hAnsi="仿宋" w:eastAsia="仿宋" w:cs="仿宋"/>
          <w:color w:val="auto"/>
          <w:lang w:eastAsia="zh-CN"/>
        </w:rPr>
        <w:t>三</w:t>
      </w:r>
      <w:r>
        <w:rPr>
          <w:rFonts w:hint="eastAsia" w:ascii="仿宋" w:hAnsi="仿宋" w:eastAsia="仿宋" w:cs="仿宋"/>
          <w:color w:val="auto"/>
        </w:rPr>
        <w:t>名的为</w:t>
      </w:r>
      <w:r>
        <w:rPr>
          <w:rFonts w:hint="eastAsia" w:ascii="仿宋" w:hAnsi="仿宋" w:eastAsia="仿宋" w:cs="仿宋"/>
          <w:color w:val="auto"/>
          <w:lang w:eastAsia="zh-CN"/>
        </w:rPr>
        <w:t>中标</w:t>
      </w:r>
      <w:r>
        <w:rPr>
          <w:rFonts w:hint="eastAsia" w:ascii="仿宋" w:hAnsi="仿宋" w:eastAsia="仿宋" w:cs="仿宋"/>
          <w:color w:val="auto"/>
        </w:rPr>
        <w:t>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根据</w:t>
      </w:r>
      <w:r>
        <w:rPr>
          <w:rFonts w:hint="eastAsia" w:ascii="仿宋" w:hAnsi="仿宋" w:eastAsia="仿宋" w:cs="仿宋"/>
          <w:color w:val="auto"/>
        </w:rPr>
        <w:t>《政府采购货物和服务招标投标管理办法》</w:t>
      </w:r>
      <w:r>
        <w:rPr>
          <w:rFonts w:hint="eastAsia" w:ascii="仿宋" w:hAnsi="仿宋" w:eastAsia="仿宋" w:cs="仿宋"/>
          <w:color w:val="auto"/>
          <w:lang w:val="en-US" w:eastAsia="zh-CN"/>
        </w:rPr>
        <w:t>相关规定，</w:t>
      </w:r>
      <w:r>
        <w:rPr>
          <w:rFonts w:hint="eastAsia" w:ascii="仿宋" w:hAnsi="仿宋" w:eastAsia="仿宋" w:cs="仿宋"/>
          <w:color w:val="auto"/>
        </w:rPr>
        <w:t>在评标结束后2个工作日内将评标报告送采购人。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采购人应当自收到评标报告之日起５个工作日内，在评标报告确定的中标候选人名单中按顺序确定中标人。</w:t>
      </w:r>
    </w:p>
    <w:p>
      <w:pPr>
        <w:pStyle w:val="2"/>
        <w:jc w:val="center"/>
        <w:rPr>
          <w:rFonts w:hint="default" w:ascii="仿宋" w:hAnsi="仿宋" w:eastAsia="仿宋" w:cs="仿宋"/>
          <w:b/>
          <w:bCs/>
          <w:color w:val="auto"/>
          <w:sz w:val="28"/>
          <w:szCs w:val="28"/>
          <w:lang w:val="en-US"/>
        </w:rPr>
      </w:pPr>
      <w:r>
        <w:rPr>
          <w:rFonts w:hint="eastAsia" w:ascii="仿宋" w:hAnsi="仿宋" w:eastAsia="仿宋" w:cs="仿宋"/>
          <w:b/>
          <w:bCs/>
          <w:color w:val="auto"/>
          <w:sz w:val="28"/>
          <w:szCs w:val="28"/>
          <w:lang w:eastAsia="zh-CN"/>
        </w:rPr>
        <w:t>兰州职业技术学院</w:t>
      </w:r>
      <w:r>
        <w:rPr>
          <w:rFonts w:hint="eastAsia" w:ascii="仿宋" w:hAnsi="仿宋" w:eastAsia="仿宋" w:cs="仿宋"/>
          <w:b/>
          <w:bCs/>
          <w:color w:val="auto"/>
          <w:sz w:val="28"/>
          <w:szCs w:val="28"/>
          <w:lang w:val="en-US" w:eastAsia="zh-CN"/>
        </w:rPr>
        <w:t>2023年电梯维保</w:t>
      </w:r>
      <w:r>
        <w:rPr>
          <w:rFonts w:hint="eastAsia" w:ascii="仿宋" w:hAnsi="仿宋" w:eastAsia="仿宋" w:cs="仿宋"/>
          <w:b/>
          <w:bCs/>
          <w:color w:val="auto"/>
          <w:sz w:val="28"/>
          <w:szCs w:val="28"/>
          <w:lang w:eastAsia="zh-CN"/>
        </w:rPr>
        <w:t>项目</w:t>
      </w:r>
      <w:r>
        <w:rPr>
          <w:rFonts w:hint="eastAsia" w:ascii="仿宋" w:hAnsi="仿宋" w:eastAsia="仿宋" w:cs="仿宋"/>
          <w:b/>
          <w:bCs/>
          <w:color w:val="auto"/>
          <w:sz w:val="28"/>
          <w:szCs w:val="28"/>
          <w:lang w:val="en-US" w:eastAsia="zh-CN"/>
        </w:rPr>
        <w:t>评分标准</w:t>
      </w:r>
    </w:p>
    <w:p>
      <w:pPr>
        <w:rPr>
          <w:rFonts w:hint="eastAsia"/>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34"/>
        <w:gridCol w:w="1016"/>
        <w:gridCol w:w="5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序号</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评分项目</w:t>
            </w:r>
          </w:p>
        </w:tc>
        <w:tc>
          <w:tcPr>
            <w:tcW w:w="1016" w:type="dxa"/>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分值</w:t>
            </w:r>
          </w:p>
        </w:tc>
        <w:tc>
          <w:tcPr>
            <w:tcW w:w="5184" w:type="dxa"/>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报价</w:t>
            </w: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20分</w:t>
            </w:r>
          </w:p>
        </w:tc>
        <w:tc>
          <w:tcPr>
            <w:tcW w:w="5184" w:type="dxa"/>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投标价格最低的有效投标报价为评标基准价，其价格得分计10分。其他投标人的价格得分统一按公式计算：报价得分＝（评标基准价/投标报价）×10。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公司资质</w:t>
            </w: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5分</w:t>
            </w:r>
          </w:p>
        </w:tc>
        <w:tc>
          <w:tcPr>
            <w:tcW w:w="518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 xml:space="preserve">提供、电梯维保资质、特种设备生产许可证资质，少提供不得分、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3</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须出具配备专职及有操作证（T）人员承诺书</w:t>
            </w: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5分</w:t>
            </w:r>
          </w:p>
        </w:tc>
        <w:tc>
          <w:tcPr>
            <w:tcW w:w="518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投标单位提供不少于2人专职具有特种设备操作证人员承诺书并加盖公章，有的得5分，没有不得分。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4</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本地服务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能力</w:t>
            </w: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5</w:t>
            </w:r>
          </w:p>
        </w:tc>
        <w:tc>
          <w:tcPr>
            <w:tcW w:w="518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本地服务能力（本地企业得5分），根据营业执照文件评分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5</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管理制度及公司简介</w:t>
            </w: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10分</w:t>
            </w:r>
          </w:p>
        </w:tc>
        <w:tc>
          <w:tcPr>
            <w:tcW w:w="518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依据投标单位管理机构是人员配备否完善，管理制度是否齐全进行综合打分，优得10分，良得7--5分，一般得4--2分，较差得1分；没有不得分。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6</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业绩</w:t>
            </w: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10分</w:t>
            </w:r>
          </w:p>
        </w:tc>
        <w:tc>
          <w:tcPr>
            <w:tcW w:w="518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两年内同类业绩，须提供中标通知书或服务合同，每一个得2分，累计最多得10分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7</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总体维保实施方案</w:t>
            </w: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20分</w:t>
            </w:r>
          </w:p>
        </w:tc>
        <w:tc>
          <w:tcPr>
            <w:tcW w:w="518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提供含工程简况、维保人员安排、</w:t>
            </w:r>
            <w:bookmarkStart w:id="57" w:name="_Toc19616"/>
            <w:r>
              <w:rPr>
                <w:rFonts w:hint="eastAsia" w:ascii="仿宋" w:hAnsi="仿宋" w:eastAsia="仿宋" w:cs="仿宋"/>
                <w:color w:val="auto"/>
              </w:rPr>
              <w:t>维保服务措施</w:t>
            </w:r>
            <w:bookmarkEnd w:id="57"/>
            <w:r>
              <w:rPr>
                <w:rFonts w:hint="eastAsia" w:ascii="仿宋" w:hAnsi="仿宋" w:eastAsia="仿宋" w:cs="仿宋"/>
                <w:color w:val="auto"/>
              </w:rPr>
              <w:t>、</w:t>
            </w:r>
            <w:bookmarkStart w:id="58" w:name="_Toc16010"/>
            <w:r>
              <w:rPr>
                <w:rFonts w:hint="eastAsia" w:ascii="仿宋" w:hAnsi="仿宋" w:eastAsia="仿宋" w:cs="仿宋"/>
                <w:color w:val="auto"/>
              </w:rPr>
              <w:t>维保时间及计划</w:t>
            </w:r>
            <w:bookmarkEnd w:id="58"/>
            <w:r>
              <w:rPr>
                <w:rFonts w:hint="eastAsia" w:ascii="仿宋" w:hAnsi="仿宋" w:eastAsia="仿宋" w:cs="仿宋"/>
                <w:color w:val="auto"/>
              </w:rPr>
              <w:t>、</w:t>
            </w:r>
            <w:bookmarkStart w:id="59" w:name="_Toc21689"/>
            <w:r>
              <w:rPr>
                <w:rFonts w:hint="eastAsia" w:ascii="仿宋" w:hAnsi="仿宋" w:eastAsia="仿宋" w:cs="仿宋"/>
                <w:color w:val="auto"/>
              </w:rPr>
              <w:t>电梯各种安全试验</w:t>
            </w:r>
            <w:bookmarkEnd w:id="59"/>
            <w:r>
              <w:rPr>
                <w:rFonts w:hint="eastAsia" w:ascii="仿宋" w:hAnsi="仿宋" w:eastAsia="仿宋" w:cs="仿宋"/>
                <w:color w:val="auto"/>
              </w:rPr>
              <w:t>、</w:t>
            </w:r>
            <w:bookmarkStart w:id="60" w:name="_Toc32344"/>
            <w:r>
              <w:rPr>
                <w:rFonts w:hint="eastAsia" w:ascii="仿宋" w:hAnsi="仿宋" w:eastAsia="仿宋" w:cs="仿宋"/>
                <w:color w:val="auto"/>
              </w:rPr>
              <w:t>电梯维保质量控制</w:t>
            </w:r>
            <w:bookmarkEnd w:id="60"/>
            <w:r>
              <w:rPr>
                <w:rFonts w:hint="eastAsia" w:ascii="仿宋" w:hAnsi="仿宋" w:eastAsia="仿宋" w:cs="仿宋"/>
                <w:color w:val="auto"/>
              </w:rPr>
              <w:t>、环境保护以及消防节能措施等</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方案完整20——15分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较完整  14——9</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一般    8——4分；不提供不得分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8</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应急预案</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10分</w:t>
            </w:r>
          </w:p>
        </w:tc>
        <w:tc>
          <w:tcPr>
            <w:tcW w:w="518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各类突发事件应急处理预案完备得10分；各类突发事件应急处理预案一般得5分；无预案不得分。含意外事故的应急措施意外事故消除后的处理，学院大型活动保障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9</w:t>
            </w:r>
          </w:p>
        </w:tc>
        <w:tc>
          <w:tcPr>
            <w:tcW w:w="143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改造方案</w:t>
            </w: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15</w:t>
            </w:r>
          </w:p>
        </w:tc>
        <w:tc>
          <w:tcPr>
            <w:tcW w:w="518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改造方案提供得10分，不提供不得分。方案完整15—10分较完整  10——6</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一般    6——3分；不提供不得分包含设备并联采取方案技术报价、调试等</w:t>
            </w: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pStyle w:val="47"/>
        <w:numPr>
          <w:ilvl w:val="1"/>
          <w:numId w:val="0"/>
        </w:numPr>
        <w:rPr>
          <w:rFonts w:hint="eastAsia"/>
          <w:color w:val="auto"/>
        </w:rPr>
      </w:pPr>
    </w:p>
    <w:bookmarkEnd w:id="53"/>
    <w:bookmarkEnd w:id="54"/>
    <w:bookmarkEnd w:id="55"/>
    <w:bookmarkEnd w:id="56"/>
    <w:p>
      <w:pPr>
        <w:spacing w:line="240" w:lineRule="auto"/>
        <w:rPr>
          <w:rFonts w:hint="eastAsia" w:ascii="仿宋" w:hAnsi="仿宋" w:eastAsia="仿宋" w:cs="仿宋"/>
          <w:color w:val="auto"/>
        </w:rPr>
      </w:pPr>
      <w:bookmarkStart w:id="61" w:name="_Toc103602613"/>
      <w:r>
        <w:rPr>
          <w:rFonts w:hint="eastAsia" w:ascii="仿宋" w:hAnsi="仿宋" w:eastAsia="仿宋" w:cs="仿宋"/>
          <w:color w:val="auto"/>
        </w:rPr>
        <w:t>七</w:t>
      </w:r>
      <w:r>
        <w:rPr>
          <w:rFonts w:hint="eastAsia" w:ascii="仿宋" w:hAnsi="仿宋" w:eastAsia="仿宋" w:cs="仿宋"/>
          <w:color w:val="auto"/>
          <w:lang w:eastAsia="zh-CN"/>
        </w:rPr>
        <w:t>、</w:t>
      </w:r>
      <w:r>
        <w:rPr>
          <w:rFonts w:hint="eastAsia" w:ascii="仿宋" w:hAnsi="仿宋" w:eastAsia="仿宋" w:cs="仿宋"/>
          <w:color w:val="auto"/>
        </w:rPr>
        <w:t>授予合同</w:t>
      </w:r>
      <w:bookmarkEnd w:id="61"/>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w:t>
      </w:r>
      <w:r>
        <w:rPr>
          <w:rFonts w:hint="eastAsia" w:ascii="仿宋" w:hAnsi="仿宋" w:eastAsia="仿宋" w:cs="仿宋"/>
          <w:color w:val="auto"/>
          <w:lang w:val="en-US" w:eastAsia="zh-CN"/>
        </w:rPr>
        <w:t>2</w:t>
      </w:r>
      <w:r>
        <w:rPr>
          <w:rFonts w:hint="eastAsia" w:ascii="仿宋" w:hAnsi="仿宋" w:eastAsia="仿宋" w:cs="仿宋"/>
          <w:color w:val="auto"/>
        </w:rPr>
        <w:t>、合同授予标准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22</w:t>
      </w:r>
      <w:r>
        <w:rPr>
          <w:rFonts w:hint="eastAsia" w:ascii="仿宋" w:hAnsi="仿宋" w:eastAsia="仿宋" w:cs="仿宋"/>
          <w:color w:val="auto"/>
        </w:rPr>
        <w:t>.1</w:t>
      </w:r>
      <w:r>
        <w:rPr>
          <w:rFonts w:hint="eastAsia" w:ascii="仿宋" w:hAnsi="仿宋" w:eastAsia="仿宋" w:cs="仿宋"/>
          <w:color w:val="auto"/>
          <w:lang w:val="en-US" w:eastAsia="zh-CN"/>
        </w:rPr>
        <w:t>采购人</w:t>
      </w:r>
      <w:r>
        <w:rPr>
          <w:rFonts w:hint="eastAsia" w:ascii="仿宋" w:hAnsi="仿宋" w:eastAsia="仿宋" w:cs="仿宋"/>
          <w:color w:val="auto"/>
        </w:rPr>
        <w:t>应将合同授予被确定为实质上响应竞争性磋商文件要求的，能够满意的履行合同义务合理投标价的供应商。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23</w:t>
      </w:r>
      <w:r>
        <w:rPr>
          <w:rFonts w:hint="eastAsia" w:ascii="仿宋" w:hAnsi="仿宋" w:eastAsia="仿宋" w:cs="仿宋"/>
          <w:color w:val="auto"/>
        </w:rPr>
        <w:t>、接受和拒绝任何或所有投标的权力</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23</w:t>
      </w:r>
      <w:r>
        <w:rPr>
          <w:rFonts w:hint="eastAsia" w:ascii="仿宋" w:hAnsi="仿宋" w:eastAsia="仿宋" w:cs="仿宋"/>
          <w:color w:val="auto"/>
        </w:rPr>
        <w:t>.1招标方保留在授标之前任何时候接受或拒绝任何投标，以及宣布招标程序无效或拒绝所有投标的权力，对受影响的供应商不承担任何责任。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、成交通知书</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.1采购人向排名前三的供应商发出成交通知书，成交通知书将是合同的一个组成部分。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.2 采购人对未中标原因不作任何解释。</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25</w:t>
      </w:r>
      <w:r>
        <w:rPr>
          <w:rFonts w:hint="eastAsia" w:ascii="仿宋" w:hAnsi="仿宋" w:eastAsia="仿宋" w:cs="仿宋"/>
          <w:color w:val="auto"/>
        </w:rPr>
        <w:t>、签订合同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25</w:t>
      </w:r>
      <w:r>
        <w:rPr>
          <w:rFonts w:hint="eastAsia" w:ascii="仿宋" w:hAnsi="仿宋" w:eastAsia="仿宋" w:cs="仿宋"/>
          <w:color w:val="auto"/>
        </w:rPr>
        <w:t>.</w:t>
      </w:r>
      <w:r>
        <w:rPr>
          <w:rFonts w:hint="eastAsia" w:ascii="仿宋" w:hAnsi="仿宋" w:eastAsia="仿宋" w:cs="仿宋"/>
          <w:color w:val="auto"/>
          <w:lang w:val="en-US" w:eastAsia="zh-CN"/>
        </w:rPr>
        <w:t>1</w:t>
      </w:r>
      <w:r>
        <w:rPr>
          <w:rFonts w:hint="eastAsia" w:ascii="仿宋" w:hAnsi="仿宋" w:eastAsia="仿宋" w:cs="仿宋"/>
          <w:color w:val="auto"/>
        </w:rPr>
        <w:t>成交供应商接到成交通知书后应在7日内在要求的时间、地点与买方签定合同。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26</w:t>
      </w:r>
      <w:r>
        <w:rPr>
          <w:rFonts w:hint="eastAsia" w:ascii="仿宋" w:hAnsi="仿宋" w:eastAsia="仿宋" w:cs="仿宋"/>
          <w:color w:val="auto"/>
        </w:rPr>
        <w:t>、合同文件</w:t>
      </w:r>
    </w:p>
    <w:p>
      <w:pPr>
        <w:keepNext w:val="0"/>
        <w:keepLines w:val="0"/>
        <w:pageBreakBefore w:val="0"/>
        <w:widowControl w:val="0"/>
        <w:kinsoku/>
        <w:wordWrap/>
        <w:overflowPunct/>
        <w:topLinePunct w:val="0"/>
        <w:autoSpaceDE/>
        <w:autoSpaceDN/>
        <w:bidi w:val="0"/>
        <w:adjustRightInd/>
        <w:snapToGrid/>
        <w:spacing w:line="240" w:lineRule="auto"/>
        <w:ind w:firstLine="840" w:firstLineChars="400"/>
        <w:textAlignment w:val="auto"/>
        <w:rPr>
          <w:rFonts w:hint="eastAsia" w:ascii="仿宋" w:hAnsi="仿宋" w:eastAsia="仿宋" w:cs="仿宋"/>
          <w:color w:val="auto"/>
          <w:lang w:eastAsia="zh-CN"/>
        </w:rPr>
      </w:pPr>
      <w:r>
        <w:rPr>
          <w:rFonts w:hint="eastAsia" w:ascii="仿宋" w:hAnsi="仿宋" w:eastAsia="仿宋" w:cs="仿宋"/>
          <w:color w:val="auto"/>
        </w:rPr>
        <w:t xml:space="preserve">    </w:t>
      </w:r>
      <w:r>
        <w:rPr>
          <w:rFonts w:hint="eastAsia" w:ascii="仿宋" w:hAnsi="仿宋" w:eastAsia="仿宋" w:cs="仿宋"/>
          <w:color w:val="auto"/>
        </w:rPr>
        <w:br w:type="page"/>
      </w:r>
      <w:bookmarkStart w:id="62" w:name="_Toc153347053"/>
      <w:bookmarkStart w:id="63" w:name="_Toc115514545"/>
      <w:bookmarkStart w:id="64" w:name="_Toc106381647"/>
      <w:bookmarkStart w:id="65" w:name="_Toc420957390"/>
      <w:bookmarkStart w:id="66" w:name="_Toc153346192"/>
    </w:p>
    <w:p>
      <w:pPr>
        <w:spacing w:line="240" w:lineRule="auto"/>
        <w:rPr>
          <w:rFonts w:hint="eastAsia" w:ascii="仿宋" w:hAnsi="仿宋" w:eastAsia="仿宋" w:cs="仿宋"/>
          <w:color w:val="auto"/>
        </w:rPr>
      </w:pPr>
    </w:p>
    <w:p>
      <w:pPr>
        <w:pStyle w:val="5"/>
        <w:spacing w:line="240" w:lineRule="auto"/>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pStyle w:val="3"/>
        <w:spacing w:line="360" w:lineRule="auto"/>
        <w:jc w:val="center"/>
        <w:rPr>
          <w:rFonts w:hint="eastAsia" w:ascii="仿宋" w:hAnsi="仿宋" w:eastAsia="仿宋" w:cs="仿宋"/>
          <w:bCs w:val="0"/>
          <w:color w:val="auto"/>
          <w:sz w:val="36"/>
          <w:szCs w:val="36"/>
          <w:lang w:eastAsia="zh-CN"/>
        </w:rPr>
      </w:pPr>
      <w:bookmarkStart w:id="67" w:name="_Toc9320"/>
      <w:r>
        <w:rPr>
          <w:rFonts w:hint="eastAsia" w:ascii="仿宋" w:hAnsi="仿宋" w:eastAsia="仿宋" w:cs="仿宋"/>
          <w:bCs w:val="0"/>
          <w:color w:val="auto"/>
          <w:sz w:val="36"/>
          <w:szCs w:val="36"/>
        </w:rPr>
        <w:t>第</w:t>
      </w:r>
      <w:r>
        <w:rPr>
          <w:rFonts w:hint="eastAsia" w:ascii="仿宋" w:hAnsi="仿宋" w:eastAsia="仿宋" w:cs="仿宋"/>
          <w:bCs w:val="0"/>
          <w:color w:val="auto"/>
          <w:sz w:val="36"/>
          <w:szCs w:val="36"/>
          <w:lang w:val="en-US" w:eastAsia="zh-CN"/>
        </w:rPr>
        <w:t>三</w:t>
      </w:r>
      <w:r>
        <w:rPr>
          <w:rFonts w:hint="eastAsia" w:ascii="仿宋" w:hAnsi="仿宋" w:eastAsia="仿宋" w:cs="仿宋"/>
          <w:bCs w:val="0"/>
          <w:color w:val="auto"/>
          <w:sz w:val="36"/>
          <w:szCs w:val="36"/>
        </w:rPr>
        <w:t xml:space="preserve">部分  </w:t>
      </w:r>
      <w:r>
        <w:rPr>
          <w:rFonts w:hint="eastAsia" w:ascii="仿宋" w:hAnsi="仿宋" w:eastAsia="仿宋" w:cs="仿宋"/>
          <w:bCs w:val="0"/>
          <w:color w:val="auto"/>
          <w:sz w:val="36"/>
          <w:szCs w:val="36"/>
          <w:lang w:val="en-US" w:eastAsia="zh-CN"/>
        </w:rPr>
        <w:t>采购需求</w:t>
      </w:r>
      <w:bookmarkEnd w:id="67"/>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ind w:left="0" w:leftChars="0" w:firstLine="0" w:firstLineChars="0"/>
        <w:rPr>
          <w:rFonts w:hint="eastAsia" w:ascii="仿宋" w:hAnsi="仿宋" w:eastAsia="仿宋" w:cs="仿宋"/>
          <w:color w:val="auto"/>
        </w:rPr>
      </w:pPr>
    </w:p>
    <w:p>
      <w:pPr>
        <w:pStyle w:val="5"/>
        <w:rPr>
          <w:rFonts w:hint="eastAsia" w:ascii="仿宋" w:hAnsi="仿宋" w:eastAsia="仿宋" w:cs="仿宋"/>
          <w:color w:val="auto"/>
        </w:rPr>
      </w:pPr>
    </w:p>
    <w:p>
      <w:pPr>
        <w:pStyle w:val="3"/>
        <w:spacing w:before="0"/>
        <w:jc w:val="center"/>
        <w:rPr>
          <w:rFonts w:ascii="宋体" w:hAnsi="宋体"/>
        </w:rPr>
      </w:pPr>
      <w:bookmarkStart w:id="68" w:name="_Toc229456846"/>
      <w:bookmarkStart w:id="69" w:name="_Toc103602614"/>
      <w:r>
        <w:rPr>
          <w:rFonts w:hint="eastAsia" w:ascii="宋体" w:hAnsi="宋体"/>
        </w:rPr>
        <w:t>采购内容及技术要求</w:t>
      </w:r>
    </w:p>
    <w:bookmarkEnd w:id="68"/>
    <w:p>
      <w:pPr>
        <w:pStyle w:val="2"/>
        <w:ind w:left="0" w:leftChars="0"/>
        <w:jc w:val="both"/>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一、电梯参数及需求清单</w:t>
      </w:r>
    </w:p>
    <w:tbl>
      <w:tblPr>
        <w:tblStyle w:val="39"/>
        <w:tblW w:w="44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476"/>
        <w:gridCol w:w="803"/>
        <w:gridCol w:w="560"/>
        <w:gridCol w:w="786"/>
        <w:gridCol w:w="983"/>
        <w:gridCol w:w="599"/>
        <w:gridCol w:w="521"/>
        <w:gridCol w:w="668"/>
        <w:gridCol w:w="765"/>
        <w:gridCol w:w="857"/>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238" w:type="pct"/>
            <w:noWrap w:val="0"/>
            <w:vAlign w:val="center"/>
          </w:tcPr>
          <w:p>
            <w:pPr>
              <w:widowControl/>
              <w:jc w:val="center"/>
              <w:rPr>
                <w:rFonts w:hint="eastAsia" w:ascii="仿宋" w:hAnsi="仿宋" w:eastAsia="仿宋" w:cs="仿宋"/>
                <w:color w:val="auto"/>
                <w:kern w:val="2"/>
                <w:sz w:val="21"/>
                <w:szCs w:val="24"/>
                <w:lang w:val="en-US" w:eastAsia="zh-CN" w:bidi="ar-SA"/>
              </w:rPr>
            </w:pPr>
            <w:bookmarkStart w:id="70" w:name="_Toc1703"/>
            <w:r>
              <w:rPr>
                <w:rFonts w:hint="eastAsia" w:ascii="仿宋" w:hAnsi="仿宋" w:eastAsia="仿宋" w:cs="仿宋"/>
                <w:color w:val="auto"/>
                <w:kern w:val="2"/>
                <w:sz w:val="21"/>
                <w:szCs w:val="24"/>
                <w:lang w:val="en-US" w:eastAsia="zh-CN" w:bidi="ar-SA"/>
              </w:rPr>
              <w:t>序号</w:t>
            </w:r>
          </w:p>
        </w:tc>
        <w:tc>
          <w:tcPr>
            <w:tcW w:w="779" w:type="pct"/>
            <w:gridSpan w:val="2"/>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位置</w:t>
            </w:r>
          </w:p>
        </w:tc>
        <w:tc>
          <w:tcPr>
            <w:tcW w:w="341"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区域</w:t>
            </w: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电梯品牌</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型号</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载重量</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梯速</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层站</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台数</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安装时间</w:t>
            </w:r>
          </w:p>
        </w:tc>
        <w:tc>
          <w:tcPr>
            <w:tcW w:w="483"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Chars="0"/>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290" w:type="pct"/>
            <w:vMerge w:val="restart"/>
            <w:noWrap w:val="0"/>
            <w:vAlign w:val="center"/>
          </w:tcPr>
          <w:p>
            <w:pPr>
              <w:widowControl/>
              <w:snapToGrid w:val="0"/>
              <w:spacing w:line="480" w:lineRule="auto"/>
              <w:jc w:val="both"/>
              <w:rPr>
                <w:rFonts w:hint="eastAsia" w:ascii="仿宋" w:hAnsi="仿宋" w:eastAsia="仿宋" w:cs="仿宋"/>
                <w:color w:val="auto"/>
                <w:kern w:val="2"/>
                <w:sz w:val="21"/>
                <w:szCs w:val="24"/>
                <w:lang w:val="en-US" w:eastAsia="zh-CN" w:bidi="ar-SA"/>
              </w:rPr>
            </w:pPr>
          </w:p>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兰</w:t>
            </w:r>
          </w:p>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州</w:t>
            </w:r>
          </w:p>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职</w:t>
            </w:r>
          </w:p>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业</w:t>
            </w:r>
          </w:p>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技</w:t>
            </w:r>
          </w:p>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术</w:t>
            </w:r>
          </w:p>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学</w:t>
            </w:r>
          </w:p>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院</w:t>
            </w:r>
          </w:p>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 </w:t>
            </w:r>
          </w:p>
        </w:tc>
        <w:tc>
          <w:tcPr>
            <w:tcW w:w="489" w:type="pct"/>
            <w:vMerge w:val="restart"/>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总校区</w:t>
            </w:r>
          </w:p>
        </w:tc>
        <w:tc>
          <w:tcPr>
            <w:tcW w:w="341" w:type="pct"/>
            <w:vMerge w:val="restart"/>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综合楼</w:t>
            </w: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通力电梯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Kone Nmini</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1.75</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9/9</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2013</w:t>
            </w:r>
          </w:p>
        </w:tc>
        <w:tc>
          <w:tcPr>
            <w:tcW w:w="483"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238" w:type="pct"/>
            <w:noWrap w:val="0"/>
            <w:vAlign w:val="center"/>
          </w:tcPr>
          <w:p>
            <w:pPr>
              <w:widowControl/>
              <w:numPr>
                <w:ilvl w:val="0"/>
                <w:numId w:val="0"/>
              </w:numPr>
              <w:ind w:left="425" w:leftChars="0" w:hanging="425" w:firstLineChars="0"/>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290"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341"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通力电梯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Kone Nmini</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1.75</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9/9</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2013</w:t>
            </w:r>
          </w:p>
        </w:tc>
        <w:tc>
          <w:tcPr>
            <w:tcW w:w="483"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Chars="0"/>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290"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341" w:type="pct"/>
            <w:vMerge w:val="restart"/>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图书馆</w:t>
            </w: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蒂森电梯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TE-Evolutionl</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7/7</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2015</w:t>
            </w:r>
          </w:p>
        </w:tc>
        <w:tc>
          <w:tcPr>
            <w:tcW w:w="483"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425" w:leftChars="0" w:hanging="425" w:firstLineChars="0"/>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290"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341"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蒂森电梯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TE-Evolutionl</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7/7</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2015</w:t>
            </w:r>
          </w:p>
        </w:tc>
        <w:tc>
          <w:tcPr>
            <w:tcW w:w="483"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425" w:leftChars="0" w:hanging="425" w:firstLineChars="0"/>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290"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341"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蒂森电梯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TE-Evolutionl</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860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7/7</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2015</w:t>
            </w:r>
          </w:p>
        </w:tc>
        <w:tc>
          <w:tcPr>
            <w:tcW w:w="483"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425" w:leftChars="0" w:hanging="425" w:firstLineChars="0"/>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290"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341" w:type="pct"/>
            <w:vMerge w:val="restart"/>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实训楼</w:t>
            </w: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通力电梯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Kone Nmini</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1.75</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8/8</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2018</w:t>
            </w:r>
          </w:p>
        </w:tc>
        <w:tc>
          <w:tcPr>
            <w:tcW w:w="483"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425" w:leftChars="0" w:hanging="425" w:firstLineChars="0"/>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290"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341"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通力电梯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Kone Nmini</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1.75</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9/9</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2018</w:t>
            </w:r>
          </w:p>
        </w:tc>
        <w:tc>
          <w:tcPr>
            <w:tcW w:w="483"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425" w:leftChars="0" w:hanging="425" w:firstLineChars="0"/>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290"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341"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通力电梯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Kone Nmini</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1.75</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8/8</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2018</w:t>
            </w:r>
          </w:p>
        </w:tc>
        <w:tc>
          <w:tcPr>
            <w:tcW w:w="483"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425" w:leftChars="0" w:hanging="425" w:firstLineChars="0"/>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290"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341" w:type="pct"/>
            <w:vMerge w:val="continue"/>
            <w:noWrap w:val="0"/>
            <w:vAlign w:val="center"/>
          </w:tcPr>
          <w:p>
            <w:pPr>
              <w:widowControl/>
              <w:snapToGrid w:val="0"/>
              <w:spacing w:line="480" w:lineRule="auto"/>
              <w:jc w:val="center"/>
              <w:rPr>
                <w:rFonts w:hint="eastAsia" w:ascii="仿宋" w:hAnsi="仿宋" w:eastAsia="仿宋" w:cs="仿宋"/>
                <w:color w:val="auto"/>
                <w:kern w:val="2"/>
                <w:sz w:val="21"/>
                <w:szCs w:val="24"/>
                <w:lang w:val="en-US" w:eastAsia="zh-CN" w:bidi="ar-SA"/>
              </w:rPr>
            </w:pP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通力电梯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Kone Nmini</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1.75</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9/9</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2018</w:t>
            </w:r>
          </w:p>
        </w:tc>
        <w:tc>
          <w:tcPr>
            <w:tcW w:w="483"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425" w:leftChars="0" w:hanging="425" w:firstLineChars="0"/>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290" w:type="pct"/>
            <w:vMerge w:val="continue"/>
            <w:noWrap w:val="0"/>
            <w:vAlign w:val="center"/>
          </w:tcPr>
          <w:p>
            <w:pPr>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snapToGrid w:val="0"/>
              <w:spacing w:line="480" w:lineRule="auto"/>
              <w:jc w:val="center"/>
              <w:rPr>
                <w:rFonts w:hint="eastAsia" w:ascii="仿宋" w:hAnsi="仿宋" w:eastAsia="仿宋" w:cs="仿宋"/>
                <w:color w:val="auto"/>
                <w:kern w:val="2"/>
                <w:sz w:val="21"/>
                <w:szCs w:val="24"/>
                <w:lang w:val="en-US" w:eastAsia="zh-CN" w:bidi="ar-SA"/>
              </w:rPr>
            </w:pPr>
          </w:p>
        </w:tc>
        <w:tc>
          <w:tcPr>
            <w:tcW w:w="341" w:type="pct"/>
            <w:vMerge w:val="continue"/>
            <w:noWrap w:val="0"/>
            <w:vAlign w:val="center"/>
          </w:tcPr>
          <w:p>
            <w:pPr>
              <w:snapToGrid w:val="0"/>
              <w:spacing w:line="480" w:lineRule="auto"/>
              <w:jc w:val="center"/>
              <w:rPr>
                <w:rFonts w:hint="eastAsia" w:ascii="仿宋" w:hAnsi="仿宋" w:eastAsia="仿宋" w:cs="仿宋"/>
                <w:color w:val="auto"/>
                <w:kern w:val="2"/>
                <w:sz w:val="21"/>
                <w:szCs w:val="24"/>
                <w:lang w:val="en-US" w:eastAsia="zh-CN" w:bidi="ar-SA"/>
              </w:rPr>
            </w:pP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迅达电梯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汽车电梯</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0.5</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8/8</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2018</w:t>
            </w:r>
          </w:p>
        </w:tc>
        <w:tc>
          <w:tcPr>
            <w:tcW w:w="483"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noWrap w:val="0"/>
            <w:vAlign w:val="center"/>
          </w:tcPr>
          <w:p>
            <w:pPr>
              <w:widowControl/>
              <w:numPr>
                <w:ilvl w:val="0"/>
                <w:numId w:val="0"/>
              </w:numPr>
              <w:ind w:leftChars="0"/>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290" w:type="pct"/>
            <w:vMerge w:val="continue"/>
            <w:noWrap w:val="0"/>
            <w:vAlign w:val="center"/>
          </w:tcPr>
          <w:p>
            <w:pPr>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雁儿湾校区</w:t>
            </w:r>
          </w:p>
        </w:tc>
        <w:tc>
          <w:tcPr>
            <w:tcW w:w="341"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体艺馆</w:t>
            </w: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迅达电梯</w:t>
            </w:r>
          </w:p>
        </w:tc>
        <w:tc>
          <w:tcPr>
            <w:tcW w:w="599"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载货电梯</w:t>
            </w:r>
          </w:p>
        </w:tc>
        <w:tc>
          <w:tcPr>
            <w:tcW w:w="365"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1600</w:t>
            </w:r>
          </w:p>
        </w:tc>
        <w:tc>
          <w:tcPr>
            <w:tcW w:w="317"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466"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2022</w:t>
            </w:r>
          </w:p>
        </w:tc>
        <w:tc>
          <w:tcPr>
            <w:tcW w:w="483"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vMerge w:val="restart"/>
            <w:noWrap w:val="0"/>
            <w:vAlign w:val="center"/>
          </w:tcPr>
          <w:p>
            <w:pPr>
              <w:widowControl/>
              <w:numPr>
                <w:ilvl w:val="0"/>
                <w:numId w:val="0"/>
              </w:numPr>
              <w:ind w:leftChars="0"/>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290" w:type="pct"/>
            <w:vMerge w:val="continue"/>
            <w:noWrap w:val="0"/>
            <w:vAlign w:val="center"/>
          </w:tcPr>
          <w:p>
            <w:pPr>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restar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总校区</w:t>
            </w:r>
          </w:p>
        </w:tc>
        <w:tc>
          <w:tcPr>
            <w:tcW w:w="341" w:type="pct"/>
            <w:vMerge w:val="restar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实训楼</w:t>
            </w: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通力电梯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Kone Nmini</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1.75</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8/8</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2018</w:t>
            </w:r>
          </w:p>
        </w:tc>
        <w:tc>
          <w:tcPr>
            <w:tcW w:w="483"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改造并联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238" w:type="pct"/>
            <w:vMerge w:val="continue"/>
            <w:noWrap w:val="0"/>
            <w:vAlign w:val="center"/>
          </w:tcPr>
          <w:p>
            <w:pPr>
              <w:widowControl/>
              <w:numPr>
                <w:ilvl w:val="0"/>
                <w:numId w:val="0"/>
              </w:numPr>
              <w:ind w:leftChars="0"/>
              <w:jc w:val="center"/>
              <w:rPr>
                <w:rFonts w:hint="eastAsia" w:ascii="仿宋" w:hAnsi="仿宋" w:eastAsia="仿宋" w:cs="仿宋"/>
                <w:color w:val="auto"/>
                <w:kern w:val="2"/>
                <w:sz w:val="21"/>
                <w:szCs w:val="24"/>
                <w:lang w:val="en-US" w:eastAsia="zh-CN" w:bidi="ar-SA"/>
              </w:rPr>
            </w:pPr>
          </w:p>
        </w:tc>
        <w:tc>
          <w:tcPr>
            <w:tcW w:w="290" w:type="pct"/>
            <w:vMerge w:val="continue"/>
            <w:noWrap w:val="0"/>
            <w:vAlign w:val="center"/>
          </w:tcPr>
          <w:p>
            <w:pPr>
              <w:snapToGrid w:val="0"/>
              <w:spacing w:line="480" w:lineRule="auto"/>
              <w:jc w:val="center"/>
              <w:rPr>
                <w:rFonts w:hint="eastAsia" w:ascii="仿宋" w:hAnsi="仿宋" w:eastAsia="仿宋" w:cs="仿宋"/>
                <w:color w:val="auto"/>
                <w:kern w:val="2"/>
                <w:sz w:val="21"/>
                <w:szCs w:val="24"/>
                <w:lang w:val="en-US" w:eastAsia="zh-CN" w:bidi="ar-SA"/>
              </w:rPr>
            </w:pPr>
          </w:p>
        </w:tc>
        <w:tc>
          <w:tcPr>
            <w:tcW w:w="489" w:type="pct"/>
            <w:vMerge w:val="continue"/>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341" w:type="pct"/>
            <w:vMerge w:val="continue"/>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47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通力电梯</w:t>
            </w:r>
          </w:p>
        </w:tc>
        <w:tc>
          <w:tcPr>
            <w:tcW w:w="599"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Kone Nmini</w:t>
            </w:r>
          </w:p>
        </w:tc>
        <w:tc>
          <w:tcPr>
            <w:tcW w:w="365"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1000</w:t>
            </w:r>
          </w:p>
        </w:tc>
        <w:tc>
          <w:tcPr>
            <w:tcW w:w="31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1.75</w:t>
            </w:r>
          </w:p>
        </w:tc>
        <w:tc>
          <w:tcPr>
            <w:tcW w:w="407"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9/9</w:t>
            </w:r>
          </w:p>
        </w:tc>
        <w:tc>
          <w:tcPr>
            <w:tcW w:w="466"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22" w:type="pct"/>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2018</w:t>
            </w:r>
          </w:p>
        </w:tc>
        <w:tc>
          <w:tcPr>
            <w:tcW w:w="483" w:type="pct"/>
            <w:noWrap w:val="0"/>
            <w:vAlign w:val="center"/>
          </w:tcPr>
          <w:p>
            <w:pPr>
              <w:widowControl/>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改造并联</w:t>
            </w:r>
          </w:p>
        </w:tc>
      </w:tr>
      <w:bookmarkEnd w:id="70"/>
    </w:tbl>
    <w:p>
      <w:pPr>
        <w:pStyle w:val="5"/>
        <w:spacing w:line="500" w:lineRule="exact"/>
        <w:ind w:firstLine="0"/>
        <w:jc w:val="left"/>
        <w:rPr>
          <w:rFonts w:hint="eastAsia" w:ascii="仿宋" w:hAnsi="仿宋" w:eastAsia="仿宋" w:cs="仿宋"/>
          <w:color w:val="auto"/>
          <w:kern w:val="2"/>
          <w:sz w:val="21"/>
          <w:szCs w:val="24"/>
          <w:lang w:val="en-US" w:eastAsia="zh-CN" w:bidi="ar-SA"/>
        </w:rPr>
        <w:sectPr>
          <w:headerReference r:id="rId11" w:type="default"/>
          <w:footerReference r:id="rId12" w:type="default"/>
          <w:pgSz w:w="11906" w:h="16838"/>
          <w:pgMar w:top="1440" w:right="1418" w:bottom="1440" w:left="1418" w:header="1020" w:footer="992" w:gutter="0"/>
          <w:pgNumType w:start="1"/>
          <w:cols w:space="720" w:num="1"/>
          <w:docGrid w:type="lines" w:linePitch="312" w:charSpace="0"/>
        </w:sectPr>
      </w:pPr>
    </w:p>
    <w:p>
      <w:pPr>
        <w:pStyle w:val="2"/>
        <w:ind w:left="680"/>
        <w:rPr>
          <w:rFonts w:hint="eastAsia" w:ascii="仿宋" w:hAnsi="仿宋" w:eastAsia="仿宋" w:cs="仿宋"/>
          <w:color w:val="auto"/>
          <w:kern w:val="2"/>
          <w:sz w:val="21"/>
          <w:szCs w:val="24"/>
          <w:lang w:val="en-US" w:eastAsia="zh-CN" w:bidi="ar-SA"/>
        </w:rPr>
      </w:pPr>
    </w:p>
    <w:p>
      <w:pPr>
        <w:pStyle w:val="3"/>
        <w:numPr>
          <w:ilvl w:val="0"/>
          <w:numId w:val="4"/>
        </w:num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内容及技术要求</w:t>
      </w:r>
    </w:p>
    <w:p>
      <w:pPr>
        <w:spacing w:line="480" w:lineRule="auto"/>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并联改造要求</w:t>
      </w:r>
    </w:p>
    <w:p>
      <w:pPr>
        <w:pStyle w:val="2"/>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依据（</w:t>
      </w:r>
      <w:r>
        <w:rPr>
          <w:rFonts w:hint="eastAsia" w:ascii="仿宋" w:hAnsi="仿宋" w:eastAsia="仿宋" w:cs="仿宋"/>
          <w:color w:val="auto"/>
          <w:kern w:val="2"/>
          <w:sz w:val="21"/>
          <w:szCs w:val="24"/>
          <w:lang w:val="en-US" w:eastAsia="zh-CN" w:bidi="ar-SA"/>
        </w:rPr>
        <w:fldChar w:fldCharType="begin"/>
      </w:r>
      <w:r>
        <w:rPr>
          <w:rFonts w:hint="eastAsia" w:ascii="仿宋" w:hAnsi="仿宋" w:eastAsia="仿宋" w:cs="仿宋"/>
          <w:color w:val="auto"/>
          <w:kern w:val="2"/>
          <w:sz w:val="21"/>
          <w:szCs w:val="24"/>
          <w:lang w:val="en-US" w:eastAsia="zh-CN" w:bidi="ar-SA"/>
        </w:rPr>
        <w:instrText xml:space="preserve"> HYPERLINK "https://baike.sogou.com/lemma/ShowInnerLink.htm?lemmaId=72191316&amp;ss_c=ssc.citiao.link" \t "https://baike.sogou.com/_blank" </w:instrText>
      </w:r>
      <w:r>
        <w:rPr>
          <w:rFonts w:hint="eastAsia" w:ascii="仿宋" w:hAnsi="仿宋" w:eastAsia="仿宋" w:cs="仿宋"/>
          <w:color w:val="auto"/>
          <w:kern w:val="2"/>
          <w:sz w:val="21"/>
          <w:szCs w:val="24"/>
          <w:lang w:val="en-US" w:eastAsia="zh-CN" w:bidi="ar-SA"/>
        </w:rPr>
        <w:fldChar w:fldCharType="separate"/>
      </w:r>
      <w:r>
        <w:rPr>
          <w:rFonts w:hint="default" w:ascii="仿宋" w:hAnsi="仿宋" w:eastAsia="仿宋" w:cs="仿宋"/>
          <w:color w:val="auto"/>
          <w:kern w:val="2"/>
          <w:sz w:val="21"/>
          <w:szCs w:val="24"/>
          <w:lang w:val="en-US" w:eastAsia="zh-CN" w:bidi="ar-SA"/>
        </w:rPr>
        <w:t>国家市场监督管理总局</w:t>
      </w:r>
      <w:r>
        <w:rPr>
          <w:rFonts w:hint="default" w:ascii="仿宋" w:hAnsi="仿宋" w:eastAsia="仿宋" w:cs="仿宋"/>
          <w:color w:val="auto"/>
          <w:kern w:val="2"/>
          <w:sz w:val="21"/>
          <w:szCs w:val="24"/>
          <w:lang w:val="en-US" w:eastAsia="zh-CN" w:bidi="ar-SA"/>
        </w:rPr>
        <w:fldChar w:fldCharType="end"/>
      </w:r>
      <w:r>
        <w:rPr>
          <w:rFonts w:hint="default" w:ascii="仿宋" w:hAnsi="仿宋" w:eastAsia="仿宋" w:cs="仿宋"/>
          <w:color w:val="auto"/>
          <w:kern w:val="2"/>
          <w:sz w:val="21"/>
          <w:szCs w:val="24"/>
          <w:lang w:val="en-US" w:eastAsia="zh-CN" w:bidi="ar-SA"/>
        </w:rPr>
        <w:t>发布《市场监管总局关于调整&lt;电梯施工类别划分表&gt;的通知》，对《电梯施工类别划分表》进行了调整，自2019年6月1日起施行</w:t>
      </w:r>
      <w:r>
        <w:rPr>
          <w:rFonts w:hint="eastAsia" w:ascii="仿宋" w:hAnsi="仿宋" w:eastAsia="仿宋" w:cs="仿宋"/>
          <w:color w:val="auto"/>
          <w:kern w:val="2"/>
          <w:sz w:val="21"/>
          <w:szCs w:val="24"/>
          <w:lang w:val="en-US" w:eastAsia="zh-CN" w:bidi="ar-SA"/>
        </w:rPr>
        <w:t>）内容规定，将原电梯集选控制方式（2台）改造成并联控制（加装并联模块），达到检验要求。且要求采用设备为原厂原件，质保时间不低于2年。并提供涉及电梯的改造方案及报价表（含调试、安装、验收等费用）在投标文件内。</w:t>
      </w:r>
    </w:p>
    <w:p>
      <w:pPr>
        <w:spacing w:line="480" w:lineRule="auto"/>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涉及电梯及参数如下：</w:t>
      </w:r>
    </w:p>
    <w:tbl>
      <w:tblPr>
        <w:tblStyle w:val="39"/>
        <w:tblW w:w="949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4082"/>
        <w:gridCol w:w="305"/>
        <w:gridCol w:w="4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747"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合同编号：1136729330</w:t>
            </w:r>
          </w:p>
        </w:tc>
        <w:tc>
          <w:tcPr>
            <w:tcW w:w="474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适用标准： GB/T 10058-2009、GB/T 10059-2009、Q/GKT 7588-2022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9495" w:type="dxa"/>
            <w:gridSpan w:val="4"/>
            <w:tcBorders>
              <w:top w:val="single" w:color="auto" w:sz="4" w:space="0"/>
              <w:left w:val="single" w:color="auto" w:sz="4" w:space="0"/>
              <w:bottom w:val="single" w:color="auto" w:sz="4" w:space="0"/>
              <w:right w:val="single" w:color="auto" w:sz="4" w:space="0"/>
            </w:tcBorders>
            <w:noWrap w:val="0"/>
            <w:vAlign w:val="center"/>
          </w:tcPr>
          <w:p>
            <w:pPr>
              <w:spacing w:line="0" w:lineRule="atLeast"/>
              <w:ind w:left="72"/>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型号/额定载重/额定速度:  LCE-KDL16 / 1000 Kg/ 1.75 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442"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ind w:left="72"/>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数  量： 1 台</w:t>
            </w:r>
          </w:p>
        </w:tc>
        <w:tc>
          <w:tcPr>
            <w:tcW w:w="5053"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ind w:left="72"/>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梯  号 ： 实训楼1#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9495" w:type="dxa"/>
            <w:gridSpan w:val="4"/>
            <w:tcBorders>
              <w:top w:val="single" w:color="auto" w:sz="4" w:space="0"/>
              <w:left w:val="single" w:color="auto" w:sz="4" w:space="0"/>
              <w:bottom w:val="single" w:color="auto" w:sz="4" w:space="0"/>
              <w:right w:val="single" w:color="auto" w:sz="4" w:space="0"/>
            </w:tcBorders>
            <w:noWrap w:val="0"/>
            <w:vAlign w:val="center"/>
          </w:tcPr>
          <w:p>
            <w:pPr>
              <w:spacing w:line="0" w:lineRule="atLeast"/>
              <w:ind w:left="-107" w:firstLine="107"/>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 产品规格：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6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center"/>
              <w:rPr>
                <w:rFonts w:hint="eastAsia" w:ascii="仿宋" w:hAnsi="仿宋" w:eastAsia="仿宋" w:cs="仿宋"/>
                <w:color w:val="auto"/>
                <w:kern w:val="2"/>
                <w:sz w:val="21"/>
                <w:szCs w:val="24"/>
                <w:lang w:val="en-US" w:eastAsia="zh-CN" w:bidi="ar-SA"/>
              </w:rPr>
            </w:pPr>
          </w:p>
        </w:tc>
        <w:tc>
          <w:tcPr>
            <w:tcW w:w="408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层/站/门： 8 层 8 站 8 门</w:t>
            </w:r>
          </w:p>
        </w:tc>
        <w:tc>
          <w:tcPr>
            <w:tcW w:w="505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控制方式： 集选控制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6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center"/>
              <w:rPr>
                <w:rFonts w:hint="eastAsia" w:ascii="仿宋" w:hAnsi="仿宋" w:eastAsia="仿宋" w:cs="仿宋"/>
                <w:color w:val="auto"/>
                <w:kern w:val="2"/>
                <w:sz w:val="21"/>
                <w:szCs w:val="24"/>
                <w:lang w:val="en-US" w:eastAsia="zh-CN" w:bidi="ar-SA"/>
              </w:rPr>
            </w:pPr>
          </w:p>
        </w:tc>
        <w:tc>
          <w:tcPr>
            <w:tcW w:w="408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开门方式：A侧 ☑中分式(1C)   □中分式      □旁开</w:t>
            </w:r>
          </w:p>
        </w:tc>
        <w:tc>
          <w:tcPr>
            <w:tcW w:w="505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贯通门：☑否   □是(C侧)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747"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合同编号：1136729332</w:t>
            </w:r>
          </w:p>
        </w:tc>
        <w:tc>
          <w:tcPr>
            <w:tcW w:w="474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适用标准： GB/T 10058-2009、GB/T 10059-2009、Q/GKT 7588-2022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9495" w:type="dxa"/>
            <w:gridSpan w:val="4"/>
            <w:tcBorders>
              <w:top w:val="single" w:color="auto" w:sz="4" w:space="0"/>
              <w:left w:val="single" w:color="auto" w:sz="4" w:space="0"/>
              <w:bottom w:val="single" w:color="auto" w:sz="4" w:space="0"/>
              <w:right w:val="single" w:color="auto" w:sz="4" w:space="0"/>
            </w:tcBorders>
            <w:noWrap w:val="0"/>
            <w:vAlign w:val="center"/>
          </w:tcPr>
          <w:p>
            <w:pPr>
              <w:spacing w:line="0" w:lineRule="atLeast"/>
              <w:ind w:left="72"/>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型号/额定载重/额定速度:  LCE-KDL16 / 1000 Kg/ 1.75 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442"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ind w:left="72"/>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数  量： 1 台</w:t>
            </w:r>
          </w:p>
        </w:tc>
        <w:tc>
          <w:tcPr>
            <w:tcW w:w="5053"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ind w:left="72"/>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梯  号 ： 实训楼2#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9495" w:type="dxa"/>
            <w:gridSpan w:val="4"/>
            <w:tcBorders>
              <w:top w:val="single" w:color="auto" w:sz="4" w:space="0"/>
              <w:left w:val="single" w:color="auto" w:sz="4" w:space="0"/>
              <w:bottom w:val="single" w:color="auto" w:sz="4" w:space="0"/>
              <w:right w:val="single" w:color="auto" w:sz="4" w:space="0"/>
            </w:tcBorders>
            <w:noWrap w:val="0"/>
            <w:vAlign w:val="center"/>
          </w:tcPr>
          <w:p>
            <w:pPr>
              <w:spacing w:line="0" w:lineRule="atLeast"/>
              <w:ind w:left="-107" w:firstLine="107"/>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 产品规格：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6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center"/>
              <w:rPr>
                <w:rFonts w:hint="eastAsia" w:ascii="仿宋" w:hAnsi="仿宋" w:eastAsia="仿宋" w:cs="仿宋"/>
                <w:color w:val="auto"/>
                <w:kern w:val="2"/>
                <w:sz w:val="21"/>
                <w:szCs w:val="24"/>
                <w:lang w:val="en-US" w:eastAsia="zh-CN" w:bidi="ar-SA"/>
              </w:rPr>
            </w:pPr>
          </w:p>
        </w:tc>
        <w:tc>
          <w:tcPr>
            <w:tcW w:w="408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层/站/门： 9 层 9 站 9 门</w:t>
            </w:r>
          </w:p>
        </w:tc>
        <w:tc>
          <w:tcPr>
            <w:tcW w:w="505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控制方式： 集选控制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6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center"/>
              <w:rPr>
                <w:rFonts w:hint="eastAsia" w:ascii="仿宋" w:hAnsi="仿宋" w:eastAsia="仿宋" w:cs="仿宋"/>
                <w:color w:val="auto"/>
                <w:kern w:val="2"/>
                <w:sz w:val="21"/>
                <w:szCs w:val="24"/>
                <w:lang w:val="en-US" w:eastAsia="zh-CN" w:bidi="ar-SA"/>
              </w:rPr>
            </w:pPr>
          </w:p>
        </w:tc>
        <w:tc>
          <w:tcPr>
            <w:tcW w:w="408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开门方式：A侧 ☑中分式(1C)   □中分式      □旁开</w:t>
            </w:r>
          </w:p>
        </w:tc>
        <w:tc>
          <w:tcPr>
            <w:tcW w:w="505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贯通门：☑否   □是(C侧)</w:t>
            </w:r>
          </w:p>
        </w:tc>
      </w:tr>
    </w:tbl>
    <w:p>
      <w:pPr>
        <w:pStyle w:val="2"/>
        <w:rPr>
          <w:rFonts w:hint="default" w:ascii="仿宋" w:hAnsi="仿宋" w:eastAsia="仿宋" w:cs="仿宋"/>
          <w:color w:val="auto"/>
          <w:kern w:val="2"/>
          <w:sz w:val="21"/>
          <w:szCs w:val="24"/>
          <w:lang w:val="en-US" w:eastAsia="zh-CN" w:bidi="ar-SA"/>
        </w:rPr>
      </w:pPr>
      <w:r>
        <w:rPr>
          <w:rFonts w:hint="default" w:ascii="仿宋" w:hAnsi="仿宋" w:eastAsia="仿宋" w:cs="仿宋"/>
          <w:color w:val="auto"/>
          <w:kern w:val="2"/>
          <w:sz w:val="21"/>
          <w:szCs w:val="24"/>
          <w:lang w:val="en-US" w:eastAsia="zh-CN" w:bidi="ar-SA"/>
        </w:rPr>
        <w:drawing>
          <wp:inline distT="0" distB="0" distL="114300" distR="114300">
            <wp:extent cx="1772285" cy="1329055"/>
            <wp:effectExtent l="0" t="0" r="18415" b="4445"/>
            <wp:docPr id="16" name="图片 3" descr="7194c0f1162a9416f24159c249098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7194c0f1162a9416f24159c249098cc"/>
                    <pic:cNvPicPr>
                      <a:picLocks noChangeAspect="1"/>
                    </pic:cNvPicPr>
                  </pic:nvPicPr>
                  <pic:blipFill>
                    <a:blip r:embed="rId19"/>
                    <a:stretch>
                      <a:fillRect/>
                    </a:stretch>
                  </pic:blipFill>
                  <pic:spPr>
                    <a:xfrm>
                      <a:off x="0" y="0"/>
                      <a:ext cx="1772285" cy="1329055"/>
                    </a:xfrm>
                    <a:prstGeom prst="rect">
                      <a:avLst/>
                    </a:prstGeom>
                    <a:noFill/>
                    <a:ln>
                      <a:noFill/>
                    </a:ln>
                  </pic:spPr>
                </pic:pic>
              </a:graphicData>
            </a:graphic>
          </wp:inline>
        </w:drawing>
      </w:r>
      <w:r>
        <w:rPr>
          <w:rFonts w:hint="default" w:ascii="仿宋" w:hAnsi="仿宋" w:eastAsia="仿宋" w:cs="仿宋"/>
          <w:color w:val="auto"/>
          <w:kern w:val="2"/>
          <w:sz w:val="21"/>
          <w:szCs w:val="24"/>
          <w:lang w:val="en-US" w:eastAsia="zh-CN" w:bidi="ar-SA"/>
        </w:rPr>
        <w:drawing>
          <wp:inline distT="0" distB="0" distL="114300" distR="114300">
            <wp:extent cx="1776095" cy="1332230"/>
            <wp:effectExtent l="0" t="0" r="14605" b="1270"/>
            <wp:docPr id="15" name="图片 4" descr="e1d04dd8a8ba6da7a5ba9f665f1dd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descr="e1d04dd8a8ba6da7a5ba9f665f1dd82"/>
                    <pic:cNvPicPr>
                      <a:picLocks noChangeAspect="1"/>
                    </pic:cNvPicPr>
                  </pic:nvPicPr>
                  <pic:blipFill>
                    <a:blip r:embed="rId20"/>
                    <a:stretch>
                      <a:fillRect/>
                    </a:stretch>
                  </pic:blipFill>
                  <pic:spPr>
                    <a:xfrm>
                      <a:off x="0" y="0"/>
                      <a:ext cx="1776095" cy="1332230"/>
                    </a:xfrm>
                    <a:prstGeom prst="rect">
                      <a:avLst/>
                    </a:prstGeom>
                    <a:noFill/>
                    <a:ln>
                      <a:noFill/>
                    </a:ln>
                  </pic:spPr>
                </pic:pic>
              </a:graphicData>
            </a:graphic>
          </wp:inline>
        </w:drawing>
      </w:r>
    </w:p>
    <w:p>
      <w:pPr>
        <w:pStyle w:val="2"/>
        <w:numPr>
          <w:ilvl w:val="0"/>
          <w:numId w:val="0"/>
        </w:numPr>
        <w:rPr>
          <w:rFonts w:hint="default" w:ascii="仿宋" w:hAnsi="仿宋" w:eastAsia="仿宋" w:cs="仿宋"/>
          <w:color w:val="auto"/>
          <w:kern w:val="2"/>
          <w:sz w:val="21"/>
          <w:szCs w:val="24"/>
          <w:lang w:val="en-US" w:eastAsia="zh-CN" w:bidi="ar-SA"/>
        </w:rPr>
      </w:pPr>
    </w:p>
    <w:p>
      <w:pPr>
        <w:spacing w:line="480" w:lineRule="auto"/>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维护保养服务要求   </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
        <w:gridCol w:w="1523"/>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序号</w:t>
            </w: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条款号</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项目采购需求.</w:t>
            </w:r>
          </w:p>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维保要求1.</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每月对每部电梯进行四检查二保养，及时维修或更换损坏部件，保养符合行业安全运行标准，并填写维保记录。其中：电梯曳引机、限速器、涨绳轮、缓冲器、制动器等每月维保润滑两次，并检查有无漏油、磨损情况；电梯厅、编码器、轿门、轿顶、轿厢（照明、风扇、应急照明）、门锁、导轨、安全钳、导靴、钢丝绳、电器柜、急停回路、各安全开关、操纵盘、外呼、门机系统每月检修维保两次。严格按照电梯维护保养规则完成半月、季度、半年、年度中所包含的内容，使电梯达到安全要求，保证电梯正常运行。</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9" w:hRule="atLeast"/>
        </w:trPr>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项目采购需求.</w:t>
            </w:r>
          </w:p>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维保要求2.</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2.中标人需配合招标人负责协调甘肃省特种设备检验研究院做好招标范围内的电 梯年检工作，并保证年检顺利通过，年检费及检验过程中所需的其他车辆、砝码等所有费用由投标人承担。造成复检等其它问题，一切费用由投标人承担。</w:t>
            </w:r>
          </w:p>
          <w:p>
            <w:pPr>
              <w:widowControl/>
              <w:jc w:val="center"/>
              <w:rPr>
                <w:rFonts w:hint="eastAsia" w:ascii="仿宋" w:hAnsi="仿宋" w:eastAsia="仿宋" w:cs="仿宋"/>
                <w:color w:val="auto"/>
                <w:kern w:val="2"/>
                <w:sz w:val="21"/>
                <w:szCs w:val="24"/>
                <w:lang w:val="en-US" w:eastAsia="zh-CN" w:bidi="ar-SA"/>
              </w:rPr>
            </w:pP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项目采购需求.</w:t>
            </w:r>
          </w:p>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维保要求3.</w:t>
            </w:r>
          </w:p>
          <w:p>
            <w:pPr>
              <w:widowControl/>
              <w:jc w:val="center"/>
              <w:rPr>
                <w:rFonts w:hint="eastAsia" w:ascii="仿宋" w:hAnsi="仿宋" w:eastAsia="仿宋" w:cs="仿宋"/>
                <w:color w:val="auto"/>
                <w:kern w:val="2"/>
                <w:sz w:val="21"/>
                <w:szCs w:val="24"/>
                <w:lang w:val="en-US" w:eastAsia="zh-CN" w:bidi="ar-SA"/>
              </w:rPr>
            </w:pP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3.对维保电梯建立档案，以掌握电梯使用状况，每年以书面方式提供合理可行的维保计划与建议。</w:t>
            </w:r>
          </w:p>
          <w:p>
            <w:pPr>
              <w:widowControl/>
              <w:jc w:val="center"/>
              <w:rPr>
                <w:rFonts w:hint="eastAsia" w:ascii="仿宋" w:hAnsi="仿宋" w:eastAsia="仿宋" w:cs="仿宋"/>
                <w:color w:val="auto"/>
                <w:kern w:val="2"/>
                <w:sz w:val="21"/>
                <w:szCs w:val="24"/>
                <w:lang w:val="en-US" w:eastAsia="zh-CN" w:bidi="ar-SA"/>
              </w:rPr>
            </w:pP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项目采购需求.</w:t>
            </w:r>
          </w:p>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维保要求4.</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4.电梯保养完毕后，将保养记录交招标人各电梯具体使用部门签字认可，保养任务的完成与否，以使用单位签字确认单为准，及时配合招标人做好电梯故障维修记录。</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trPr>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项目采购需求.</w:t>
            </w:r>
          </w:p>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维保要求5.</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维保单位应遵守国家关于电梯的相关法规 , 维保内容必须符合国家 TSG T5002-2017《电梯维护保养规则》、GB/T 18775-2002《电梯维修规范》、甘肃省管理部门现行规定，在国家电梯标准变化时，维保内容应符合国家最新规定。</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项目采购需求.</w:t>
            </w:r>
          </w:p>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维保要求6.</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6.每年至少进行一次自行检查，自行检查在特种设备检验机构进行定期检验之前进行。</w:t>
            </w:r>
          </w:p>
          <w:p>
            <w:pPr>
              <w:widowControl/>
              <w:jc w:val="both"/>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服务要求1.</w:t>
            </w:r>
          </w:p>
          <w:p>
            <w:pPr>
              <w:jc w:val="center"/>
              <w:rPr>
                <w:rFonts w:hint="eastAsia" w:ascii="仿宋" w:hAnsi="仿宋" w:eastAsia="仿宋" w:cs="仿宋"/>
                <w:color w:val="auto"/>
                <w:kern w:val="2"/>
                <w:sz w:val="21"/>
                <w:szCs w:val="24"/>
                <w:lang w:val="en-US" w:eastAsia="zh-CN" w:bidi="ar-SA"/>
              </w:rPr>
            </w:pPr>
          </w:p>
          <w:p>
            <w:pPr>
              <w:widowControl/>
              <w:jc w:val="center"/>
              <w:rPr>
                <w:rFonts w:hint="eastAsia" w:ascii="仿宋" w:hAnsi="仿宋" w:eastAsia="仿宋" w:cs="仿宋"/>
                <w:color w:val="auto"/>
                <w:kern w:val="2"/>
                <w:sz w:val="21"/>
                <w:szCs w:val="24"/>
                <w:lang w:val="en-US" w:eastAsia="zh-CN" w:bidi="ar-SA"/>
              </w:rPr>
            </w:pP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1.中标人需在兰州有办公场所或承诺中标后在兰州设立办事处，设置专门的维保电话。明确办事处办公地点、人员构成及维保电话号码。</w:t>
            </w:r>
          </w:p>
          <w:p>
            <w:pPr>
              <w:widowControl/>
              <w:jc w:val="both"/>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服务要求2.</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2.中标单位需在服务范围内常驻 1 名工作人员、二派驻人员电话需 24 小时开机，如遇电梯困人等紧急事件需在 30 分钟之内赶到现场完成施救，其它问题需在 24 小时内处理完成。招标人不提供常驻人员住宿，住宿等问题由成交方自行解决。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服务要求3.</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3.在电梯发生困人事件时，在接到电话后 30 分钟之内未能及时赶到现场完成施救，产生不良影响的，招标人有权对维保单位按 500 元/次进行处罚。 </w:t>
            </w:r>
          </w:p>
          <w:p>
            <w:pPr>
              <w:widowControl/>
              <w:jc w:val="both"/>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服务要求4.</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4.如学校有重大事项及活动（如各级领导来访、英语四六级、考试大赛等），应配专业维保人员驻扎现场，以备电梯发生故障后及时处理，确保电梯正常运行。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服务要求5.</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5.维保时应自行配备电梯维保所需要的工具及设备，在现场设置安全警示标志，张贴书面通知并提前通知招标方，在招标人相关部门负责人同意的情况下，方可进行维保。</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服务要求6.</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6.正常维保需停梯时，必须在 24 小时之前告知招标方，需在电梯处张贴书面通知设立围挡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服务要求7.</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7.成交方应提供管理人员、技术负责人简历及特种设备相关的资质证书供招标人备案。</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服务要求8.</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8.协助招标方制定电梯安全管理制度和应急预案。</w:t>
            </w:r>
          </w:p>
          <w:p>
            <w:pPr>
              <w:jc w:val="center"/>
              <w:rPr>
                <w:rFonts w:hint="eastAsia" w:ascii="仿宋" w:hAnsi="仿宋" w:eastAsia="仿宋" w:cs="仿宋"/>
                <w:color w:val="auto"/>
                <w:kern w:val="2"/>
                <w:sz w:val="21"/>
                <w:szCs w:val="24"/>
                <w:lang w:val="en-US" w:eastAsia="zh-CN" w:bidi="ar-SA"/>
              </w:rPr>
            </w:pPr>
          </w:p>
          <w:p>
            <w:pPr>
              <w:widowControl/>
              <w:jc w:val="both"/>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服务要求9.</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9.制定应急措施和救援预案，每半年至少针对招标人不同类别（类型）电梯进行一次应急服务保障。</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服务要求10.</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10.在维保过程中，发现事故隐患应及时向告知招标人。</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其他要求1.</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1.在维保期限内，招标人有权监督维保服务质量及维修质量，如同一部电梯累计三次的服务质量或维修质量未达到招标方要求，经学校主管部门核实，招标人有权单方面解除维保合同。</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其他要求2.</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2.投标人由于电梯困人连续三以上（含 3 次）没有按招标方要求 30 分钟之内到场，招标人有权单方面解除合同。</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其他要求3.</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3.若投标人因主观原因未向招标方提前通报电梯可能出现的故障征兆，从而给招标人或乘梯人造成重大损失的，由招标方承担相关责任，且招标人有权视情况解除与乙方的维保合同。</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其他要求4.</w:t>
            </w: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4.维保公司应提供电梯主要零部件及拟后期采用的主要零部件情况（品牌、规格等信息），必须是原厂原品牌，如提供配件为副厂或翻新件，招标人一经发现罚款 2000 元，发现 3 次解除维保合同。</w:t>
            </w:r>
          </w:p>
          <w:p>
            <w:pPr>
              <w:widowControl/>
              <w:jc w:val="cente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3" w:hRule="atLeast"/>
        </w:trPr>
        <w:tc>
          <w:tcPr>
            <w:tcW w:w="0" w:type="auto"/>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1523" w:type="dxa"/>
            <w:noWrap w:val="0"/>
            <w:vAlign w:val="center"/>
          </w:tcPr>
          <w:p>
            <w:pPr>
              <w:widowControl/>
              <w:jc w:val="center"/>
              <w:rPr>
                <w:rFonts w:hint="eastAsia" w:ascii="仿宋" w:hAnsi="仿宋" w:eastAsia="仿宋" w:cs="仿宋"/>
                <w:color w:val="auto"/>
                <w:kern w:val="2"/>
                <w:sz w:val="21"/>
                <w:szCs w:val="24"/>
                <w:lang w:val="en-US" w:eastAsia="zh-CN" w:bidi="ar-SA"/>
              </w:rPr>
            </w:pPr>
          </w:p>
        </w:tc>
        <w:tc>
          <w:tcPr>
            <w:tcW w:w="6571" w:type="dxa"/>
            <w:noWrap w:val="0"/>
            <w:vAlign w:val="center"/>
          </w:tcPr>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8.技术要求及质量要求投标人所投电梯设备维保工程应满足最新现行的标准。包括但不限于以下标准：</w:t>
            </w:r>
          </w:p>
          <w:p>
            <w:pPr>
              <w:widowControl/>
              <w:jc w:val="center"/>
              <w:rPr>
                <w:rFonts w:hint="eastAsia" w:ascii="仿宋" w:hAnsi="仿宋" w:eastAsia="仿宋" w:cs="仿宋"/>
                <w:color w:val="auto"/>
                <w:kern w:val="2"/>
                <w:sz w:val="21"/>
                <w:szCs w:val="24"/>
                <w:lang w:val="en-US" w:eastAsia="zh-CN" w:bidi="ar-SA"/>
              </w:rPr>
            </w:pPr>
          </w:p>
          <w:tbl>
            <w:tblPr>
              <w:tblStyle w:val="39"/>
              <w:tblW w:w="0" w:type="auto"/>
              <w:tblInd w:w="222" w:type="dxa"/>
              <w:tblLayout w:type="autofit"/>
              <w:tblCellMar>
                <w:top w:w="0" w:type="dxa"/>
                <w:left w:w="0" w:type="dxa"/>
                <w:bottom w:w="0" w:type="dxa"/>
                <w:right w:w="0" w:type="dxa"/>
              </w:tblCellMar>
            </w:tblPr>
            <w:tblGrid>
              <w:gridCol w:w="1470"/>
              <w:gridCol w:w="4433"/>
            </w:tblGrid>
            <w:tr>
              <w:tblPrEx>
                <w:tblCellMar>
                  <w:top w:w="0" w:type="dxa"/>
                  <w:left w:w="0" w:type="dxa"/>
                  <w:bottom w:w="0" w:type="dxa"/>
                  <w:right w:w="0" w:type="dxa"/>
                </w:tblCellMar>
              </w:tblPrEx>
              <w:trPr>
                <w:trHeight w:val="274" w:hRule="atLeast"/>
              </w:trPr>
              <w:tc>
                <w:tcPr>
                  <w:tcW w:w="1440"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GB7588-2003</w:t>
                  </w:r>
                </w:p>
              </w:tc>
              <w:tc>
                <w:tcPr>
                  <w:tcW w:w="4433"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《电梯制造与安装安全规范》</w:t>
                  </w:r>
                </w:p>
              </w:tc>
            </w:tr>
            <w:tr>
              <w:tblPrEx>
                <w:tblCellMar>
                  <w:top w:w="0" w:type="dxa"/>
                  <w:left w:w="0" w:type="dxa"/>
                  <w:bottom w:w="0" w:type="dxa"/>
                  <w:right w:w="0" w:type="dxa"/>
                </w:tblCellMar>
              </w:tblPrEx>
              <w:trPr>
                <w:trHeight w:val="469" w:hRule="atLeast"/>
              </w:trPr>
              <w:tc>
                <w:tcPr>
                  <w:tcW w:w="1440"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GB/T10058-1997</w:t>
                  </w:r>
                </w:p>
              </w:tc>
              <w:tc>
                <w:tcPr>
                  <w:tcW w:w="4433"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《电梯技术条件》</w:t>
                  </w:r>
                </w:p>
              </w:tc>
            </w:tr>
            <w:tr>
              <w:tblPrEx>
                <w:tblCellMar>
                  <w:top w:w="0" w:type="dxa"/>
                  <w:left w:w="0" w:type="dxa"/>
                  <w:bottom w:w="0" w:type="dxa"/>
                  <w:right w:w="0" w:type="dxa"/>
                </w:tblCellMar>
              </w:tblPrEx>
              <w:trPr>
                <w:trHeight w:val="466" w:hRule="atLeast"/>
              </w:trPr>
              <w:tc>
                <w:tcPr>
                  <w:tcW w:w="1440"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GB10060-93</w:t>
                  </w:r>
                </w:p>
              </w:tc>
              <w:tc>
                <w:tcPr>
                  <w:tcW w:w="4433"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《电梯安装验收规范》</w:t>
                  </w:r>
                </w:p>
              </w:tc>
            </w:tr>
            <w:tr>
              <w:tblPrEx>
                <w:tblCellMar>
                  <w:top w:w="0" w:type="dxa"/>
                  <w:left w:w="0" w:type="dxa"/>
                  <w:bottom w:w="0" w:type="dxa"/>
                  <w:right w:w="0" w:type="dxa"/>
                </w:tblCellMar>
              </w:tblPrEx>
              <w:trPr>
                <w:trHeight w:val="468" w:hRule="atLeast"/>
              </w:trPr>
              <w:tc>
                <w:tcPr>
                  <w:tcW w:w="1440"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GB50310-2002</w:t>
                  </w:r>
                </w:p>
              </w:tc>
              <w:tc>
                <w:tcPr>
                  <w:tcW w:w="4433"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《电梯工程施工质量验收规范》</w:t>
                  </w:r>
                </w:p>
              </w:tc>
            </w:tr>
            <w:tr>
              <w:tblPrEx>
                <w:tblCellMar>
                  <w:top w:w="0" w:type="dxa"/>
                  <w:left w:w="0" w:type="dxa"/>
                  <w:bottom w:w="0" w:type="dxa"/>
                  <w:right w:w="0" w:type="dxa"/>
                </w:tblCellMar>
              </w:tblPrEx>
              <w:trPr>
                <w:trHeight w:val="466" w:hRule="atLeast"/>
              </w:trPr>
              <w:tc>
                <w:tcPr>
                  <w:tcW w:w="1440"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DB11-420-2007</w:t>
                  </w:r>
                </w:p>
              </w:tc>
              <w:tc>
                <w:tcPr>
                  <w:tcW w:w="4433"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《电梯安装、改造、重大维修和维护保养自检规则》</w:t>
                  </w:r>
                </w:p>
              </w:tc>
            </w:tr>
            <w:tr>
              <w:tblPrEx>
                <w:tblCellMar>
                  <w:top w:w="0" w:type="dxa"/>
                  <w:left w:w="0" w:type="dxa"/>
                  <w:bottom w:w="0" w:type="dxa"/>
                  <w:right w:w="0" w:type="dxa"/>
                </w:tblCellMar>
              </w:tblPrEx>
              <w:trPr>
                <w:trHeight w:val="468" w:hRule="atLeast"/>
              </w:trPr>
              <w:tc>
                <w:tcPr>
                  <w:tcW w:w="1440"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GB10059-1997</w:t>
                  </w:r>
                </w:p>
              </w:tc>
              <w:tc>
                <w:tcPr>
                  <w:tcW w:w="4433"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《电梯试验方法》</w:t>
                  </w:r>
                </w:p>
              </w:tc>
            </w:tr>
            <w:tr>
              <w:tblPrEx>
                <w:tblCellMar>
                  <w:top w:w="0" w:type="dxa"/>
                  <w:left w:w="0" w:type="dxa"/>
                  <w:bottom w:w="0" w:type="dxa"/>
                  <w:right w:w="0" w:type="dxa"/>
                </w:tblCellMar>
              </w:tblPrEx>
              <w:trPr>
                <w:trHeight w:val="466" w:hRule="atLeast"/>
              </w:trPr>
              <w:tc>
                <w:tcPr>
                  <w:tcW w:w="1440"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JJ49-87</w:t>
                  </w:r>
                </w:p>
              </w:tc>
              <w:tc>
                <w:tcPr>
                  <w:tcW w:w="4433" w:type="dxa"/>
                  <w:noWrap w:val="0"/>
                  <w:vAlign w:val="bottom"/>
                </w:tcPr>
                <w:p>
                  <w:pPr>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《电梯手册》</w:t>
                  </w:r>
                </w:p>
              </w:tc>
            </w:tr>
          </w:tbl>
          <w:p>
            <w:pPr>
              <w:widowControl/>
              <w:jc w:val="center"/>
              <w:rPr>
                <w:rFonts w:hint="eastAsia" w:ascii="仿宋" w:hAnsi="仿宋" w:eastAsia="仿宋" w:cs="仿宋"/>
                <w:color w:val="auto"/>
                <w:kern w:val="2"/>
                <w:sz w:val="21"/>
                <w:szCs w:val="24"/>
                <w:lang w:val="en-US" w:eastAsia="zh-CN" w:bidi="ar-SA"/>
              </w:rPr>
            </w:pPr>
          </w:p>
          <w:p>
            <w:pPr>
              <w:widowControl/>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电梯安装工程质量检验评估标准（试行版）其他有关法律、法规。以上规范若有新版本，以发标时最新版本为准。</w:t>
            </w:r>
            <w:bookmarkStart w:id="71" w:name="page32"/>
            <w:bookmarkEnd w:id="71"/>
            <w:r>
              <w:rPr>
                <w:rFonts w:hint="eastAsia" w:ascii="仿宋" w:hAnsi="仿宋" w:eastAsia="仿宋" w:cs="仿宋"/>
                <w:color w:val="auto"/>
                <w:kern w:val="2"/>
                <w:sz w:val="21"/>
                <w:szCs w:val="24"/>
                <w:lang w:val="en-US" w:eastAsia="zh-CN" w:bidi="ar-SA"/>
              </w:rPr>
              <w:t>投标人的产品须同时满足国家标准、行业标准及招标人技术要求，当上述三者不一致时，以要求高者为准。相关维保所需材料、需按国家相关法律规定、国家限制性标准和行业强制性标准要求执行；材料“三包”按国家或行业有关规定执行。</w:t>
            </w:r>
          </w:p>
        </w:tc>
      </w:tr>
    </w:tbl>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br w:type="page"/>
      </w:r>
    </w:p>
    <w:p>
      <w:pPr>
        <w:pStyle w:val="5"/>
        <w:ind w:firstLine="0"/>
        <w:rPr>
          <w:rFonts w:hint="eastAsia" w:ascii="仿宋" w:hAnsi="仿宋" w:eastAsia="仿宋" w:cs="仿宋"/>
          <w:color w:val="auto"/>
          <w:kern w:val="2"/>
          <w:sz w:val="21"/>
          <w:szCs w:val="24"/>
          <w:lang w:val="en-US" w:eastAsia="zh-CN" w:bidi="ar-SA"/>
        </w:rPr>
      </w:pPr>
    </w:p>
    <w:p>
      <w:pPr>
        <w:pStyle w:val="5"/>
        <w:ind w:firstLine="0"/>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维保内容：日常维护保养内容（月度、季度、半年度、年度）</w:t>
      </w:r>
    </w:p>
    <w:p>
      <w:pPr>
        <w:pStyle w:val="5"/>
        <w:ind w:firstLine="0"/>
        <w:rPr>
          <w:rFonts w:hint="default" w:ascii="仿宋" w:hAnsi="仿宋" w:eastAsia="仿宋" w:cs="仿宋"/>
          <w:color w:val="auto"/>
          <w:kern w:val="2"/>
          <w:sz w:val="21"/>
          <w:szCs w:val="24"/>
          <w:lang w:val="en-US" w:eastAsia="zh-CN" w:bidi="ar-SA"/>
        </w:rPr>
      </w:pPr>
    </w:p>
    <w:tbl>
      <w:tblPr>
        <w:tblStyle w:val="39"/>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693"/>
        <w:gridCol w:w="2228"/>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项目名称</w:t>
            </w:r>
          </w:p>
        </w:tc>
        <w:tc>
          <w:tcPr>
            <w:tcW w:w="7875" w:type="dxa"/>
            <w:gridSpan w:val="4"/>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设备编号</w:t>
            </w:r>
          </w:p>
        </w:tc>
        <w:tc>
          <w:tcPr>
            <w:tcW w:w="2693" w:type="dxa"/>
            <w:noWrap w:val="0"/>
            <w:vAlign w:val="center"/>
          </w:tcPr>
          <w:p>
            <w:pPr>
              <w:rPr>
                <w:rFonts w:hint="eastAsia" w:ascii="仿宋" w:hAnsi="仿宋" w:eastAsia="仿宋" w:cs="仿宋"/>
                <w:color w:val="auto"/>
                <w:kern w:val="2"/>
                <w:sz w:val="21"/>
                <w:szCs w:val="24"/>
                <w:lang w:val="en-US" w:eastAsia="zh-CN" w:bidi="ar-SA"/>
              </w:rPr>
            </w:pPr>
          </w:p>
        </w:tc>
        <w:tc>
          <w:tcPr>
            <w:tcW w:w="2228"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维保日期</w:t>
            </w:r>
          </w:p>
        </w:tc>
        <w:tc>
          <w:tcPr>
            <w:tcW w:w="2954"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序号</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维护保养项目（内容）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维护保养基本要求</w:t>
            </w:r>
          </w:p>
        </w:tc>
        <w:tc>
          <w:tcPr>
            <w:tcW w:w="107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半月维保内容</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机房、滑轮间环境</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清洁，门窗完好、照明正常 </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手动/电动紧急操作装置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齐全，在指定位置；电动紧急操作装置功能正常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驱动主机</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运行时无异常振动和异常声响</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制动器各销轴部位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动作灵活</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制动器间隙</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打开时制动衬与制动轮不应发生摩擦，间隙值符合制造单位要求</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制动器作为轿厢意外移动保护装置制停子系统时的自监测</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制动力人工方式检测符合使用维护说明书要求；制动力自监测系统有记录</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编码器</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清洁，安装牢固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限速器各销轴部位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润滑，转动灵活；电气开关正常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层门和轿门旁路装置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紧急电动运行</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轿顶</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清洁，防护拦安全可靠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轿顶检修开关、停止装置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导靴上油杯</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吸油毛毡齐全，油量适宜，油杯无泄漏</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对重/平衡重块及其压板</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对重块/平衡重块无松动，压板紧固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井道照明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轿厢照明、风扇、应急照明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轿厢检修开关、停止装置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轿内报警装置、对讲系统</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轿内显示、指令按钮、IC卡系统</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轿门防撞击保护装置（安全触板，光幕、光电等）</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功能有效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轿门门锁电气触点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 触点接触良好，接线可靠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轿门运行</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开启和关闭工作正常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轿厢平层准确度</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符合标准值</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层站召唤、层楼显示</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层门地坎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层门自动关门装置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层门门锁自动复位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用层门钥匙打开手动开锁装置释放后，层门门锁能自动复位</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层门门锁电气触点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 触点接触良好，接线可靠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层门锁紧元件啮合长度</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不小于7mm</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底坑环境</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清洁，无渗水、积水，照明正常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底坑停止装置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bl>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电梯季度保养内容（1）</w:t>
      </w:r>
    </w:p>
    <w:tbl>
      <w:tblPr>
        <w:tblStyle w:val="39"/>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693"/>
        <w:gridCol w:w="2228"/>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项目名称</w:t>
            </w:r>
          </w:p>
        </w:tc>
        <w:tc>
          <w:tcPr>
            <w:tcW w:w="7875" w:type="dxa"/>
            <w:gridSpan w:val="4"/>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设备编号</w:t>
            </w:r>
          </w:p>
        </w:tc>
        <w:tc>
          <w:tcPr>
            <w:tcW w:w="2693" w:type="dxa"/>
            <w:noWrap w:val="0"/>
            <w:vAlign w:val="center"/>
          </w:tcPr>
          <w:p>
            <w:pPr>
              <w:rPr>
                <w:rFonts w:hint="eastAsia" w:ascii="仿宋" w:hAnsi="仿宋" w:eastAsia="仿宋" w:cs="仿宋"/>
                <w:color w:val="auto"/>
                <w:kern w:val="2"/>
                <w:sz w:val="21"/>
                <w:szCs w:val="24"/>
                <w:lang w:val="en-US" w:eastAsia="zh-CN" w:bidi="ar-SA"/>
              </w:rPr>
            </w:pPr>
          </w:p>
        </w:tc>
        <w:tc>
          <w:tcPr>
            <w:tcW w:w="2228"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维保日期</w:t>
            </w:r>
          </w:p>
        </w:tc>
        <w:tc>
          <w:tcPr>
            <w:tcW w:w="2954"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序号</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维护保养项目（内容）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维护保养基本要求</w:t>
            </w:r>
          </w:p>
        </w:tc>
        <w:tc>
          <w:tcPr>
            <w:tcW w:w="107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半月维保内容</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机房、滑轮间环境</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清洁，门窗完好、照明正常 </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手动/电动紧急操作装置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齐全，在指定位置；电动紧急操作装置功能正常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驱动主机</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运行时无异常振动和异常声响</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制动器各销轴部位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动作灵活</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制动器间隙</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打开时制动衬与制动轮不应发生摩擦，间隙值符合制造单位要求</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制动器作为轿厢意外移动保护装置制停子系统时的自监测</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制动力人工方式检测符合使用维护说明书要求；制动力自监测系统有记录</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编码器</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清洁，安装牢固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限速器各销轴部位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润滑，转动灵活；电气开关正常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层门和轿门旁路装置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紧急电动运行</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轿顶</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清洁，防护拦安全可靠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轿顶检修开关、停止装置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导靴上油杯</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吸油毛毡齐全，油量适宜，油杯无泄漏</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对重/平衡重块及其压板</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对重块/平衡重块无松动，压板紧固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井道照明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轿厢照明、风扇、应急照明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轿厢检修开关、停止装置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轿内报警装置、对讲系统</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轿内显示、指令按钮、IC卡系统</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轿门防撞击保护装置（安全触板，光幕、光电等）</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功能有效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轿门门锁电气触点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 触点接触良好，接线可靠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轿门运行</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开启和关闭工作正常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轿厢平层准确度</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符合标准值</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层站召唤、层楼显示</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层门地坎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层门自动关门装置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层门门锁自动复位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用层门钥匙打开手动开锁装置释放后，层门门锁能自动复位</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层门门锁电气触点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 触点接触良好，接线可靠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层门锁紧元件啮合长度</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不小于7mm</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底坑环境</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清洁，无渗水、积水，照明正常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底坑停止装置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bl>
    <w:p>
      <w:pPr>
        <w:rPr>
          <w:rFonts w:hint="eastAsia" w:ascii="仿宋" w:hAnsi="仿宋" w:eastAsia="仿宋" w:cs="仿宋"/>
          <w:color w:val="auto"/>
          <w:kern w:val="2"/>
          <w:sz w:val="21"/>
          <w:szCs w:val="24"/>
          <w:lang w:val="en-US" w:eastAsia="zh-CN" w:bidi="ar-SA"/>
        </w:rPr>
      </w:pPr>
    </w:p>
    <w:p>
      <w:pPr>
        <w:rPr>
          <w:rFonts w:hint="eastAsia" w:ascii="仿宋" w:hAnsi="仿宋" w:eastAsia="仿宋" w:cs="仿宋"/>
          <w:color w:val="auto"/>
          <w:kern w:val="2"/>
          <w:sz w:val="21"/>
          <w:szCs w:val="24"/>
          <w:lang w:val="en-US" w:eastAsia="zh-CN" w:bidi="ar-SA"/>
        </w:rPr>
      </w:pPr>
    </w:p>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电梯季度保养内容（2）</w:t>
      </w:r>
    </w:p>
    <w:tbl>
      <w:tblPr>
        <w:tblStyle w:val="39"/>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803"/>
        <w:gridCol w:w="2118"/>
        <w:gridCol w:w="182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项目名称</w:t>
            </w:r>
          </w:p>
        </w:tc>
        <w:tc>
          <w:tcPr>
            <w:tcW w:w="7875" w:type="dxa"/>
            <w:gridSpan w:val="4"/>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设备编号</w:t>
            </w:r>
          </w:p>
        </w:tc>
        <w:tc>
          <w:tcPr>
            <w:tcW w:w="2803" w:type="dxa"/>
            <w:noWrap w:val="0"/>
            <w:vAlign w:val="center"/>
          </w:tcPr>
          <w:p>
            <w:pPr>
              <w:rPr>
                <w:rFonts w:hint="eastAsia" w:ascii="仿宋" w:hAnsi="仿宋" w:eastAsia="仿宋" w:cs="仿宋"/>
                <w:color w:val="auto"/>
                <w:kern w:val="2"/>
                <w:sz w:val="21"/>
                <w:szCs w:val="24"/>
                <w:lang w:val="en-US" w:eastAsia="zh-CN" w:bidi="ar-SA"/>
              </w:rPr>
            </w:pPr>
          </w:p>
        </w:tc>
        <w:tc>
          <w:tcPr>
            <w:tcW w:w="2118"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维保日期</w:t>
            </w:r>
          </w:p>
        </w:tc>
        <w:tc>
          <w:tcPr>
            <w:tcW w:w="2954"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序号</w:t>
            </w: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维护保养项目（内容）</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维护保养基本要求</w:t>
            </w:r>
          </w:p>
        </w:tc>
        <w:tc>
          <w:tcPr>
            <w:tcW w:w="1134"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季度维保内容</w:t>
            </w: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减速机润滑油</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油量适宜，除蜗杆伸出端外均无渗漏</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制动衬</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编码器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选层器动静触点</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清洁，无烧蚀</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曳引轮槽、悬挂装置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清洁，钢丝绳无严重油腻，张力均匀，符合制造单位要求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限速器轮槽、限速器钢丝绳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清洁，无严重油腻</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靴衬、滚轮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验证轿门关闭的电气安全装置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层门、轿门系统中传动钢丝绳、链条、传动带</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按照制造单位要求进行清洁、调整</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层门门导靴</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消防开关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工作正常，功能有效</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耗能缓冲器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电气安全装置功能有效，油量适宜，柱塞无锈蚀</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限速器张紧轮装置和电气安全装置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bl>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电梯半年度保养内容（1）</w:t>
      </w:r>
    </w:p>
    <w:tbl>
      <w:tblPr>
        <w:tblStyle w:val="39"/>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693"/>
        <w:gridCol w:w="2228"/>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项目名称</w:t>
            </w:r>
          </w:p>
        </w:tc>
        <w:tc>
          <w:tcPr>
            <w:tcW w:w="7875" w:type="dxa"/>
            <w:gridSpan w:val="4"/>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设备编号</w:t>
            </w:r>
          </w:p>
        </w:tc>
        <w:tc>
          <w:tcPr>
            <w:tcW w:w="2693" w:type="dxa"/>
            <w:noWrap w:val="0"/>
            <w:vAlign w:val="center"/>
          </w:tcPr>
          <w:p>
            <w:pPr>
              <w:rPr>
                <w:rFonts w:hint="eastAsia" w:ascii="仿宋" w:hAnsi="仿宋" w:eastAsia="仿宋" w:cs="仿宋"/>
                <w:color w:val="auto"/>
                <w:kern w:val="2"/>
                <w:sz w:val="21"/>
                <w:szCs w:val="24"/>
                <w:lang w:val="en-US" w:eastAsia="zh-CN" w:bidi="ar-SA"/>
              </w:rPr>
            </w:pPr>
          </w:p>
        </w:tc>
        <w:tc>
          <w:tcPr>
            <w:tcW w:w="2228"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维保日期</w:t>
            </w:r>
          </w:p>
        </w:tc>
        <w:tc>
          <w:tcPr>
            <w:tcW w:w="2954"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序号</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维护保养项目（内容）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维护保养基本要求</w:t>
            </w:r>
          </w:p>
        </w:tc>
        <w:tc>
          <w:tcPr>
            <w:tcW w:w="107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半月维保内容</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机房、滑轮间环境</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清洁，门窗完好、照明正常 </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手动/电动紧急操作装置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齐全，在指定位置；电动紧急操作装置功能正常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驱动主机</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运行时无异常振动和异常声响</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制动器各销轴部位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动作灵活</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制动器间隙</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打开时制动衬与制动轮不应发生摩擦，间隙值符合制造单位要求</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制动器作为轿厢意外移动保护装置制停子系统时的自监测</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制动力人工方式检测符合使用维护说明书要求；制动力自监测系统有记录</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编码器</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清洁，安装牢固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限速器各销轴部位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润滑，转动灵活；电气开关正常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层门和轿门旁路装置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紧急电动运行</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轿顶</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清洁，防护拦安全可靠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轿顶检修开关、停止装置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导靴上油杯</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吸油毛毡齐全，油量适宜，油杯无泄漏</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对重/平衡重块及其压板</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对重块/平衡重块无松动，压板紧固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井道照明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轿厢照明、风扇、应急照明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轿厢检修开关、停止装置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轿内报警装置、对讲系统</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轿内显示、指令按钮、IC卡系统</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轿门防撞击保护装置（安全触板，光幕、光电等）</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功能有效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轿门门锁电气触点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 触点接触良好，接线可靠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轿门运行</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开启和关闭工作正常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轿厢平层准确度</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符合标准值</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层站召唤、层楼显示</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层门地坎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层门自动关门装置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层门门锁自动复位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用层门钥匙打开手动开锁装置释放后，层门门锁能自动复位</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层门门锁电气触点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 触点接触良好，接线可靠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层门锁紧元件啮合长度</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不小于7mm</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底坑环境</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清洁，无渗水、积水，照明正常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底坑停止装置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textDirection w:val="tbRlV"/>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季 度 维 保  内 容</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减速机润滑油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油量适宜，除蜗杆伸出端外均无渗漏</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制动衬</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清洁，磨损量不超过制造单位要求</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编码器</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bl>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电梯半年度保养内容（2）</w:t>
      </w:r>
    </w:p>
    <w:tbl>
      <w:tblPr>
        <w:tblStyle w:val="39"/>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803"/>
        <w:gridCol w:w="2118"/>
        <w:gridCol w:w="182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项目名称</w:t>
            </w:r>
          </w:p>
        </w:tc>
        <w:tc>
          <w:tcPr>
            <w:tcW w:w="7875" w:type="dxa"/>
            <w:gridSpan w:val="4"/>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设备编号</w:t>
            </w:r>
          </w:p>
        </w:tc>
        <w:tc>
          <w:tcPr>
            <w:tcW w:w="2803" w:type="dxa"/>
            <w:noWrap w:val="0"/>
            <w:vAlign w:val="center"/>
          </w:tcPr>
          <w:p>
            <w:pPr>
              <w:rPr>
                <w:rFonts w:hint="eastAsia" w:ascii="仿宋" w:hAnsi="仿宋" w:eastAsia="仿宋" w:cs="仿宋"/>
                <w:color w:val="auto"/>
                <w:kern w:val="2"/>
                <w:sz w:val="21"/>
                <w:szCs w:val="24"/>
                <w:lang w:val="en-US" w:eastAsia="zh-CN" w:bidi="ar-SA"/>
              </w:rPr>
            </w:pPr>
          </w:p>
        </w:tc>
        <w:tc>
          <w:tcPr>
            <w:tcW w:w="2118"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维保日期</w:t>
            </w:r>
          </w:p>
        </w:tc>
        <w:tc>
          <w:tcPr>
            <w:tcW w:w="2954"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序号</w:t>
            </w: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维护保养项目（内容）</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维护保养基本要求</w:t>
            </w:r>
          </w:p>
        </w:tc>
        <w:tc>
          <w:tcPr>
            <w:tcW w:w="1134"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季度维保内容</w:t>
            </w: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选层器动静触点</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清洁，无烧蚀</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曳引轮槽、悬挂装置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清洁，钢丝绳无严重油腻，张力均匀，符合制造单位要求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限速器轮槽、限速器钢丝绳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清洁，无严重油腻</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靴衬、滚轮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验证轿门关闭的电气安全装置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层门、轿门系统中传动钢丝绳、链条、传动带</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按照制造单位要求进行清洁、调整</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层门门导靴</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消防开关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工作正常，功能有效</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耗能缓冲器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电气安全装置功能有效，油量适宜，柱塞无锈蚀</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限速器张紧轮装置和电气安全装置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半年维保内容</w:t>
            </w: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电动机与减速机联轴器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连接无松动，弹性元件外观良好，无老化现象</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驱动轮、导向轮轴承部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无异常声,无振动,润滑良好</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曳引轮槽</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制动器动作状态监测装置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工作正常,制动器动作可靠</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控制柜内各接线端子</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各接线紧固、整齐,线号齐全清晰</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控制柜各仪表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显示正常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井道、对重、轿顶各反绳轮轴承部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无异常声,无振动,润滑良好</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悬挂装置、补偿绳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磨损量、断丝数不超过要求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绳头组合</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螺母无松动</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限速器钢丝绳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磨损量、断丝数不超过制造单位要求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层门、轿门门扇</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门扇各相关间隙符合标准值</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轿门开门限制装置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对重缓冲距离</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符合标准值</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adjustRightInd w:val="0"/>
              <w:snapToGrid w:val="0"/>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补偿链（绳）与轿厢、对重接合处</w:t>
            </w:r>
          </w:p>
        </w:tc>
        <w:tc>
          <w:tcPr>
            <w:tcW w:w="3938" w:type="dxa"/>
            <w:gridSpan w:val="2"/>
            <w:noWrap w:val="0"/>
            <w:vAlign w:val="center"/>
          </w:tcPr>
          <w:p>
            <w:pPr>
              <w:adjustRightInd w:val="0"/>
              <w:snapToGrid w:val="0"/>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固定、无松动</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上下极限开关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bl>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电梯年度保养内容（1）</w:t>
      </w:r>
    </w:p>
    <w:tbl>
      <w:tblPr>
        <w:tblStyle w:val="39"/>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693"/>
        <w:gridCol w:w="2228"/>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项目名称</w:t>
            </w:r>
          </w:p>
        </w:tc>
        <w:tc>
          <w:tcPr>
            <w:tcW w:w="7875" w:type="dxa"/>
            <w:gridSpan w:val="4"/>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设备编号</w:t>
            </w:r>
          </w:p>
        </w:tc>
        <w:tc>
          <w:tcPr>
            <w:tcW w:w="2693" w:type="dxa"/>
            <w:noWrap w:val="0"/>
            <w:vAlign w:val="center"/>
          </w:tcPr>
          <w:p>
            <w:pPr>
              <w:rPr>
                <w:rFonts w:hint="eastAsia" w:ascii="仿宋" w:hAnsi="仿宋" w:eastAsia="仿宋" w:cs="仿宋"/>
                <w:color w:val="auto"/>
                <w:kern w:val="2"/>
                <w:sz w:val="21"/>
                <w:szCs w:val="24"/>
                <w:lang w:val="en-US" w:eastAsia="zh-CN" w:bidi="ar-SA"/>
              </w:rPr>
            </w:pPr>
          </w:p>
        </w:tc>
        <w:tc>
          <w:tcPr>
            <w:tcW w:w="2228"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维保日期</w:t>
            </w:r>
          </w:p>
        </w:tc>
        <w:tc>
          <w:tcPr>
            <w:tcW w:w="2954"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序号</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维护保养项目（内容）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维护保养基本要求</w:t>
            </w:r>
          </w:p>
        </w:tc>
        <w:tc>
          <w:tcPr>
            <w:tcW w:w="107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半月维保内容</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机房、滑轮间环境</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清洁，门窗完好、照明正常 </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手动/电动紧急操作装置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齐全，在指定位置；电动紧急操作装置功能正常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驱动主机</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运行时无异常振动和异常声响</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制动器各销轴部位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动作灵活</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制动器间隙</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打开时制动衬与制动轮不应发生摩擦，间隙值符合制造单位要求</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制动器作为轿厢意外移动保护装置制停子系统时的自监测</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制动力人工方式检测符合使用维护说明书要求；制动力自监测系统有记录</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编码器</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清洁，安装牢固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限速器各销轴部位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润滑，转动灵活；电气开关正常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层门和轿门旁路装置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紧急电动运行</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轿顶</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清洁，防护拦安全可靠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轿顶检修开关、停止装置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导靴上油杯</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吸油毛毡齐全，油量适宜，油杯无泄漏</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对重/平衡重块及其压板</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对重块/平衡重块无松动，压板紧固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井道照明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轿厢照明、风扇、应急照明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轿厢检修开关、停止装置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轿内报警装置、对讲系统</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轿内显示、指令按钮、IC卡系统</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轿门防撞击保护装置（安全触板，光幕、光电等）</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功能有效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轿门门锁电气触点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 触点接触良好，接线可靠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轿门运行</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开启和关闭工作正常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轿厢平层准确度</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符合标准值</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层站召唤、层楼显示</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齐全，有效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层门地坎</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层门自动关门装置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层门门锁自动复位</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用层门钥匙打开手动开锁装置释放后，层门门锁能自动复位</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层门门锁电气触点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 触点接触良好，接线可靠</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层门锁紧元件啮合长度</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不小于7mm</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底坑环境</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清洁，无渗水、积水，照明正常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底坑停止装置</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textDirection w:val="tbRlV"/>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季 度 维 保  内 容</w:t>
            </w: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减速机润滑油</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油量适宜，除蜗杆伸出端外均无渗漏</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制动衬</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清洁，磨损量不超过制造单位要求</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69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编码器</w:t>
            </w:r>
          </w:p>
        </w:tc>
        <w:tc>
          <w:tcPr>
            <w:tcW w:w="4109"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bl>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电梯年度保养内容（2）</w:t>
      </w:r>
    </w:p>
    <w:tbl>
      <w:tblPr>
        <w:tblStyle w:val="39"/>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803"/>
        <w:gridCol w:w="2118"/>
        <w:gridCol w:w="182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项目名称</w:t>
            </w:r>
          </w:p>
        </w:tc>
        <w:tc>
          <w:tcPr>
            <w:tcW w:w="7875" w:type="dxa"/>
            <w:gridSpan w:val="4"/>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设备编号</w:t>
            </w:r>
          </w:p>
        </w:tc>
        <w:tc>
          <w:tcPr>
            <w:tcW w:w="2803" w:type="dxa"/>
            <w:noWrap w:val="0"/>
            <w:vAlign w:val="center"/>
          </w:tcPr>
          <w:p>
            <w:pPr>
              <w:rPr>
                <w:rFonts w:hint="eastAsia" w:ascii="仿宋" w:hAnsi="仿宋" w:eastAsia="仿宋" w:cs="仿宋"/>
                <w:color w:val="auto"/>
                <w:kern w:val="2"/>
                <w:sz w:val="21"/>
                <w:szCs w:val="24"/>
                <w:lang w:val="en-US" w:eastAsia="zh-CN" w:bidi="ar-SA"/>
              </w:rPr>
            </w:pPr>
          </w:p>
        </w:tc>
        <w:tc>
          <w:tcPr>
            <w:tcW w:w="2118"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维保日期</w:t>
            </w:r>
          </w:p>
        </w:tc>
        <w:tc>
          <w:tcPr>
            <w:tcW w:w="2954"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序号</w:t>
            </w: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维护保养项目（内容）</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维护保养基本要求</w:t>
            </w:r>
          </w:p>
        </w:tc>
        <w:tc>
          <w:tcPr>
            <w:tcW w:w="1134"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季度维保内容</w:t>
            </w: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选层器动静触点</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清洁，无烧蚀</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曳引轮槽、悬挂装置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清洁，钢丝绳无严重油腻，张力均匀，符合制造单位要求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限速器轮槽、限速器钢丝绳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清洁，无严重油腻</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靴衬、滚轮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验证轿门关闭的电气安全装置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层门、轿门系统中传动钢丝绳、链条、传动带</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按照制造单位要求进行清洁、调整</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层门门导靴</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消防开关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工作正常，功能有效</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耗能缓冲器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电气安全装置功能有效，油量适宜，柱塞无锈蚀</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限速器张紧轮装置和电气安全装置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半年维保内容</w:t>
            </w: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电动机与减速机联轴器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连接无松动，弹性元件外观良好，无老化现象</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驱动轮、导向轮轴承部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无异常声,无振动,润滑良好</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曳引轮槽</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制动器动作状态监测装置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工作正常,制动器动作可靠</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控制柜内各接线端子</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各接线紧固、整齐,线号齐全清晰</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控制柜各仪表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显示正常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井道、对重、轿顶各反绳轮轴承部</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无异常声,无振动,润滑良好</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悬挂装置、补偿绳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磨损量、断丝数不超过要求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绳头组合</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螺母无松动</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限速器钢丝绳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磨损量、断丝数不超过制造单位要求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层门、轿门门扇</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门扇各相关间隙符合标准值</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轿门开门限制装置</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对重缓冲距离</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符合标准值</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adjustRightInd w:val="0"/>
              <w:snapToGrid w:val="0"/>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补偿链（绳）与轿厢、对重接合处</w:t>
            </w:r>
          </w:p>
        </w:tc>
        <w:tc>
          <w:tcPr>
            <w:tcW w:w="3938" w:type="dxa"/>
            <w:gridSpan w:val="2"/>
            <w:noWrap w:val="0"/>
            <w:vAlign w:val="center"/>
          </w:tcPr>
          <w:p>
            <w:pPr>
              <w:adjustRightInd w:val="0"/>
              <w:snapToGrid w:val="0"/>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固定、无松动</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上下极限开关</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年度维保内容</w:t>
            </w: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减速机润滑油</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按制造单位要求适时更换，保证油质符合要求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控制柜接触器，继电器触点</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接触良好</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280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制动器铁芯（柱塞）</w:t>
            </w:r>
          </w:p>
        </w:tc>
        <w:tc>
          <w:tcPr>
            <w:tcW w:w="3938"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进行清洁、润滑、检查，磨损量不超过制造单位要求</w:t>
            </w:r>
          </w:p>
        </w:tc>
        <w:tc>
          <w:tcPr>
            <w:tcW w:w="1134" w:type="dxa"/>
            <w:noWrap w:val="0"/>
            <w:vAlign w:val="center"/>
          </w:tcPr>
          <w:p>
            <w:pPr>
              <w:rPr>
                <w:rFonts w:hint="eastAsia" w:ascii="仿宋" w:hAnsi="仿宋" w:eastAsia="仿宋" w:cs="仿宋"/>
                <w:color w:val="auto"/>
                <w:kern w:val="2"/>
                <w:sz w:val="21"/>
                <w:szCs w:val="24"/>
                <w:lang w:val="en-US" w:eastAsia="zh-CN" w:bidi="ar-SA"/>
              </w:rPr>
            </w:pPr>
          </w:p>
        </w:tc>
      </w:tr>
    </w:tbl>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电梯年度保养内容（3）</w:t>
      </w:r>
    </w:p>
    <w:tbl>
      <w:tblPr>
        <w:tblStyle w:val="39"/>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3519"/>
        <w:gridCol w:w="1402"/>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项目名称</w:t>
            </w:r>
          </w:p>
        </w:tc>
        <w:tc>
          <w:tcPr>
            <w:tcW w:w="7875" w:type="dxa"/>
            <w:gridSpan w:val="4"/>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设备编号</w:t>
            </w:r>
          </w:p>
        </w:tc>
        <w:tc>
          <w:tcPr>
            <w:tcW w:w="3519" w:type="dxa"/>
            <w:noWrap w:val="0"/>
            <w:vAlign w:val="center"/>
          </w:tcPr>
          <w:p>
            <w:pPr>
              <w:rPr>
                <w:rFonts w:hint="eastAsia" w:ascii="仿宋" w:hAnsi="仿宋" w:eastAsia="仿宋" w:cs="仿宋"/>
                <w:color w:val="auto"/>
                <w:kern w:val="2"/>
                <w:sz w:val="21"/>
                <w:szCs w:val="24"/>
                <w:lang w:val="en-US" w:eastAsia="zh-CN" w:bidi="ar-SA"/>
              </w:rPr>
            </w:pPr>
          </w:p>
        </w:tc>
        <w:tc>
          <w:tcPr>
            <w:tcW w:w="1402"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维保日期</w:t>
            </w:r>
          </w:p>
        </w:tc>
        <w:tc>
          <w:tcPr>
            <w:tcW w:w="2954"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序号</w:t>
            </w: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维护保养项目（内容）</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维护保养基本要求</w:t>
            </w:r>
          </w:p>
        </w:tc>
        <w:tc>
          <w:tcPr>
            <w:tcW w:w="107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4</w:t>
            </w:r>
          </w:p>
        </w:tc>
        <w:tc>
          <w:tcPr>
            <w:tcW w:w="567" w:type="dxa"/>
            <w:vMerge w:val="restart"/>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年度维保内容</w:t>
            </w: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制动器制动能力</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符合制造单位要求，保持有足够的制动力，必要时进行轿厢装载125%额定载重量的制动试验</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导电回路绝缘性能测试</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符合标准</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限速器安全钳联动试验（对于使用年限不超过15年的限速器，每2年进行一次限速器动作速度校验；对于使用年限超过15年的限速器，每年进行一次限速器动作速度校验）</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上行超速保护装置动作试验</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8</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轿厢意外移动保护装置动作试验</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工作正常</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9</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轿顶、轿厢架、轿门及其附件安装螺栓</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紧固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10</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轿厢和对重/平衡重的导轨支架</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固定，无松动</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11</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轿厢和对重/平衡重的导轨</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清洁，压板牢固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12</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随行电缆</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无损伤</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13</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层门装置和地坎</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无影响正常使用的变形，各安装螺栓紧固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14</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轿厢称重装置</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准确有效</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15</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安全钳钳座</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固定，无松动</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16</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轿底各安装螺栓</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紧固</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17</w:t>
            </w:r>
          </w:p>
        </w:tc>
        <w:tc>
          <w:tcPr>
            <w:tcW w:w="567" w:type="dxa"/>
            <w:vMerge w:val="continue"/>
            <w:noWrap w:val="0"/>
            <w:vAlign w:val="center"/>
          </w:tcPr>
          <w:p>
            <w:pPr>
              <w:rPr>
                <w:rFonts w:hint="eastAsia" w:ascii="仿宋" w:hAnsi="仿宋" w:eastAsia="仿宋" w:cs="仿宋"/>
                <w:color w:val="auto"/>
                <w:kern w:val="2"/>
                <w:sz w:val="21"/>
                <w:szCs w:val="24"/>
                <w:lang w:val="en-US" w:eastAsia="zh-CN" w:bidi="ar-SA"/>
              </w:rPr>
            </w:pPr>
          </w:p>
        </w:tc>
        <w:tc>
          <w:tcPr>
            <w:tcW w:w="3519" w:type="dxa"/>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缓冲器</w:t>
            </w:r>
          </w:p>
        </w:tc>
        <w:tc>
          <w:tcPr>
            <w:tcW w:w="3283" w:type="dxa"/>
            <w:gridSpan w:val="2"/>
            <w:noWrap w:val="0"/>
            <w:vAlign w:val="center"/>
          </w:tcPr>
          <w:p>
            <w:pP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固定，无松动</w:t>
            </w:r>
          </w:p>
        </w:tc>
        <w:tc>
          <w:tcPr>
            <w:tcW w:w="1073" w:type="dxa"/>
            <w:noWrap w:val="0"/>
            <w:vAlign w:val="center"/>
          </w:tcPr>
          <w:p>
            <w:pPr>
              <w:rPr>
                <w:rFonts w:hint="eastAsia" w:ascii="仿宋" w:hAnsi="仿宋" w:eastAsia="仿宋" w:cs="仿宋"/>
                <w:color w:val="auto"/>
                <w:kern w:val="2"/>
                <w:sz w:val="21"/>
                <w:szCs w:val="24"/>
                <w:lang w:val="en-US" w:eastAsia="zh-CN" w:bidi="ar-SA"/>
              </w:rPr>
            </w:pPr>
          </w:p>
        </w:tc>
      </w:tr>
    </w:tbl>
    <w:p>
      <w:pPr>
        <w:pStyle w:val="5"/>
        <w:ind w:firstLine="0"/>
        <w:rPr>
          <w:rFonts w:hint="default" w:ascii="仿宋" w:hAnsi="仿宋" w:eastAsia="仿宋" w:cs="仿宋"/>
          <w:color w:val="auto"/>
          <w:kern w:val="2"/>
          <w:sz w:val="21"/>
          <w:szCs w:val="24"/>
          <w:lang w:val="en-US" w:eastAsia="zh-CN" w:bidi="ar-SA"/>
        </w:rPr>
      </w:pPr>
    </w:p>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pStyle w:val="2"/>
        <w:rPr>
          <w:rFonts w:hint="eastAsia" w:ascii="仿宋" w:hAnsi="仿宋" w:eastAsia="仿宋" w:cs="仿宋"/>
          <w:color w:val="auto"/>
          <w:sz w:val="32"/>
          <w:szCs w:val="32"/>
        </w:rPr>
      </w:pPr>
    </w:p>
    <w:p>
      <w:pPr>
        <w:rPr>
          <w:rFonts w:hint="eastAsia"/>
        </w:rPr>
      </w:pPr>
    </w:p>
    <w:p>
      <w:pPr>
        <w:pStyle w:val="3"/>
        <w:snapToGrid w:val="0"/>
        <w:spacing w:line="360" w:lineRule="auto"/>
        <w:ind w:left="420" w:leftChars="200"/>
        <w:jc w:val="center"/>
        <w:rPr>
          <w:rFonts w:hint="eastAsia" w:ascii="仿宋" w:hAnsi="仿宋" w:eastAsia="仿宋" w:cs="仿宋"/>
          <w:color w:val="auto"/>
          <w:sz w:val="32"/>
          <w:szCs w:val="32"/>
        </w:rPr>
      </w:pPr>
      <w:bookmarkStart w:id="72" w:name="_Toc4462"/>
      <w:r>
        <w:rPr>
          <w:rFonts w:hint="eastAsia" w:ascii="仿宋" w:hAnsi="仿宋" w:eastAsia="仿宋" w:cs="仿宋"/>
          <w:color w:val="auto"/>
          <w:sz w:val="32"/>
          <w:szCs w:val="32"/>
        </w:rPr>
        <w:t>第四</w:t>
      </w:r>
      <w:r>
        <w:rPr>
          <w:rFonts w:hint="eastAsia" w:ascii="仿宋" w:hAnsi="仿宋" w:eastAsia="仿宋" w:cs="仿宋"/>
          <w:color w:val="auto"/>
          <w:sz w:val="32"/>
          <w:szCs w:val="32"/>
          <w:lang w:val="en-US" w:eastAsia="zh-CN"/>
        </w:rPr>
        <w:t>部分</w:t>
      </w:r>
      <w:r>
        <w:rPr>
          <w:rFonts w:hint="eastAsia" w:ascii="仿宋" w:hAnsi="仿宋" w:eastAsia="仿宋" w:cs="仿宋"/>
          <w:color w:val="auto"/>
          <w:sz w:val="32"/>
          <w:szCs w:val="32"/>
        </w:rPr>
        <w:t xml:space="preserve">  合同条款</w:t>
      </w:r>
      <w:bookmarkEnd w:id="62"/>
      <w:bookmarkEnd w:id="63"/>
      <w:bookmarkEnd w:id="64"/>
      <w:bookmarkEnd w:id="65"/>
      <w:bookmarkEnd w:id="66"/>
      <w:bookmarkEnd w:id="69"/>
      <w:bookmarkEnd w:id="72"/>
    </w:p>
    <w:p>
      <w:pPr>
        <w:adjustRightInd w:val="0"/>
        <w:snapToGrid w:val="0"/>
        <w:spacing w:line="360" w:lineRule="auto"/>
        <w:ind w:left="420" w:leftChars="200"/>
        <w:jc w:val="center"/>
        <w:rPr>
          <w:rFonts w:hint="eastAsia" w:ascii="仿宋" w:hAnsi="仿宋" w:eastAsia="仿宋" w:cs="仿宋"/>
          <w:color w:val="auto"/>
          <w:sz w:val="24"/>
          <w:szCs w:val="24"/>
        </w:rPr>
      </w:pPr>
      <w:r>
        <w:rPr>
          <w:rFonts w:hint="eastAsia" w:ascii="仿宋" w:hAnsi="仿宋" w:eastAsia="仿宋" w:cs="仿宋"/>
          <w:color w:val="auto"/>
          <w:sz w:val="24"/>
          <w:szCs w:val="24"/>
        </w:rPr>
        <w:t>（合同样本）</w:t>
      </w: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jc w:val="center"/>
        <w:rPr>
          <w:rFonts w:hint="eastAsia" w:ascii="仿宋" w:hAnsi="仿宋" w:eastAsia="仿宋" w:cs="仿宋"/>
          <w:color w:val="auto"/>
          <w:sz w:val="24"/>
          <w:szCs w:val="24"/>
        </w:rPr>
      </w:pPr>
    </w:p>
    <w:p>
      <w:pPr>
        <w:spacing w:line="600" w:lineRule="auto"/>
        <w:rPr>
          <w:rFonts w:hint="eastAsia" w:ascii="仿宋" w:hAnsi="仿宋" w:eastAsia="仿宋" w:cs="仿宋"/>
          <w:b/>
          <w:bCs/>
          <w:color w:val="auto"/>
          <w:sz w:val="36"/>
          <w:szCs w:val="36"/>
          <w:highlight w:val="cyan"/>
        </w:rPr>
      </w:pPr>
    </w:p>
    <w:p>
      <w:pPr>
        <w:pStyle w:val="65"/>
        <w:autoSpaceDE w:val="0"/>
        <w:autoSpaceDN w:val="0"/>
        <w:snapToGrid w:val="0"/>
        <w:spacing w:line="432" w:lineRule="auto"/>
        <w:jc w:val="center"/>
        <w:textAlignment w:val="bottom"/>
        <w:rPr>
          <w:rFonts w:hint="eastAsia" w:ascii="仿宋" w:hAnsi="仿宋" w:eastAsia="仿宋" w:cs="仿宋"/>
          <w:b/>
          <w:color w:val="auto"/>
          <w:sz w:val="36"/>
          <w:szCs w:val="36"/>
        </w:rPr>
      </w:pPr>
      <w:r>
        <w:rPr>
          <w:rFonts w:hint="eastAsia" w:ascii="仿宋" w:hAnsi="仿宋" w:eastAsia="仿宋" w:cs="仿宋"/>
          <w:b/>
          <w:color w:val="auto"/>
          <w:sz w:val="44"/>
          <w:szCs w:val="44"/>
          <w:highlight w:val="cyan"/>
        </w:rPr>
        <w:br w:type="page"/>
      </w:r>
      <w:r>
        <w:rPr>
          <w:rFonts w:hint="eastAsia" w:ascii="仿宋" w:hAnsi="仿宋" w:eastAsia="仿宋" w:cs="仿宋"/>
          <w:b/>
          <w:color w:val="auto"/>
          <w:sz w:val="36"/>
          <w:szCs w:val="36"/>
        </w:rPr>
        <w:t>招标委托代理协议</w:t>
      </w:r>
    </w:p>
    <w:p>
      <w:pPr>
        <w:adjustRightInd w:val="0"/>
        <w:snapToGrid w:val="0"/>
        <w:spacing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甲  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地  址：************</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邮  编：****</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联系电话 ********</w:t>
      </w:r>
    </w:p>
    <w:p>
      <w:pPr>
        <w:adjustRightInd w:val="0"/>
        <w:snapToGrid w:val="0"/>
        <w:spacing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乙  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地  址：*****************8</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邮　编：****</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电　话：************</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E-Mail: ****************</w:t>
      </w:r>
    </w:p>
    <w:p>
      <w:pPr>
        <w:adjustRightInd w:val="0"/>
        <w:snapToGrid w:val="0"/>
        <w:spacing w:line="360" w:lineRule="auto"/>
        <w:ind w:firstLine="420" w:firstLineChars="200"/>
        <w:rPr>
          <w:rFonts w:hint="eastAsia" w:ascii="仿宋" w:hAnsi="仿宋" w:eastAsia="仿宋" w:cs="仿宋"/>
          <w:color w:val="auto"/>
          <w:sz w:val="21"/>
          <w:szCs w:val="21"/>
        </w:rPr>
      </w:pP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根据按照《中华人民共和国政府采购法》、《中华人民共和国政府采购法实施条例》、《政府采购货物和服务招标投标管理办法》（财政部令第 87 号）、《中华人民共和国合同法》和有关法律、法规，甲乙双方本着诚实信用、平等互利的原则，就招标代理业务开展签订本协议。</w:t>
      </w:r>
    </w:p>
    <w:p>
      <w:pPr>
        <w:adjustRightInd w:val="0"/>
        <w:snapToGrid w:val="0"/>
        <w:spacing w:line="360" w:lineRule="auto"/>
        <w:ind w:firstLine="420" w:firstLineChars="200"/>
        <w:rPr>
          <w:rFonts w:hint="eastAsia" w:ascii="仿宋" w:hAnsi="仿宋" w:eastAsia="仿宋" w:cs="仿宋"/>
          <w:color w:val="auto"/>
          <w:sz w:val="21"/>
          <w:szCs w:val="21"/>
        </w:rPr>
      </w:pPr>
    </w:p>
    <w:p>
      <w:pPr>
        <w:pStyle w:val="55"/>
        <w:adjustRightInd w:val="0"/>
        <w:snapToGrid w:val="0"/>
        <w:spacing w:line="360" w:lineRule="auto"/>
        <w:ind w:firstLine="413" w:firstLineChars="196"/>
        <w:rPr>
          <w:rFonts w:hint="eastAsia" w:ascii="仿宋" w:hAnsi="仿宋" w:eastAsia="仿宋" w:cs="仿宋"/>
          <w:b/>
          <w:color w:val="auto"/>
          <w:sz w:val="21"/>
          <w:szCs w:val="21"/>
          <w:u w:val="single"/>
        </w:rPr>
      </w:pPr>
      <w:r>
        <w:rPr>
          <w:rFonts w:hint="eastAsia" w:ascii="仿宋" w:hAnsi="仿宋" w:eastAsia="仿宋" w:cs="仿宋"/>
          <w:b/>
          <w:color w:val="auto"/>
          <w:sz w:val="21"/>
          <w:szCs w:val="21"/>
        </w:rPr>
        <w:t xml:space="preserve">第一条  </w:t>
      </w:r>
      <w:r>
        <w:rPr>
          <w:rFonts w:hint="eastAsia" w:ascii="仿宋" w:hAnsi="仿宋" w:eastAsia="仿宋" w:cs="仿宋"/>
          <w:color w:val="auto"/>
          <w:sz w:val="21"/>
          <w:szCs w:val="21"/>
        </w:rPr>
        <w:t>甲方愿意委托乙方，乙方接受甲方的委托，承担</w:t>
      </w:r>
      <w:r>
        <w:rPr>
          <w:rFonts w:hint="eastAsia" w:ascii="仿宋" w:hAnsi="仿宋" w:eastAsia="仿宋" w:cs="仿宋"/>
          <w:color w:val="auto"/>
          <w:sz w:val="21"/>
          <w:szCs w:val="21"/>
          <w:u w:val="single"/>
        </w:rPr>
        <w:t>********************项目</w:t>
      </w:r>
      <w:r>
        <w:rPr>
          <w:rFonts w:hint="eastAsia" w:ascii="仿宋" w:hAnsi="仿宋" w:eastAsia="仿宋" w:cs="仿宋"/>
          <w:color w:val="auto"/>
          <w:sz w:val="21"/>
          <w:szCs w:val="21"/>
        </w:rPr>
        <w:t>的招标工作,（采购方式：********</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采购预算：</w:t>
      </w:r>
      <w:r>
        <w:rPr>
          <w:rFonts w:hint="eastAsia" w:ascii="仿宋" w:hAnsi="仿宋" w:eastAsia="仿宋" w:cs="仿宋"/>
          <w:color w:val="auto"/>
          <w:sz w:val="21"/>
          <w:szCs w:val="21"/>
          <w:u w:val="single"/>
        </w:rPr>
        <w:t xml:space="preserve">         万元</w:t>
      </w:r>
      <w:r>
        <w:rPr>
          <w:rFonts w:hint="eastAsia" w:ascii="仿宋" w:hAnsi="仿宋" w:eastAsia="仿宋" w:cs="仿宋"/>
          <w:color w:val="auto"/>
          <w:sz w:val="21"/>
          <w:szCs w:val="21"/>
        </w:rPr>
        <w:t>）。双方授权代表经过友好协商，同意按照下列条款签定委托协议，以资双方共同遵守。</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 xml:space="preserve">第二条  </w:t>
      </w:r>
      <w:r>
        <w:rPr>
          <w:rFonts w:hint="eastAsia" w:ascii="仿宋" w:hAnsi="仿宋" w:eastAsia="仿宋" w:cs="仿宋"/>
          <w:color w:val="auto"/>
          <w:sz w:val="21"/>
          <w:szCs w:val="21"/>
        </w:rPr>
        <w:t>本项目委托期限</w:t>
      </w:r>
      <w:r>
        <w:rPr>
          <w:rFonts w:hint="eastAsia" w:ascii="仿宋" w:hAnsi="仿宋" w:eastAsia="仿宋" w:cs="仿宋"/>
          <w:color w:val="auto"/>
          <w:sz w:val="21"/>
          <w:szCs w:val="21"/>
          <w:u w:val="single"/>
        </w:rPr>
        <w:t>从委托之日起至合同签订之后</w:t>
      </w:r>
      <w:r>
        <w:rPr>
          <w:rFonts w:hint="eastAsia" w:ascii="仿宋" w:hAnsi="仿宋" w:eastAsia="仿宋" w:cs="仿宋"/>
          <w:color w:val="auto"/>
          <w:sz w:val="21"/>
          <w:szCs w:val="21"/>
        </w:rPr>
        <w:t>双方资料交接完毕止。</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第三条</w:t>
      </w:r>
      <w:r>
        <w:rPr>
          <w:rFonts w:hint="eastAsia" w:ascii="仿宋" w:hAnsi="仿宋" w:eastAsia="仿宋" w:cs="仿宋"/>
          <w:color w:val="auto"/>
          <w:sz w:val="21"/>
          <w:szCs w:val="21"/>
        </w:rPr>
        <w:t xml:space="preserve">  本协议的采购代理范围为本项目全程招标代理活动。</w:t>
      </w:r>
    </w:p>
    <w:p>
      <w:pPr>
        <w:adjustRightInd w:val="0"/>
        <w:snapToGrid w:val="0"/>
        <w:spacing w:line="360" w:lineRule="auto"/>
        <w:ind w:firstLine="422" w:firstLineChars="200"/>
        <w:rPr>
          <w:rFonts w:hint="eastAsia" w:ascii="仿宋" w:hAnsi="仿宋" w:eastAsia="仿宋" w:cs="仿宋"/>
          <w:b/>
          <w:color w:val="auto"/>
          <w:sz w:val="21"/>
          <w:szCs w:val="21"/>
        </w:rPr>
      </w:pPr>
      <w:r>
        <w:rPr>
          <w:rFonts w:hint="eastAsia" w:ascii="仿宋" w:hAnsi="仿宋" w:eastAsia="仿宋" w:cs="仿宋"/>
          <w:b/>
          <w:color w:val="auto"/>
          <w:sz w:val="21"/>
          <w:szCs w:val="21"/>
        </w:rPr>
        <w:t>第四条  甲方的责任</w:t>
      </w:r>
    </w:p>
    <w:p>
      <w:pPr>
        <w:adjustRightInd w:val="0"/>
        <w:snapToGrid w:val="0"/>
        <w:spacing w:line="360" w:lineRule="auto"/>
        <w:ind w:left="210" w:leftChars="100"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1、甲方委托乙方具体组织实施的政府采购项目，应经过政府采购监督管理部门审核批准，并保证采购资金已落实到位；</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2、甲方指定人员作为项目负责人，代表甲方联系和处理采购过程中的有关具体事项；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3、向乙方提供本项目采购需求以及合同特殊条款等资料，采购需求应明确完整，符合相关法律法规要求；</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4、甲方应对乙方编制的招标（采购）文件予以审核并签字确认；</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5、甲方有权对委托的项目提出合理、合法的要求，但不得指定供应商或指定品牌，不得提出含有倾向性、限制性或者排斥潜在供应商的要求；</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6、甲方需协助乙方进行有关招标（采购）文件的澄清、答疑和修改工作；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7、负责派代表出席开标大会，并按照相关法规指派采购方专家参加评标工作；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8、公开招标项目由甲方或者采购代理机构组建资格审查小组，负责依法对投标人的资格进行审查，并出具《政府采购项目资格审查小组人员名单》；</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9、甲方依法组建评标（审）委员会，依据有关规定派代表参加评标（审）活动，但不得非法干预、影响评标（审）过程和结果，并出具《招标人代表参加评标授权委托书》；</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10、甲方须在政府采购项目开标（公开招标、竞争性谈判、单一来源采购、竞争性磋商等）前半天，配合乙方从省级评标专家库中随机抽取评审专家；</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11、在评审过程中，甲方应对评审内容保密；</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12、甲方有权确定中标候选人，但必须按照评审报告中推荐的中标、成交候选人的顺序确定；</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13、根据乙方发出的中标（成交）通知书, 甲方在规定的时间内与中标（成交）供应商签订合同，所签合同不得对招标（采购）文件实质性内容进行修改； </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14、甲方负责在合同签订之日起2个工作日内，将政府采购合同在省级政府采购网上公告；</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15、甲方应按照采购合同和招标（采购）文件的约定，组织对政府采购项目的验收。 </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16、供应商对采购需求的质疑，由甲方在法定时间内负责回复，并将回复函报乙方一份。如供应商提出投诉的，应配合政府采购监督管理部门处理供应商投诉调查；</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17、法律和法规规定的其他权力与义务;</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18、甲方需于</w:t>
      </w:r>
      <w:r>
        <w:rPr>
          <w:rFonts w:hint="eastAsia" w:ascii="仿宋" w:hAnsi="仿宋" w:eastAsia="仿宋" w:cs="仿宋"/>
          <w:color w:val="auto"/>
          <w:sz w:val="21"/>
          <w:szCs w:val="21"/>
          <w:u w:val="single"/>
        </w:rPr>
        <w:t xml:space="preserve">   个工作</w:t>
      </w:r>
      <w:r>
        <w:rPr>
          <w:rFonts w:hint="eastAsia" w:ascii="仿宋" w:hAnsi="仿宋" w:eastAsia="仿宋" w:cs="仿宋"/>
          <w:color w:val="auto"/>
          <w:sz w:val="21"/>
          <w:szCs w:val="21"/>
        </w:rPr>
        <w:t>日内向乙方提供本项目的采购需求和相关要求。</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第五条  乙方的责任</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1、乙方应按照甲方要求编写招标文件，2日内完成对文件的编制工作并报送甲方进行审核，及时向甲方通报采购进度, 保证采购的顺利实施；</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2、乙方指定一位项目负责人，代表乙方联系和处理采购过程中的有关具体事项；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3、根据国家有关的法规政策的有关规定，负责在省级公共资源交易平台进行项目进场登记、发布本项目的公告、招标（采购）文件和中标（成交）结果等信息的发布、场地安排、资料收集等工作；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4、负责采购文件的编制和解释工作，并报甲方确认；</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5、负责接受投标（响应）文件，组织开标评标及公开招标、竞争性谈判、单一来源采购、竞争性磋商、询价等工作；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6、负责安排评标活动的相关事宜，并负责编写评标报告。根据评标委员会提出的书面评标报告，向甲方推荐中标候选人由甲方确定中标人；或依照甲方的要求，授权评标委员会直接确定中标人；</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7、保守采购活动中的商业秘密； </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8、按规定时间发放中标（成交）通知书，督促甲方与中标（成交）供应商签证合同；</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9、负责及时答复供应商的质疑并配合政府采购监督管理部门处理供应商投诉调查；</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10、负责保存该项目所有采购资料，不得伪造、变造、隐匿或者销毁采购文件（其中开标及评审活动中的全程录音录像均由省级公共资源交易平台统一存档保管）；采购文件的保存期限为从采购结束之日起至少十五年；</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11、法律和法规规定的其他权力与义务；</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第六条</w:t>
      </w:r>
      <w:r>
        <w:rPr>
          <w:rFonts w:hint="eastAsia" w:ascii="仿宋" w:hAnsi="仿宋" w:eastAsia="仿宋" w:cs="仿宋"/>
          <w:color w:val="auto"/>
          <w:sz w:val="21"/>
          <w:szCs w:val="21"/>
        </w:rPr>
        <w:t xml:space="preserve">  乙方与甲方签订招标代理协议后，应诚实守信，严格履行协议，不得向他人转让代理业务。</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第七条</w:t>
      </w:r>
      <w:r>
        <w:rPr>
          <w:rFonts w:hint="eastAsia" w:ascii="仿宋" w:hAnsi="仿宋" w:eastAsia="仿宋" w:cs="仿宋"/>
          <w:color w:val="auto"/>
          <w:sz w:val="21"/>
          <w:szCs w:val="21"/>
        </w:rPr>
        <w:t xml:space="preserve">  根据计价格[2002]1980号《招标代理服务费管理暂行办法》、发改办价格[2003]857号《国家发展改革委办公厅关于招标代理服务收费有关问题的通知》等文件要求，乙方的代理手续费由中标方向乙方支付。</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第八条</w:t>
      </w:r>
      <w:r>
        <w:rPr>
          <w:rFonts w:hint="eastAsia" w:ascii="仿宋" w:hAnsi="仿宋" w:eastAsia="仿宋" w:cs="仿宋"/>
          <w:color w:val="auto"/>
          <w:sz w:val="21"/>
          <w:szCs w:val="21"/>
        </w:rPr>
        <w:t xml:space="preserve">  本框架协议未尽事宜，依照有关法律、法规执行，法律、法规未作规定的，双方经协商可以达成书面补充协议。</w:t>
      </w:r>
    </w:p>
    <w:p>
      <w:pPr>
        <w:adjustRightInd w:val="0"/>
        <w:snapToGrid w:val="0"/>
        <w:spacing w:line="360" w:lineRule="auto"/>
        <w:ind w:firstLine="422" w:firstLineChars="200"/>
        <w:rPr>
          <w:rFonts w:hint="eastAsia" w:ascii="仿宋" w:hAnsi="仿宋" w:eastAsia="仿宋" w:cs="仿宋"/>
          <w:b/>
          <w:color w:val="auto"/>
          <w:sz w:val="21"/>
          <w:szCs w:val="21"/>
        </w:rPr>
      </w:pPr>
      <w:r>
        <w:rPr>
          <w:rFonts w:hint="eastAsia" w:ascii="仿宋" w:hAnsi="仿宋" w:eastAsia="仿宋" w:cs="仿宋"/>
          <w:b/>
          <w:color w:val="auto"/>
          <w:sz w:val="21"/>
          <w:szCs w:val="21"/>
        </w:rPr>
        <w:t>第九条  代理合同的执行及争议的解决</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1、甲乙双方应及时相互通报本代理合同执行中所发生的问题，及时磋商解决办法，由于延误造成的损失由责任方承担；</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2、甲乙双方均应认真履行本代理合同,由于任何一方过错使代理合同不能履行,不能完全履行，迟延履行，或履行不符合约定条件的，由过错方承担责任；如属双方过错，则根据各自过错，分别承担相应的责任；</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3、甲乙方双方同意，在执行本代理合同过程中所发生的一切争议，应通过双方协商解决。</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第十条</w:t>
      </w:r>
      <w:r>
        <w:rPr>
          <w:rFonts w:hint="eastAsia" w:ascii="仿宋" w:hAnsi="仿宋" w:eastAsia="仿宋" w:cs="仿宋"/>
          <w:color w:val="auto"/>
          <w:sz w:val="21"/>
          <w:szCs w:val="21"/>
        </w:rPr>
        <w:t xml:space="preserve">  本框架协议自签订之日起生效，本代理协议一式五份，甲方两份，乙方两份，公共资源交易平台一份，具有同等法律效力。</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第十一条</w:t>
      </w:r>
      <w:r>
        <w:rPr>
          <w:rFonts w:hint="eastAsia" w:ascii="仿宋" w:hAnsi="仿宋" w:eastAsia="仿宋" w:cs="仿宋"/>
          <w:color w:val="auto"/>
          <w:sz w:val="21"/>
          <w:szCs w:val="21"/>
        </w:rPr>
        <w:t xml:space="preserve">  在履行本协议过程中，如发生争议，双方应协商解决；协商不成，任何一方均可向甲方所在地有管辖权的人民法院起诉。</w:t>
      </w:r>
    </w:p>
    <w:p>
      <w:pPr>
        <w:adjustRightInd w:val="0"/>
        <w:snapToGrid w:val="0"/>
        <w:spacing w:line="360" w:lineRule="auto"/>
        <w:ind w:firstLine="420" w:firstLineChars="200"/>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b/>
          <w:color w:val="auto"/>
          <w:sz w:val="21"/>
          <w:szCs w:val="21"/>
        </w:rPr>
      </w:pPr>
      <w:r>
        <w:rPr>
          <w:rFonts w:hint="eastAsia" w:ascii="仿宋" w:hAnsi="仿宋" w:eastAsia="仿宋" w:cs="仿宋"/>
          <w:b/>
          <w:color w:val="auto"/>
          <w:sz w:val="21"/>
          <w:szCs w:val="21"/>
        </w:rPr>
        <w:t>甲方（盖章）：***********             乙方（盖章）：*****************</w:t>
      </w:r>
    </w:p>
    <w:p>
      <w:pPr>
        <w:adjustRightInd w:val="0"/>
        <w:snapToGrid w:val="0"/>
        <w:spacing w:line="360" w:lineRule="auto"/>
        <w:ind w:firstLine="5268" w:firstLineChars="2499"/>
        <w:rPr>
          <w:rFonts w:hint="eastAsia" w:ascii="仿宋" w:hAnsi="仿宋" w:eastAsia="仿宋" w:cs="仿宋"/>
          <w:b/>
          <w:color w:val="auto"/>
          <w:sz w:val="21"/>
          <w:szCs w:val="21"/>
        </w:rPr>
      </w:pPr>
      <w:r>
        <w:rPr>
          <w:rFonts w:hint="eastAsia" w:ascii="仿宋" w:hAnsi="仿宋" w:eastAsia="仿宋" w:cs="仿宋"/>
          <w:b/>
          <w:color w:val="auto"/>
          <w:sz w:val="21"/>
          <w:szCs w:val="21"/>
        </w:rPr>
        <w:t xml:space="preserve">                              </w:t>
      </w:r>
    </w:p>
    <w:p>
      <w:pPr>
        <w:adjustRightInd w:val="0"/>
        <w:snapToGrid w:val="0"/>
        <w:spacing w:line="360" w:lineRule="auto"/>
        <w:ind w:firstLine="420" w:firstLineChars="200"/>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                         法定代表人：</w:t>
      </w: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（授权委托人）：                      （授权委托人）：</w:t>
      </w:r>
    </w:p>
    <w:p>
      <w:pPr>
        <w:adjustRightInd w:val="0"/>
        <w:snapToGrid w:val="0"/>
        <w:spacing w:line="360" w:lineRule="auto"/>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联系电话：                           联系电话： </w:t>
      </w:r>
    </w:p>
    <w:p>
      <w:pPr>
        <w:adjustRightInd w:val="0"/>
        <w:snapToGrid w:val="0"/>
        <w:spacing w:line="360" w:lineRule="auto"/>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                  日期：   年  月   日</w:t>
      </w:r>
    </w:p>
    <w:p>
      <w:pPr>
        <w:adjustRightInd w:val="0"/>
        <w:snapToGrid w:val="0"/>
        <w:spacing w:line="360" w:lineRule="auto"/>
        <w:ind w:left="420" w:leftChars="200"/>
        <w:jc w:val="center"/>
        <w:rPr>
          <w:rFonts w:hint="eastAsia" w:ascii="仿宋" w:hAnsi="仿宋" w:eastAsia="仿宋" w:cs="仿宋"/>
          <w:color w:val="auto"/>
          <w:sz w:val="21"/>
          <w:szCs w:val="21"/>
        </w:rPr>
      </w:pPr>
    </w:p>
    <w:p>
      <w:pPr>
        <w:adjustRightInd w:val="0"/>
        <w:snapToGrid w:val="0"/>
        <w:spacing w:line="360" w:lineRule="auto"/>
        <w:ind w:left="420" w:leftChars="200"/>
        <w:jc w:val="center"/>
        <w:rPr>
          <w:rFonts w:hint="eastAsia" w:ascii="仿宋" w:hAnsi="仿宋" w:eastAsia="仿宋" w:cs="仿宋"/>
          <w:color w:val="auto"/>
        </w:rPr>
      </w:pPr>
      <w:r>
        <w:rPr>
          <w:rFonts w:hint="eastAsia" w:ascii="仿宋" w:hAnsi="仿宋" w:eastAsia="仿宋" w:cs="仿宋"/>
          <w:color w:val="auto"/>
          <w:sz w:val="24"/>
          <w:szCs w:val="24"/>
        </w:rPr>
        <w:br w:type="page"/>
      </w:r>
      <w:bookmarkStart w:id="73" w:name="_Toc420957392"/>
      <w:bookmarkStart w:id="74" w:name="_Toc99946987"/>
      <w:bookmarkStart w:id="75" w:name="_Toc149637124"/>
      <w:r>
        <w:rPr>
          <w:rFonts w:hint="eastAsia" w:ascii="仿宋" w:hAnsi="仿宋" w:eastAsia="仿宋" w:cs="仿宋"/>
          <w:color w:val="auto"/>
        </w:rPr>
        <w:t xml:space="preserve"> </w:t>
      </w:r>
    </w:p>
    <w:p>
      <w:pPr>
        <w:pStyle w:val="3"/>
        <w:snapToGrid w:val="0"/>
        <w:spacing w:line="360" w:lineRule="auto"/>
        <w:ind w:left="420" w:leftChars="200"/>
        <w:jc w:val="center"/>
        <w:rPr>
          <w:rFonts w:hint="eastAsia" w:ascii="仿宋" w:hAnsi="仿宋" w:eastAsia="仿宋" w:cs="仿宋"/>
          <w:color w:val="auto"/>
          <w:sz w:val="36"/>
          <w:szCs w:val="36"/>
        </w:rPr>
      </w:pPr>
      <w:bookmarkStart w:id="76" w:name="_Toc103602615"/>
    </w:p>
    <w:p>
      <w:pPr>
        <w:rPr>
          <w:rFonts w:hint="eastAsia"/>
          <w:color w:val="auto"/>
        </w:rPr>
      </w:pPr>
    </w:p>
    <w:p>
      <w:pPr>
        <w:pStyle w:val="3"/>
        <w:snapToGrid w:val="0"/>
        <w:spacing w:line="360" w:lineRule="auto"/>
        <w:ind w:left="420" w:leftChars="200"/>
        <w:jc w:val="center"/>
        <w:rPr>
          <w:rFonts w:hint="eastAsia" w:ascii="仿宋" w:hAnsi="仿宋" w:eastAsia="仿宋" w:cs="仿宋"/>
          <w:color w:val="auto"/>
          <w:sz w:val="36"/>
          <w:szCs w:val="36"/>
        </w:rPr>
      </w:pPr>
    </w:p>
    <w:p>
      <w:pPr>
        <w:rPr>
          <w:rFonts w:hint="eastAsia"/>
          <w:color w:val="auto"/>
        </w:rPr>
      </w:pPr>
    </w:p>
    <w:p>
      <w:pPr>
        <w:pStyle w:val="3"/>
        <w:snapToGrid w:val="0"/>
        <w:spacing w:line="360" w:lineRule="auto"/>
        <w:ind w:left="420" w:leftChars="200"/>
        <w:jc w:val="center"/>
        <w:rPr>
          <w:rFonts w:hint="eastAsia" w:ascii="仿宋" w:hAnsi="仿宋" w:eastAsia="仿宋" w:cs="仿宋"/>
          <w:color w:val="auto"/>
          <w:sz w:val="36"/>
          <w:szCs w:val="36"/>
        </w:rPr>
      </w:pPr>
    </w:p>
    <w:p>
      <w:pPr>
        <w:pStyle w:val="3"/>
        <w:snapToGrid w:val="0"/>
        <w:spacing w:line="360" w:lineRule="auto"/>
        <w:ind w:left="420" w:leftChars="200"/>
        <w:jc w:val="center"/>
        <w:rPr>
          <w:rFonts w:hint="eastAsia" w:ascii="仿宋" w:hAnsi="仿宋" w:eastAsia="仿宋" w:cs="仿宋"/>
          <w:color w:val="auto"/>
          <w:sz w:val="36"/>
          <w:szCs w:val="36"/>
        </w:rPr>
      </w:pPr>
      <w:bookmarkStart w:id="77" w:name="_Toc7634"/>
      <w:r>
        <w:rPr>
          <w:rFonts w:hint="eastAsia" w:ascii="仿宋" w:hAnsi="仿宋" w:eastAsia="仿宋" w:cs="仿宋"/>
          <w:color w:val="auto"/>
          <w:sz w:val="36"/>
          <w:szCs w:val="36"/>
        </w:rPr>
        <w:t>第五</w:t>
      </w:r>
      <w:r>
        <w:rPr>
          <w:rFonts w:hint="eastAsia" w:ascii="仿宋" w:hAnsi="仿宋" w:eastAsia="仿宋" w:cs="仿宋"/>
          <w:color w:val="auto"/>
          <w:sz w:val="36"/>
          <w:szCs w:val="36"/>
          <w:lang w:val="en-US" w:eastAsia="zh-CN"/>
        </w:rPr>
        <w:t>部分</w:t>
      </w:r>
      <w:r>
        <w:rPr>
          <w:rFonts w:hint="eastAsia" w:ascii="仿宋" w:hAnsi="仿宋" w:eastAsia="仿宋" w:cs="仿宋"/>
          <w:color w:val="auto"/>
          <w:sz w:val="36"/>
          <w:szCs w:val="36"/>
        </w:rPr>
        <w:t xml:space="preserve">  竞争性磋商响应文件格式</w:t>
      </w:r>
      <w:bookmarkEnd w:id="73"/>
      <w:bookmarkEnd w:id="74"/>
      <w:bookmarkEnd w:id="75"/>
      <w:bookmarkEnd w:id="76"/>
      <w:bookmarkEnd w:id="77"/>
    </w:p>
    <w:p>
      <w:pPr>
        <w:adjustRightInd w:val="0"/>
        <w:snapToGrid w:val="0"/>
        <w:spacing w:line="360" w:lineRule="auto"/>
        <w:ind w:left="420" w:leftChars="200" w:firstLine="422" w:firstLineChars="200"/>
        <w:rPr>
          <w:rFonts w:hint="eastAsia" w:ascii="仿宋" w:hAnsi="仿宋" w:eastAsia="仿宋" w:cs="仿宋"/>
          <w:b/>
          <w:color w:val="auto"/>
          <w:sz w:val="21"/>
          <w:szCs w:val="21"/>
        </w:rPr>
      </w:pPr>
    </w:p>
    <w:p>
      <w:pPr>
        <w:pStyle w:val="16"/>
        <w:rPr>
          <w:rFonts w:hint="eastAsia" w:ascii="仿宋" w:hAnsi="仿宋" w:eastAsia="仿宋" w:cs="仿宋"/>
          <w:b/>
          <w:color w:val="auto"/>
          <w:sz w:val="21"/>
          <w:szCs w:val="21"/>
        </w:rPr>
      </w:pPr>
    </w:p>
    <w:p>
      <w:pPr>
        <w:pStyle w:val="16"/>
        <w:rPr>
          <w:rFonts w:hint="eastAsia" w:ascii="仿宋" w:hAnsi="仿宋" w:eastAsia="仿宋" w:cs="仿宋"/>
          <w:b/>
          <w:color w:val="auto"/>
          <w:sz w:val="21"/>
          <w:szCs w:val="21"/>
        </w:rPr>
      </w:pPr>
    </w:p>
    <w:p>
      <w:pPr>
        <w:pStyle w:val="16"/>
        <w:rPr>
          <w:rFonts w:hint="eastAsia" w:ascii="仿宋" w:hAnsi="仿宋" w:eastAsia="仿宋" w:cs="仿宋"/>
          <w:b/>
          <w:color w:val="auto"/>
          <w:sz w:val="21"/>
          <w:szCs w:val="21"/>
        </w:rPr>
      </w:pPr>
    </w:p>
    <w:p>
      <w:pPr>
        <w:pStyle w:val="16"/>
        <w:rPr>
          <w:rFonts w:hint="eastAsia" w:ascii="仿宋" w:hAnsi="仿宋" w:eastAsia="仿宋" w:cs="仿宋"/>
          <w:b/>
          <w:color w:val="auto"/>
          <w:sz w:val="21"/>
          <w:szCs w:val="21"/>
        </w:rPr>
      </w:pPr>
    </w:p>
    <w:p>
      <w:pPr>
        <w:pStyle w:val="16"/>
        <w:rPr>
          <w:rFonts w:hint="eastAsia" w:ascii="仿宋" w:hAnsi="仿宋" w:eastAsia="仿宋" w:cs="仿宋"/>
          <w:b/>
          <w:color w:val="auto"/>
          <w:sz w:val="21"/>
          <w:szCs w:val="21"/>
        </w:rPr>
      </w:pPr>
    </w:p>
    <w:p>
      <w:pPr>
        <w:pStyle w:val="16"/>
        <w:rPr>
          <w:rFonts w:hint="eastAsia" w:ascii="仿宋" w:hAnsi="仿宋" w:eastAsia="仿宋" w:cs="仿宋"/>
          <w:b/>
          <w:color w:val="auto"/>
          <w:sz w:val="21"/>
          <w:szCs w:val="21"/>
        </w:rPr>
      </w:pPr>
    </w:p>
    <w:p>
      <w:pPr>
        <w:pStyle w:val="16"/>
        <w:rPr>
          <w:rFonts w:hint="eastAsia" w:ascii="仿宋" w:hAnsi="仿宋" w:eastAsia="仿宋" w:cs="仿宋"/>
          <w:b/>
          <w:color w:val="auto"/>
          <w:sz w:val="21"/>
          <w:szCs w:val="21"/>
        </w:rPr>
      </w:pPr>
    </w:p>
    <w:p>
      <w:pPr>
        <w:adjustRightInd w:val="0"/>
        <w:snapToGrid w:val="0"/>
        <w:spacing w:line="360" w:lineRule="auto"/>
        <w:jc w:val="center"/>
        <w:rPr>
          <w:rFonts w:hint="eastAsia" w:ascii="仿宋" w:hAnsi="仿宋" w:eastAsia="仿宋" w:cs="仿宋"/>
          <w:b/>
          <w:color w:val="auto"/>
          <w:sz w:val="24"/>
          <w:szCs w:val="24"/>
        </w:rPr>
      </w:pPr>
      <w:bookmarkStart w:id="78" w:name="_Ref467988698"/>
      <w:bookmarkStart w:id="79" w:name="_Toc480942349"/>
      <w:bookmarkStart w:id="80" w:name="_Toc520356217"/>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b/>
          <w:color w:val="auto"/>
          <w:sz w:val="24"/>
          <w:szCs w:val="24"/>
        </w:rPr>
        <w:t>1、商务部分</w:t>
      </w:r>
    </w:p>
    <w:p>
      <w:pPr>
        <w:pStyle w:val="6"/>
        <w:jc w:val="center"/>
        <w:rPr>
          <w:rFonts w:hint="eastAsia" w:ascii="仿宋" w:hAnsi="仿宋" w:eastAsia="仿宋" w:cs="仿宋"/>
          <w:color w:val="auto"/>
          <w:sz w:val="24"/>
          <w:szCs w:val="24"/>
        </w:rPr>
      </w:pPr>
      <w:bookmarkStart w:id="81" w:name="_Toc35423918"/>
      <w:bookmarkStart w:id="82" w:name="_Toc420957393"/>
      <w:bookmarkStart w:id="83" w:name="_Toc11380"/>
      <w:bookmarkStart w:id="84" w:name="_Toc103602616"/>
      <w:r>
        <w:rPr>
          <w:rFonts w:hint="eastAsia" w:ascii="仿宋" w:hAnsi="仿宋" w:eastAsia="仿宋" w:cs="仿宋"/>
          <w:color w:val="auto"/>
          <w:szCs w:val="24"/>
          <w:u w:val="none"/>
        </w:rPr>
        <w:t>附件1</w:t>
      </w:r>
      <w:bookmarkStart w:id="85" w:name="_Hlt520355504"/>
      <w:bookmarkEnd w:id="85"/>
      <w:r>
        <w:rPr>
          <w:rFonts w:hint="eastAsia" w:ascii="仿宋" w:hAnsi="仿宋" w:eastAsia="仿宋" w:cs="仿宋"/>
          <w:color w:val="auto"/>
          <w:szCs w:val="24"/>
          <w:u w:val="none"/>
        </w:rPr>
        <w:t xml:space="preserve">  投标</w:t>
      </w:r>
      <w:bookmarkEnd w:id="78"/>
      <w:bookmarkEnd w:id="79"/>
      <w:r>
        <w:rPr>
          <w:rFonts w:hint="eastAsia" w:ascii="仿宋" w:hAnsi="仿宋" w:eastAsia="仿宋" w:cs="仿宋"/>
          <w:color w:val="auto"/>
          <w:szCs w:val="24"/>
          <w:u w:val="none"/>
        </w:rPr>
        <w:t>书</w:t>
      </w:r>
      <w:bookmarkEnd w:id="80"/>
      <w:r>
        <w:rPr>
          <w:rFonts w:hint="eastAsia" w:ascii="仿宋" w:hAnsi="仿宋" w:eastAsia="仿宋" w:cs="仿宋"/>
          <w:color w:val="auto"/>
          <w:szCs w:val="24"/>
          <w:u w:val="none"/>
        </w:rPr>
        <w:t>（格式）</w:t>
      </w:r>
      <w:bookmarkEnd w:id="81"/>
      <w:bookmarkEnd w:id="82"/>
      <w:bookmarkEnd w:id="83"/>
      <w:bookmarkEnd w:id="84"/>
    </w:p>
    <w:p>
      <w:pPr>
        <w:tabs>
          <w:tab w:val="left" w:pos="5580"/>
        </w:tabs>
        <w:adjustRightInd w:val="0"/>
        <w:snapToGrid w:val="0"/>
        <w:spacing w:before="120" w:line="360" w:lineRule="auto"/>
        <w:rPr>
          <w:rFonts w:hint="eastAsia" w:ascii="仿宋" w:hAnsi="仿宋" w:eastAsia="仿宋" w:cs="仿宋"/>
          <w:color w:val="auto"/>
          <w:sz w:val="21"/>
          <w:szCs w:val="21"/>
          <w:u w:val="single"/>
        </w:rPr>
      </w:pPr>
      <w:r>
        <w:rPr>
          <w:rFonts w:hint="eastAsia" w:ascii="仿宋" w:hAnsi="仿宋" w:eastAsia="仿宋" w:cs="仿宋"/>
          <w:color w:val="auto"/>
          <w:sz w:val="21"/>
          <w:szCs w:val="21"/>
        </w:rPr>
        <w:t>致：</w:t>
      </w:r>
      <w:r>
        <w:rPr>
          <w:rFonts w:hint="eastAsia" w:ascii="仿宋" w:hAnsi="仿宋" w:eastAsia="仿宋" w:cs="仿宋"/>
          <w:color w:val="auto"/>
          <w:sz w:val="21"/>
          <w:szCs w:val="21"/>
          <w:u w:val="single"/>
        </w:rPr>
        <w:t xml:space="preserve">             </w:t>
      </w:r>
    </w:p>
    <w:p>
      <w:pPr>
        <w:tabs>
          <w:tab w:val="left" w:pos="5580"/>
        </w:tabs>
        <w:adjustRightInd w:val="0"/>
        <w:snapToGrid w:val="0"/>
        <w:spacing w:before="120"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根据贵方为</w:t>
      </w:r>
      <w:r>
        <w:rPr>
          <w:rFonts w:hint="eastAsia" w:ascii="仿宋" w:hAnsi="仿宋" w:eastAsia="仿宋" w:cs="仿宋"/>
          <w:color w:val="auto"/>
          <w:sz w:val="21"/>
          <w:szCs w:val="21"/>
          <w:u w:val="single"/>
        </w:rPr>
        <w:t xml:space="preserve">  （</w:t>
      </w:r>
      <w:r>
        <w:rPr>
          <w:rFonts w:hint="eastAsia" w:ascii="仿宋" w:hAnsi="仿宋" w:eastAsia="仿宋" w:cs="仿宋"/>
          <w:i/>
          <w:color w:val="auto"/>
          <w:sz w:val="21"/>
          <w:szCs w:val="21"/>
          <w:u w:val="single"/>
        </w:rPr>
        <w:t>项目名称）</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项目招标采购服务的投标邀请</w:t>
      </w:r>
      <w:r>
        <w:rPr>
          <w:rFonts w:hint="eastAsia" w:ascii="仿宋" w:hAnsi="仿宋" w:eastAsia="仿宋" w:cs="仿宋"/>
          <w:color w:val="auto"/>
          <w:sz w:val="21"/>
          <w:szCs w:val="21"/>
          <w:u w:val="single"/>
        </w:rPr>
        <w:t xml:space="preserve"> （</w:t>
      </w:r>
      <w:r>
        <w:rPr>
          <w:rFonts w:hint="eastAsia" w:ascii="仿宋" w:hAnsi="仿宋" w:eastAsia="仿宋" w:cs="仿宋"/>
          <w:i/>
          <w:color w:val="auto"/>
          <w:sz w:val="21"/>
          <w:szCs w:val="21"/>
          <w:u w:val="single"/>
        </w:rPr>
        <w:t>招标编号）</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,签字代表</w:t>
      </w:r>
      <w:r>
        <w:rPr>
          <w:rFonts w:hint="eastAsia" w:ascii="仿宋" w:hAnsi="仿宋" w:eastAsia="仿宋" w:cs="仿宋"/>
          <w:color w:val="auto"/>
          <w:sz w:val="21"/>
          <w:szCs w:val="21"/>
          <w:u w:val="single"/>
        </w:rPr>
        <w:t xml:space="preserve"> （</w:t>
      </w:r>
      <w:r>
        <w:rPr>
          <w:rFonts w:hint="eastAsia" w:ascii="仿宋" w:hAnsi="仿宋" w:eastAsia="仿宋" w:cs="仿宋"/>
          <w:i/>
          <w:color w:val="auto"/>
          <w:sz w:val="21"/>
          <w:szCs w:val="21"/>
          <w:u w:val="single"/>
        </w:rPr>
        <w:t>姓名、职务）</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经正式授权并代表投标人</w:t>
      </w:r>
      <w:r>
        <w:rPr>
          <w:rFonts w:hint="eastAsia" w:ascii="仿宋" w:hAnsi="仿宋" w:eastAsia="仿宋" w:cs="仿宋"/>
          <w:color w:val="auto"/>
          <w:sz w:val="21"/>
          <w:szCs w:val="21"/>
          <w:u w:val="single"/>
        </w:rPr>
        <w:t>（</w:t>
      </w:r>
      <w:r>
        <w:rPr>
          <w:rFonts w:hint="eastAsia" w:ascii="仿宋" w:hAnsi="仿宋" w:eastAsia="仿宋" w:cs="仿宋"/>
          <w:i/>
          <w:color w:val="auto"/>
          <w:sz w:val="21"/>
          <w:szCs w:val="21"/>
          <w:u w:val="single"/>
        </w:rPr>
        <w:t>投标人名称、地址</w:t>
      </w:r>
      <w:r>
        <w:rPr>
          <w:rFonts w:hint="eastAsia" w:ascii="仿宋" w:hAnsi="仿宋" w:eastAsia="仿宋" w:cs="仿宋"/>
          <w:color w:val="auto"/>
          <w:sz w:val="21"/>
          <w:szCs w:val="21"/>
          <w:u w:val="single"/>
        </w:rPr>
        <w:t>）</w:t>
      </w:r>
      <w:r>
        <w:rPr>
          <w:rFonts w:hint="eastAsia" w:ascii="仿宋" w:hAnsi="仿宋" w:eastAsia="仿宋" w:cs="仿宋"/>
          <w:color w:val="auto"/>
          <w:sz w:val="21"/>
          <w:szCs w:val="21"/>
        </w:rPr>
        <w:t>提交下述文件正本一份及副本二份：</w:t>
      </w:r>
    </w:p>
    <w:p>
      <w:pPr>
        <w:pStyle w:val="20"/>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1.投标书</w:t>
      </w:r>
    </w:p>
    <w:p>
      <w:pPr>
        <w:pStyle w:val="20"/>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2.投标报价文件</w:t>
      </w:r>
    </w:p>
    <w:p>
      <w:pPr>
        <w:pStyle w:val="20"/>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3.资格证明文件</w:t>
      </w:r>
    </w:p>
    <w:p>
      <w:pPr>
        <w:pStyle w:val="20"/>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4.其他在投标人须知中应当提交的文件</w:t>
      </w:r>
    </w:p>
    <w:p>
      <w:pPr>
        <w:pStyle w:val="20"/>
        <w:tabs>
          <w:tab w:val="left" w:pos="0"/>
          <w:tab w:val="left" w:pos="5580"/>
        </w:tabs>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据此，签字代表宣布同意如下：</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（1）投标人将按招标文件的规定履行合同责任和义务。</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（2）投标人已详细审查全部招标文件，包括第</w:t>
      </w:r>
      <w:r>
        <w:rPr>
          <w:rFonts w:hint="eastAsia" w:ascii="仿宋" w:hAnsi="仿宋" w:eastAsia="仿宋" w:cs="仿宋"/>
          <w:color w:val="auto"/>
          <w:sz w:val="21"/>
          <w:szCs w:val="21"/>
          <w:u w:val="single"/>
        </w:rPr>
        <w:t xml:space="preserve">        号（招标编号、补充通知）</w:t>
      </w:r>
      <w:r>
        <w:rPr>
          <w:rFonts w:hint="eastAsia" w:ascii="仿宋" w:hAnsi="仿宋" w:eastAsia="仿宋" w:cs="仿宋"/>
          <w:color w:val="auto"/>
          <w:sz w:val="21"/>
          <w:szCs w:val="21"/>
        </w:rPr>
        <w:t>（如果有的话）。我们完全理解并同意放弃对这方面有不明及误解的权力。</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（3)本投标有效期为自开标日起</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lang w:val="en-US" w:eastAsia="zh-CN"/>
        </w:rPr>
        <w:t>90</w:t>
      </w:r>
      <w:r>
        <w:rPr>
          <w:rFonts w:hint="eastAsia" w:ascii="仿宋" w:hAnsi="仿宋" w:eastAsia="仿宋" w:cs="仿宋"/>
          <w:color w:val="auto"/>
          <w:sz w:val="21"/>
          <w:szCs w:val="21"/>
        </w:rPr>
        <w:t>个日历日。</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 (4）根据投标人须知规定，我方承诺，与招标采购单位聘请的为此项目提供咨询服务的公司及任何附属机构均无关联，我方不是招标采购单位的附属机构。</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（5）投标人同意提供按照贵方可能要求的与其投标有关的一切数据或资料。</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（6）完全理解贵方不一定接受最低价的投标或收到的任何投标。</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（7）承诺完全满足和响应招标文件中的各项商务和技术要求，若有偏差，已在投标文件中显著处予以明确特别说明。</w:t>
      </w:r>
    </w:p>
    <w:p>
      <w:pPr>
        <w:pStyle w:val="20"/>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（8）我方愿意向贵方提供任何与本项有关的数据、情况和技术资料。若贵方需要，我方愿意提供我方做出的一切承诺的证明材料。</w:t>
      </w:r>
    </w:p>
    <w:p>
      <w:pPr>
        <w:pStyle w:val="20"/>
        <w:tabs>
          <w:tab w:val="left" w:pos="162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本投标有关的一切正式往来信函请寄：</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地址</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电话</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传真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电子函件</w:t>
      </w:r>
      <w:r>
        <w:rPr>
          <w:rFonts w:hint="eastAsia" w:ascii="仿宋" w:hAnsi="仿宋" w:eastAsia="仿宋" w:cs="仿宋"/>
          <w:color w:val="auto"/>
          <w:sz w:val="21"/>
          <w:szCs w:val="21"/>
          <w:u w:val="single"/>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投标人法定代表人或其授权代表签字或盖章</w:t>
      </w:r>
      <w:r>
        <w:rPr>
          <w:rFonts w:hint="eastAsia" w:ascii="仿宋" w:hAnsi="仿宋" w:eastAsia="仿宋" w:cs="仿宋"/>
          <w:color w:val="auto"/>
          <w:sz w:val="21"/>
          <w:szCs w:val="21"/>
          <w:u w:val="single"/>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投标人名称（全称）</w:t>
      </w:r>
      <w:r>
        <w:rPr>
          <w:rFonts w:hint="eastAsia" w:ascii="仿宋" w:hAnsi="仿宋" w:eastAsia="仿宋" w:cs="仿宋"/>
          <w:color w:val="auto"/>
          <w:sz w:val="21"/>
          <w:szCs w:val="21"/>
          <w:u w:val="single"/>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投标人公章</w:t>
      </w:r>
      <w:r>
        <w:rPr>
          <w:rFonts w:hint="eastAsia" w:ascii="仿宋" w:hAnsi="仿宋" w:eastAsia="仿宋" w:cs="仿宋"/>
          <w:color w:val="auto"/>
          <w:sz w:val="21"/>
          <w:szCs w:val="21"/>
          <w:u w:val="single"/>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p>
    <w:p>
      <w:pPr>
        <w:pStyle w:val="4"/>
        <w:numPr>
          <w:ilvl w:val="1"/>
          <w:numId w:val="0"/>
        </w:numPr>
        <w:snapToGrid w:val="0"/>
        <w:spacing w:line="360" w:lineRule="auto"/>
        <w:ind w:left="420" w:leftChars="200"/>
        <w:textAlignment w:val="baseline"/>
        <w:rPr>
          <w:rFonts w:hint="eastAsia" w:ascii="仿宋" w:hAnsi="仿宋" w:eastAsia="仿宋" w:cs="仿宋"/>
          <w:color w:val="auto"/>
          <w:sz w:val="21"/>
          <w:szCs w:val="21"/>
        </w:rPr>
        <w:sectPr>
          <w:headerReference r:id="rId13" w:type="default"/>
          <w:footerReference r:id="rId14" w:type="default"/>
          <w:pgSz w:w="11906" w:h="16838"/>
          <w:pgMar w:top="1440" w:right="1797" w:bottom="1440" w:left="1797" w:header="851" w:footer="992" w:gutter="0"/>
          <w:pgNumType w:fmt="decimal"/>
          <w:cols w:space="720" w:num="1"/>
          <w:docGrid w:linePitch="312" w:charSpace="0"/>
        </w:sectPr>
      </w:pPr>
      <w:bookmarkStart w:id="86" w:name="_Toc497711587"/>
      <w:bookmarkStart w:id="87" w:name="_Toc492955461"/>
      <w:bookmarkStart w:id="88" w:name="_Toc497551822"/>
      <w:bookmarkStart w:id="89" w:name="_Toc497546920"/>
      <w:bookmarkStart w:id="90" w:name="_Toc497712135"/>
      <w:bookmarkStart w:id="91" w:name="_Toc106381650"/>
      <w:bookmarkStart w:id="92" w:name="_Toc153347056"/>
      <w:bookmarkStart w:id="93" w:name="_Toc153346195"/>
      <w:bookmarkStart w:id="94" w:name="_Toc115514548"/>
    </w:p>
    <w:p>
      <w:pPr>
        <w:pStyle w:val="6"/>
        <w:jc w:val="center"/>
        <w:rPr>
          <w:rFonts w:hint="eastAsia" w:ascii="仿宋" w:hAnsi="仿宋" w:eastAsia="仿宋" w:cs="仿宋"/>
          <w:color w:val="auto"/>
          <w:sz w:val="21"/>
          <w:szCs w:val="21"/>
          <w:u w:val="none"/>
        </w:rPr>
      </w:pPr>
      <w:bookmarkStart w:id="95" w:name="_Toc420957394"/>
      <w:bookmarkStart w:id="96" w:name="_Toc35423919"/>
      <w:bookmarkStart w:id="97" w:name="_Toc6801"/>
      <w:bookmarkStart w:id="98" w:name="_Toc103602617"/>
      <w:r>
        <w:rPr>
          <w:rFonts w:hint="eastAsia" w:ascii="仿宋" w:hAnsi="仿宋" w:eastAsia="仿宋" w:cs="仿宋"/>
          <w:color w:val="auto"/>
          <w:sz w:val="21"/>
          <w:szCs w:val="21"/>
          <w:u w:val="none"/>
        </w:rPr>
        <w:t>附件</w:t>
      </w:r>
      <w:bookmarkStart w:id="99" w:name="_Hlt491765515"/>
      <w:r>
        <w:rPr>
          <w:rFonts w:hint="eastAsia" w:ascii="仿宋" w:hAnsi="仿宋" w:eastAsia="仿宋" w:cs="仿宋"/>
          <w:color w:val="auto"/>
          <w:sz w:val="21"/>
          <w:szCs w:val="21"/>
          <w:u w:val="none"/>
        </w:rPr>
        <w:t xml:space="preserve">2  </w:t>
      </w:r>
      <w:bookmarkEnd w:id="86"/>
      <w:bookmarkEnd w:id="87"/>
      <w:bookmarkEnd w:id="88"/>
      <w:bookmarkEnd w:id="89"/>
      <w:bookmarkEnd w:id="90"/>
      <w:bookmarkEnd w:id="99"/>
      <w:bookmarkStart w:id="100" w:name="_Hlt491572840"/>
      <w:bookmarkEnd w:id="100"/>
      <w:r>
        <w:rPr>
          <w:rFonts w:hint="eastAsia" w:ascii="仿宋" w:hAnsi="仿宋" w:eastAsia="仿宋" w:cs="仿宋"/>
          <w:color w:val="auto"/>
          <w:sz w:val="21"/>
          <w:szCs w:val="21"/>
          <w:u w:val="none"/>
          <w:lang w:eastAsia="zh-CN"/>
        </w:rPr>
        <w:t>报价</w:t>
      </w:r>
      <w:r>
        <w:rPr>
          <w:rFonts w:hint="eastAsia" w:ascii="仿宋" w:hAnsi="仿宋" w:eastAsia="仿宋" w:cs="仿宋"/>
          <w:color w:val="auto"/>
          <w:sz w:val="21"/>
          <w:szCs w:val="21"/>
          <w:u w:val="none"/>
        </w:rPr>
        <w:t>表</w:t>
      </w:r>
      <w:bookmarkEnd w:id="91"/>
      <w:bookmarkEnd w:id="92"/>
      <w:bookmarkEnd w:id="93"/>
      <w:bookmarkEnd w:id="94"/>
      <w:bookmarkEnd w:id="95"/>
      <w:bookmarkEnd w:id="96"/>
      <w:bookmarkEnd w:id="97"/>
      <w:bookmarkEnd w:id="98"/>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一、项目名称： </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二、编号：                                                                              </w:t>
      </w:r>
    </w:p>
    <w:tbl>
      <w:tblPr>
        <w:tblStyle w:val="39"/>
        <w:tblW w:w="14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4707"/>
        <w:gridCol w:w="4706"/>
        <w:gridCol w:w="3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09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firstLine="1050" w:firstLineChars="500"/>
              <w:jc w:val="both"/>
              <w:rPr>
                <w:rFonts w:hint="eastAsia" w:ascii="仿宋" w:hAnsi="仿宋" w:eastAsia="仿宋" w:cs="仿宋"/>
                <w:color w:val="auto"/>
                <w:sz w:val="21"/>
                <w:szCs w:val="21"/>
              </w:rPr>
            </w:pPr>
            <w:r>
              <w:rPr>
                <w:rFonts w:hint="eastAsia" w:ascii="仿宋" w:hAnsi="仿宋" w:eastAsia="仿宋" w:cs="仿宋"/>
                <w:color w:val="auto"/>
                <w:sz w:val="21"/>
                <w:szCs w:val="21"/>
              </w:rPr>
              <w:t>项目名称</w:t>
            </w:r>
          </w:p>
        </w:tc>
        <w:tc>
          <w:tcPr>
            <w:tcW w:w="47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投标报价</w:t>
            </w:r>
          </w:p>
          <w:p>
            <w:pPr>
              <w:adjustRightInd w:val="0"/>
              <w:snapToGrid w:val="0"/>
              <w:spacing w:line="360" w:lineRule="auto"/>
              <w:ind w:left="420" w:leftChars="20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（中标服务费取费标准</w:t>
            </w:r>
            <w:r>
              <w:rPr>
                <w:rFonts w:hint="eastAsia" w:ascii="仿宋" w:hAnsi="仿宋" w:eastAsia="仿宋" w:cs="仿宋"/>
                <w:color w:val="auto"/>
                <w:sz w:val="21"/>
                <w:szCs w:val="21"/>
                <w:highlight w:val="none"/>
                <w:lang w:val="en-US" w:eastAsia="zh-CN"/>
              </w:rPr>
              <w:t>下浮%</w:t>
            </w:r>
            <w:r>
              <w:rPr>
                <w:rFonts w:hint="eastAsia" w:ascii="仿宋" w:hAnsi="仿宋" w:eastAsia="仿宋" w:cs="仿宋"/>
                <w:color w:val="auto"/>
                <w:sz w:val="21"/>
                <w:szCs w:val="21"/>
                <w:highlight w:val="none"/>
              </w:rPr>
              <w:t>）</w:t>
            </w:r>
          </w:p>
        </w:tc>
        <w:tc>
          <w:tcPr>
            <w:tcW w:w="37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099"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both"/>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4707"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1260" w:leftChars="200" w:hanging="840" w:hangingChars="400"/>
              <w:jc w:val="center"/>
              <w:rPr>
                <w:rFonts w:hint="eastAsia" w:ascii="仿宋" w:hAnsi="仿宋" w:eastAsia="仿宋" w:cs="仿宋"/>
                <w:color w:val="auto"/>
                <w:sz w:val="21"/>
                <w:szCs w:val="21"/>
              </w:rPr>
            </w:pPr>
            <w:r>
              <w:rPr>
                <w:rFonts w:hint="eastAsia" w:ascii="仿宋" w:hAnsi="仿宋" w:eastAsia="仿宋" w:cs="仿宋"/>
                <w:color w:val="auto"/>
                <w:sz w:val="21"/>
                <w:szCs w:val="21"/>
              </w:rPr>
              <w:t xml:space="preserve"> </w:t>
            </w:r>
          </w:p>
        </w:tc>
        <w:tc>
          <w:tcPr>
            <w:tcW w:w="4706"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left"/>
              <w:rPr>
                <w:rFonts w:hint="eastAsia" w:ascii="仿宋" w:hAnsi="仿宋" w:eastAsia="仿宋" w:cs="仿宋"/>
                <w:color w:val="auto"/>
                <w:sz w:val="21"/>
                <w:szCs w:val="21"/>
                <w:highlight w:val="none"/>
              </w:rPr>
            </w:pPr>
          </w:p>
        </w:tc>
        <w:tc>
          <w:tcPr>
            <w:tcW w:w="3745"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二年</w:t>
            </w:r>
          </w:p>
        </w:tc>
      </w:tr>
    </w:tbl>
    <w:p>
      <w:pPr>
        <w:adjustRightInd w:val="0"/>
        <w:snapToGrid w:val="0"/>
        <w:spacing w:line="360" w:lineRule="auto"/>
        <w:ind w:left="420" w:leftChars="200" w:right="600"/>
        <w:rPr>
          <w:rFonts w:hint="eastAsia" w:ascii="仿宋" w:hAnsi="仿宋" w:eastAsia="仿宋" w:cs="仿宋"/>
          <w:color w:val="auto"/>
          <w:sz w:val="21"/>
          <w:szCs w:val="21"/>
        </w:rPr>
      </w:pPr>
    </w:p>
    <w:p>
      <w:pPr>
        <w:adjustRightInd w:val="0"/>
        <w:snapToGrid w:val="0"/>
        <w:spacing w:line="360" w:lineRule="auto"/>
        <w:ind w:right="600" w:firstLine="5670" w:firstLineChars="27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投标人法定代表人或其授权代表（签字或盖章）：</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ight="600" w:firstLine="8925" w:firstLineChars="4250"/>
        <w:rPr>
          <w:rFonts w:hint="eastAsia" w:ascii="仿宋" w:hAnsi="仿宋" w:eastAsia="仿宋" w:cs="仿宋"/>
          <w:color w:val="auto"/>
          <w:sz w:val="21"/>
          <w:szCs w:val="21"/>
        </w:rPr>
      </w:pPr>
    </w:p>
    <w:p>
      <w:pPr>
        <w:adjustRightInd w:val="0"/>
        <w:snapToGrid w:val="0"/>
        <w:spacing w:line="360" w:lineRule="auto"/>
        <w:ind w:right="600" w:firstLine="5670" w:firstLineChars="27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投标人名称（盖章）：</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ight="600" w:firstLine="8925" w:firstLineChars="4250"/>
        <w:rPr>
          <w:rFonts w:hint="eastAsia" w:ascii="仿宋" w:hAnsi="仿宋" w:eastAsia="仿宋" w:cs="仿宋"/>
          <w:color w:val="auto"/>
          <w:sz w:val="21"/>
          <w:szCs w:val="21"/>
        </w:rPr>
      </w:pPr>
    </w:p>
    <w:p>
      <w:pPr>
        <w:adjustRightInd w:val="0"/>
        <w:snapToGrid w:val="0"/>
        <w:spacing w:line="360" w:lineRule="auto"/>
        <w:ind w:right="600" w:firstLine="5670" w:firstLineChars="2700"/>
        <w:rPr>
          <w:rFonts w:hint="eastAsia" w:ascii="仿宋" w:hAnsi="仿宋" w:eastAsia="仿宋" w:cs="仿宋"/>
          <w:color w:val="auto"/>
          <w:sz w:val="24"/>
          <w:szCs w:val="24"/>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w:t>
      </w:r>
    </w:p>
    <w:p>
      <w:pPr>
        <w:pStyle w:val="4"/>
        <w:numPr>
          <w:ilvl w:val="1"/>
          <w:numId w:val="0"/>
        </w:numPr>
        <w:snapToGrid w:val="0"/>
        <w:spacing w:line="360" w:lineRule="auto"/>
        <w:ind w:left="420" w:leftChars="200"/>
        <w:jc w:val="both"/>
        <w:textAlignment w:val="baseline"/>
        <w:rPr>
          <w:rFonts w:hint="eastAsia" w:ascii="仿宋" w:hAnsi="仿宋" w:eastAsia="仿宋" w:cs="仿宋"/>
          <w:color w:val="auto"/>
          <w:sz w:val="24"/>
          <w:szCs w:val="24"/>
          <w:u w:val="single"/>
        </w:rPr>
        <w:sectPr>
          <w:footerReference r:id="rId15" w:type="default"/>
          <w:pgSz w:w="16838" w:h="11906" w:orient="landscape"/>
          <w:pgMar w:top="1797" w:right="1440" w:bottom="1797" w:left="1440" w:header="851" w:footer="992" w:gutter="0"/>
          <w:pgNumType w:fmt="decimal"/>
          <w:cols w:space="720" w:num="1"/>
          <w:docGrid w:linePitch="312" w:charSpace="0"/>
        </w:sectPr>
      </w:pPr>
      <w:bookmarkStart w:id="101" w:name="_Hlt491572848"/>
      <w:bookmarkEnd w:id="101"/>
      <w:bookmarkStart w:id="102" w:name="_Toc115514549"/>
      <w:bookmarkStart w:id="103" w:name="_Toc106381651"/>
      <w:bookmarkStart w:id="104" w:name="_Toc153346196"/>
      <w:bookmarkStart w:id="105" w:name="_Toc153347057"/>
      <w:bookmarkStart w:id="106" w:name="_Toc85330544"/>
    </w:p>
    <w:bookmarkEnd w:id="102"/>
    <w:bookmarkEnd w:id="103"/>
    <w:bookmarkEnd w:id="104"/>
    <w:bookmarkEnd w:id="105"/>
    <w:bookmarkEnd w:id="106"/>
    <w:p>
      <w:pPr>
        <w:pStyle w:val="6"/>
        <w:jc w:val="center"/>
        <w:rPr>
          <w:rFonts w:hint="eastAsia" w:ascii="仿宋" w:hAnsi="仿宋" w:eastAsia="仿宋" w:cs="仿宋"/>
          <w:color w:val="auto"/>
          <w:szCs w:val="24"/>
          <w:u w:val="none"/>
        </w:rPr>
      </w:pPr>
      <w:bookmarkStart w:id="107" w:name="_Toc120589356"/>
      <w:bookmarkStart w:id="108" w:name="_Toc35423920"/>
      <w:bookmarkStart w:id="109" w:name="_Toc103602618"/>
      <w:bookmarkStart w:id="110" w:name="_Toc115081956"/>
      <w:bookmarkStart w:id="111" w:name="_Toc420957397"/>
      <w:bookmarkStart w:id="112" w:name="_Toc8670"/>
      <w:r>
        <w:rPr>
          <w:rFonts w:hint="eastAsia" w:ascii="仿宋" w:hAnsi="仿宋" w:eastAsia="仿宋" w:cs="仿宋"/>
          <w:color w:val="auto"/>
          <w:szCs w:val="24"/>
          <w:u w:val="none"/>
        </w:rPr>
        <w:t>附件3  投标人服务团队人员一览表</w:t>
      </w:r>
      <w:bookmarkEnd w:id="107"/>
      <w:bookmarkEnd w:id="108"/>
      <w:bookmarkEnd w:id="109"/>
      <w:bookmarkEnd w:id="110"/>
      <w:bookmarkEnd w:id="111"/>
      <w:bookmarkEnd w:id="112"/>
    </w:p>
    <w:p>
      <w:pPr>
        <w:pStyle w:val="20"/>
        <w:adjustRightInd w:val="0"/>
        <w:snapToGrid w:val="0"/>
        <w:spacing w:line="360" w:lineRule="auto"/>
        <w:ind w:left="420" w:leftChars="200"/>
        <w:rPr>
          <w:rFonts w:hint="eastAsia" w:ascii="仿宋" w:hAnsi="仿宋" w:eastAsia="仿宋" w:cs="仿宋"/>
          <w:color w:val="auto"/>
          <w:sz w:val="21"/>
          <w:szCs w:val="21"/>
        </w:rPr>
      </w:pPr>
    </w:p>
    <w:p>
      <w:pPr>
        <w:pStyle w:val="20"/>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投标人名称:</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招标编号:</w:t>
      </w:r>
      <w:r>
        <w:rPr>
          <w:rFonts w:hint="eastAsia" w:ascii="仿宋" w:hAnsi="仿宋" w:eastAsia="仿宋" w:cs="仿宋"/>
          <w:color w:val="auto"/>
          <w:sz w:val="21"/>
          <w:szCs w:val="21"/>
          <w:u w:val="single"/>
        </w:rPr>
        <w:t xml:space="preserve">                      </w:t>
      </w:r>
    </w:p>
    <w:tbl>
      <w:tblPr>
        <w:tblStyle w:val="39"/>
        <w:tblW w:w="90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134"/>
        <w:gridCol w:w="953"/>
        <w:gridCol w:w="868"/>
        <w:gridCol w:w="397"/>
        <w:gridCol w:w="501"/>
        <w:gridCol w:w="1419"/>
        <w:gridCol w:w="395"/>
        <w:gridCol w:w="2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姓  名</w:t>
            </w: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both"/>
              <w:rPr>
                <w:rFonts w:hint="eastAsia" w:ascii="仿宋" w:hAnsi="仿宋" w:eastAsia="仿宋" w:cs="仿宋"/>
                <w:color w:val="auto"/>
                <w:sz w:val="21"/>
                <w:szCs w:val="21"/>
              </w:rPr>
            </w:pPr>
            <w:r>
              <w:rPr>
                <w:rFonts w:hint="eastAsia" w:ascii="仿宋" w:hAnsi="仿宋" w:eastAsia="仿宋" w:cs="仿宋"/>
                <w:color w:val="auto"/>
                <w:sz w:val="21"/>
                <w:szCs w:val="21"/>
              </w:rPr>
              <w:t>性 别</w:t>
            </w: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出生日期</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毕业院校及专业</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毕业时间</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从事招标代理时间</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项目经理任职时间</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职称/专业资格</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学位</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拟在本项目中担任职务</w:t>
            </w:r>
          </w:p>
        </w:tc>
        <w:tc>
          <w:tcPr>
            <w:tcW w:w="7214"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087" w:type="dxa"/>
            <w:gridSpan w:val="9"/>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时   间</w:t>
            </w:r>
          </w:p>
        </w:tc>
        <w:tc>
          <w:tcPr>
            <w:tcW w:w="2218"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参加过的项目名称及规模</w:t>
            </w:r>
          </w:p>
        </w:tc>
        <w:tc>
          <w:tcPr>
            <w:tcW w:w="231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该项目中任职</w:t>
            </w:r>
          </w:p>
        </w:tc>
        <w:tc>
          <w:tcPr>
            <w:tcW w:w="254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该项目业主方联系人和联系电话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218"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31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54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218"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31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54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bl>
    <w:p>
      <w:pPr>
        <w:pStyle w:val="20"/>
        <w:tabs>
          <w:tab w:val="left" w:pos="6105"/>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投标人(盖章):</w:t>
      </w:r>
      <w:r>
        <w:rPr>
          <w:rFonts w:hint="eastAsia" w:ascii="仿宋" w:hAnsi="仿宋" w:eastAsia="仿宋" w:cs="仿宋"/>
          <w:color w:val="auto"/>
          <w:sz w:val="21"/>
          <w:szCs w:val="21"/>
          <w:u w:val="single"/>
        </w:rPr>
        <w:tab/>
      </w:r>
    </w:p>
    <w:p>
      <w:pPr>
        <w:pStyle w:val="20"/>
        <w:tabs>
          <w:tab w:val="left" w:pos="5370"/>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法定代表人或其授权代表（签字或盖章）:</w:t>
      </w:r>
      <w:r>
        <w:rPr>
          <w:rFonts w:hint="eastAsia" w:ascii="仿宋" w:hAnsi="仿宋" w:eastAsia="仿宋" w:cs="仿宋"/>
          <w:color w:val="auto"/>
          <w:sz w:val="21"/>
          <w:szCs w:val="21"/>
          <w:u w:val="single"/>
        </w:rPr>
        <w:t xml:space="preserve">______________________   </w:t>
      </w:r>
    </w:p>
    <w:p>
      <w:pPr>
        <w:pStyle w:val="20"/>
        <w:tabs>
          <w:tab w:val="left" w:pos="5370"/>
        </w:tabs>
        <w:adjustRightInd w:val="0"/>
        <w:snapToGrid w:val="0"/>
        <w:spacing w:before="120"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u w:val="single"/>
        </w:rPr>
        <w:br w:type="page"/>
      </w:r>
    </w:p>
    <w:p>
      <w:pPr>
        <w:adjustRightInd w:val="0"/>
        <w:snapToGrid w:val="0"/>
        <w:spacing w:before="120" w:beforeLines="50" w:after="120" w:afterLines="50" w:line="360" w:lineRule="auto"/>
        <w:rPr>
          <w:rFonts w:hint="eastAsia" w:ascii="仿宋" w:hAnsi="仿宋" w:eastAsia="仿宋" w:cs="仿宋"/>
          <w:b/>
          <w:color w:val="auto"/>
          <w:sz w:val="21"/>
          <w:szCs w:val="21"/>
        </w:rPr>
      </w:pPr>
      <w:r>
        <w:rPr>
          <w:rFonts w:hint="eastAsia" w:ascii="仿宋" w:hAnsi="仿宋" w:eastAsia="仿宋" w:cs="仿宋"/>
          <w:b/>
          <w:color w:val="auto"/>
          <w:sz w:val="21"/>
          <w:szCs w:val="21"/>
        </w:rPr>
        <w:t>附件</w:t>
      </w:r>
      <w:r>
        <w:rPr>
          <w:rFonts w:hint="eastAsia" w:ascii="仿宋" w:hAnsi="仿宋" w:eastAsia="仿宋" w:cs="仿宋"/>
          <w:b/>
          <w:color w:val="auto"/>
          <w:sz w:val="21"/>
          <w:szCs w:val="21"/>
          <w:lang w:val="en-US" w:eastAsia="zh-CN"/>
        </w:rPr>
        <w:t>4</w:t>
      </w:r>
      <w:r>
        <w:rPr>
          <w:rFonts w:hint="eastAsia" w:ascii="仿宋" w:hAnsi="仿宋" w:eastAsia="仿宋" w:cs="仿宋"/>
          <w:b/>
          <w:color w:val="auto"/>
          <w:sz w:val="21"/>
          <w:szCs w:val="21"/>
        </w:rPr>
        <w:t>：拟投入本项目的主要招标服务人员简历表</w:t>
      </w:r>
    </w:p>
    <w:p>
      <w:pPr>
        <w:pStyle w:val="20"/>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投标人名称:</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招标编号:</w:t>
      </w:r>
      <w:r>
        <w:rPr>
          <w:rFonts w:hint="eastAsia" w:ascii="仿宋" w:hAnsi="仿宋" w:eastAsia="仿宋" w:cs="仿宋"/>
          <w:color w:val="auto"/>
          <w:sz w:val="21"/>
          <w:szCs w:val="21"/>
          <w:u w:val="single"/>
        </w:rPr>
        <w:t xml:space="preserve">                      </w:t>
      </w:r>
    </w:p>
    <w:tbl>
      <w:tblPr>
        <w:tblStyle w:val="39"/>
        <w:tblW w:w="91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1"/>
        <w:gridCol w:w="1080"/>
        <w:gridCol w:w="1064"/>
        <w:gridCol w:w="405"/>
        <w:gridCol w:w="286"/>
        <w:gridCol w:w="1410"/>
        <w:gridCol w:w="3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姓  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both"/>
              <w:rPr>
                <w:rFonts w:hint="eastAsia" w:ascii="仿宋" w:hAnsi="仿宋" w:eastAsia="仿宋" w:cs="仿宋"/>
                <w:color w:val="auto"/>
                <w:sz w:val="21"/>
                <w:szCs w:val="21"/>
              </w:rPr>
            </w:pPr>
            <w:r>
              <w:rPr>
                <w:rFonts w:hint="eastAsia" w:ascii="仿宋" w:hAnsi="仿宋" w:eastAsia="仿宋" w:cs="仿宋"/>
                <w:color w:val="auto"/>
                <w:sz w:val="21"/>
                <w:szCs w:val="21"/>
              </w:rPr>
              <w:t>性 别</w:t>
            </w:r>
          </w:p>
        </w:tc>
        <w:tc>
          <w:tcPr>
            <w:tcW w:w="69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出生日期</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毕业院校及专业</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从事本专业时间</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项目经理任职时间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职称/专业资格</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学位</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拟在本项目中担任职务</w:t>
            </w:r>
          </w:p>
        </w:tc>
        <w:tc>
          <w:tcPr>
            <w:tcW w:w="7299"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9160"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时   间</w:t>
            </w:r>
          </w:p>
        </w:tc>
        <w:tc>
          <w:tcPr>
            <w:tcW w:w="2549"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参加过的项目名称及规模</w:t>
            </w:r>
          </w:p>
        </w:tc>
        <w:tc>
          <w:tcPr>
            <w:tcW w:w="169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该项目中任职</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该项目业主方联系人和</w:t>
            </w:r>
          </w:p>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305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305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bl>
    <w:p>
      <w:pPr>
        <w:pStyle w:val="20"/>
        <w:adjustRightInd w:val="0"/>
        <w:snapToGrid w:val="0"/>
        <w:spacing w:line="360" w:lineRule="auto"/>
        <w:ind w:left="420" w:leftChars="200"/>
        <w:rPr>
          <w:rFonts w:hint="eastAsia" w:ascii="仿宋" w:hAnsi="仿宋" w:eastAsia="仿宋" w:cs="仿宋"/>
          <w:color w:val="auto"/>
          <w:sz w:val="21"/>
          <w:szCs w:val="21"/>
        </w:rPr>
      </w:pPr>
    </w:p>
    <w:p>
      <w:pPr>
        <w:pStyle w:val="20"/>
        <w:tabs>
          <w:tab w:val="left" w:pos="6105"/>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投标人(盖章):</w:t>
      </w:r>
      <w:r>
        <w:rPr>
          <w:rFonts w:hint="eastAsia" w:ascii="仿宋" w:hAnsi="仿宋" w:eastAsia="仿宋" w:cs="仿宋"/>
          <w:color w:val="auto"/>
          <w:sz w:val="21"/>
          <w:szCs w:val="21"/>
          <w:u w:val="single"/>
        </w:rPr>
        <w:tab/>
      </w:r>
    </w:p>
    <w:p>
      <w:pPr>
        <w:pStyle w:val="20"/>
        <w:tabs>
          <w:tab w:val="left" w:pos="5580"/>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法定代表人或其授权代表（签字或盖章）:</w:t>
      </w:r>
      <w:r>
        <w:rPr>
          <w:rFonts w:hint="eastAsia" w:ascii="仿宋" w:hAnsi="仿宋" w:eastAsia="仿宋" w:cs="仿宋"/>
          <w:color w:val="auto"/>
          <w:sz w:val="21"/>
          <w:szCs w:val="21"/>
          <w:u w:val="single"/>
        </w:rPr>
        <w:t xml:space="preserve">                         </w:t>
      </w:r>
    </w:p>
    <w:p>
      <w:pPr>
        <w:pStyle w:val="20"/>
        <w:adjustRightInd w:val="0"/>
        <w:snapToGrid w:val="0"/>
        <w:spacing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br w:type="page"/>
      </w:r>
      <w:bookmarkStart w:id="113" w:name="_Toc115514554"/>
      <w:bookmarkStart w:id="114" w:name="_Toc60460259"/>
      <w:bookmarkStart w:id="115" w:name="_Toc535633953"/>
      <w:bookmarkStart w:id="116" w:name="_Toc153347062"/>
      <w:bookmarkStart w:id="117" w:name="_Toc46738294"/>
      <w:bookmarkStart w:id="118" w:name="_Toc46738421"/>
      <w:bookmarkStart w:id="119" w:name="_Toc518605396"/>
      <w:bookmarkStart w:id="120" w:name="_Toc56784831"/>
      <w:bookmarkStart w:id="121" w:name="_Toc56592593"/>
      <w:bookmarkStart w:id="122" w:name="_Toc56592682"/>
      <w:bookmarkStart w:id="123" w:name="_Toc133319532"/>
      <w:bookmarkStart w:id="124" w:name="_Toc106381656"/>
      <w:bookmarkStart w:id="125" w:name="_Toc536777263"/>
      <w:bookmarkStart w:id="126" w:name="_Toc12118377"/>
      <w:bookmarkStart w:id="127" w:name="_Toc46738160"/>
      <w:bookmarkStart w:id="128" w:name="_Toc153346201"/>
    </w:p>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Pr>
        <w:pStyle w:val="6"/>
        <w:jc w:val="center"/>
        <w:rPr>
          <w:rFonts w:hint="eastAsia" w:ascii="仿宋" w:hAnsi="仿宋" w:eastAsia="仿宋" w:cs="仿宋"/>
          <w:color w:val="auto"/>
          <w:sz w:val="21"/>
          <w:szCs w:val="21"/>
          <w:u w:val="none"/>
        </w:rPr>
      </w:pPr>
      <w:bookmarkStart w:id="129" w:name="_Toc103602621"/>
      <w:bookmarkStart w:id="130" w:name="_Toc20162"/>
      <w:bookmarkStart w:id="131" w:name="_Toc35423923"/>
      <w:r>
        <w:rPr>
          <w:rFonts w:hint="eastAsia" w:ascii="仿宋" w:hAnsi="仿宋" w:eastAsia="仿宋" w:cs="仿宋"/>
          <w:color w:val="auto"/>
          <w:sz w:val="21"/>
          <w:szCs w:val="21"/>
          <w:u w:val="none"/>
        </w:rPr>
        <w:t>附件</w:t>
      </w:r>
      <w:r>
        <w:rPr>
          <w:rFonts w:hint="eastAsia" w:ascii="仿宋" w:hAnsi="仿宋" w:eastAsia="仿宋" w:cs="仿宋"/>
          <w:color w:val="auto"/>
          <w:sz w:val="21"/>
          <w:szCs w:val="21"/>
          <w:u w:val="none"/>
          <w:lang w:val="en-US" w:eastAsia="zh-CN"/>
        </w:rPr>
        <w:t>5</w:t>
      </w:r>
      <w:r>
        <w:rPr>
          <w:rFonts w:hint="eastAsia" w:ascii="仿宋" w:hAnsi="仿宋" w:eastAsia="仿宋" w:cs="仿宋"/>
          <w:color w:val="auto"/>
          <w:sz w:val="21"/>
          <w:szCs w:val="21"/>
          <w:u w:val="none"/>
        </w:rPr>
        <w:t xml:space="preserve"> 项目业绩一览表</w:t>
      </w:r>
      <w:bookmarkEnd w:id="129"/>
      <w:bookmarkEnd w:id="130"/>
      <w:bookmarkEnd w:id="131"/>
    </w:p>
    <w:p>
      <w:pPr>
        <w:pStyle w:val="5"/>
        <w:rPr>
          <w:rFonts w:hint="eastAsia" w:ascii="仿宋" w:hAnsi="仿宋" w:eastAsia="仿宋" w:cs="仿宋"/>
          <w:color w:val="auto"/>
          <w:sz w:val="21"/>
          <w:szCs w:val="21"/>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49"/>
        <w:gridCol w:w="1739"/>
        <w:gridCol w:w="1134"/>
        <w:gridCol w:w="1375"/>
        <w:gridCol w:w="1623"/>
        <w:gridCol w:w="148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top w:val="single" w:color="auto" w:sz="4" w:space="0"/>
            </w:tcBorders>
            <w:noWrap w:val="0"/>
            <w:vAlign w:val="center"/>
          </w:tcPr>
          <w:p>
            <w:pPr>
              <w:pStyle w:val="20"/>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年份</w:t>
            </w:r>
          </w:p>
        </w:tc>
        <w:tc>
          <w:tcPr>
            <w:tcW w:w="1739" w:type="dxa"/>
            <w:noWrap w:val="0"/>
            <w:vAlign w:val="center"/>
          </w:tcPr>
          <w:p>
            <w:pPr>
              <w:pStyle w:val="20"/>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采购人名称</w:t>
            </w:r>
          </w:p>
        </w:tc>
        <w:tc>
          <w:tcPr>
            <w:tcW w:w="1134" w:type="dxa"/>
            <w:noWrap w:val="0"/>
            <w:vAlign w:val="center"/>
          </w:tcPr>
          <w:p>
            <w:pPr>
              <w:pStyle w:val="20"/>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项目名称</w:t>
            </w:r>
          </w:p>
        </w:tc>
        <w:tc>
          <w:tcPr>
            <w:tcW w:w="1375" w:type="dxa"/>
            <w:noWrap w:val="0"/>
            <w:vAlign w:val="center"/>
          </w:tcPr>
          <w:p>
            <w:pPr>
              <w:pStyle w:val="20"/>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项目编号</w:t>
            </w:r>
          </w:p>
        </w:tc>
        <w:tc>
          <w:tcPr>
            <w:tcW w:w="1623" w:type="dxa"/>
            <w:noWrap w:val="0"/>
            <w:vAlign w:val="center"/>
          </w:tcPr>
          <w:p>
            <w:pPr>
              <w:pStyle w:val="20"/>
              <w:adjustRightInd w:val="0"/>
              <w:snapToGrid w:val="0"/>
              <w:spacing w:line="360" w:lineRule="auto"/>
              <w:ind w:left="420" w:leftChars="200"/>
              <w:jc w:val="both"/>
              <w:rPr>
                <w:rFonts w:hint="eastAsia" w:ascii="仿宋" w:hAnsi="仿宋" w:eastAsia="仿宋" w:cs="仿宋"/>
                <w:b/>
                <w:color w:val="auto"/>
                <w:sz w:val="21"/>
                <w:szCs w:val="21"/>
              </w:rPr>
            </w:pPr>
            <w:r>
              <w:rPr>
                <w:rFonts w:hint="eastAsia" w:ascii="仿宋" w:hAnsi="仿宋" w:eastAsia="仿宋" w:cs="仿宋"/>
                <w:b/>
                <w:color w:val="auto"/>
                <w:sz w:val="21"/>
                <w:szCs w:val="21"/>
              </w:rPr>
              <w:t>合同金额</w:t>
            </w:r>
          </w:p>
        </w:tc>
        <w:tc>
          <w:tcPr>
            <w:tcW w:w="1485" w:type="dxa"/>
            <w:tcBorders>
              <w:right w:val="single" w:color="auto" w:sz="4" w:space="0"/>
            </w:tcBorders>
            <w:noWrap w:val="0"/>
            <w:vAlign w:val="center"/>
          </w:tcPr>
          <w:p>
            <w:pPr>
              <w:pStyle w:val="20"/>
              <w:adjustRightInd w:val="0"/>
              <w:snapToGrid w:val="0"/>
              <w:spacing w:line="360" w:lineRule="auto"/>
              <w:ind w:left="420" w:leftChars="200"/>
              <w:jc w:val="both"/>
              <w:rPr>
                <w:rFonts w:hint="eastAsia" w:ascii="仿宋" w:hAnsi="仿宋" w:eastAsia="仿宋" w:cs="仿宋"/>
                <w:b/>
                <w:color w:val="auto"/>
                <w:sz w:val="21"/>
                <w:szCs w:val="21"/>
              </w:rPr>
            </w:pPr>
            <w:r>
              <w:rPr>
                <w:rFonts w:hint="eastAsia" w:ascii="仿宋" w:hAnsi="仿宋" w:eastAsia="仿宋" w:cs="仿宋"/>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noWrap w:val="0"/>
            <w:vAlign w:val="center"/>
          </w:tcPr>
          <w:p>
            <w:pPr>
              <w:spacing w:line="400" w:lineRule="exact"/>
              <w:jc w:val="center"/>
              <w:rPr>
                <w:rFonts w:hint="eastAsia" w:ascii="仿宋" w:hAnsi="仿宋" w:eastAsia="仿宋" w:cs="仿宋"/>
                <w:color w:val="auto"/>
                <w:sz w:val="21"/>
                <w:szCs w:val="21"/>
              </w:rPr>
            </w:pPr>
          </w:p>
        </w:tc>
        <w:tc>
          <w:tcPr>
            <w:tcW w:w="1134" w:type="dxa"/>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noWrap w:val="0"/>
            <w:vAlign w:val="center"/>
          </w:tcPr>
          <w:p>
            <w:pPr>
              <w:spacing w:line="400" w:lineRule="exact"/>
              <w:jc w:val="center"/>
              <w:rPr>
                <w:rFonts w:hint="eastAsia" w:ascii="仿宋" w:hAnsi="仿宋" w:eastAsia="仿宋" w:cs="仿宋"/>
                <w:color w:val="auto"/>
                <w:sz w:val="21"/>
                <w:szCs w:val="21"/>
              </w:rPr>
            </w:pPr>
          </w:p>
        </w:tc>
        <w:tc>
          <w:tcPr>
            <w:tcW w:w="1134" w:type="dxa"/>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noWrap w:val="0"/>
            <w:vAlign w:val="center"/>
          </w:tcPr>
          <w:p>
            <w:pPr>
              <w:spacing w:line="400" w:lineRule="exact"/>
              <w:jc w:val="center"/>
              <w:rPr>
                <w:rFonts w:hint="eastAsia" w:ascii="仿宋" w:hAnsi="仿宋" w:eastAsia="仿宋" w:cs="仿宋"/>
                <w:color w:val="auto"/>
                <w:sz w:val="21"/>
                <w:szCs w:val="21"/>
              </w:rPr>
            </w:pPr>
          </w:p>
        </w:tc>
        <w:tc>
          <w:tcPr>
            <w:tcW w:w="1134" w:type="dxa"/>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c>
          <w:tcPr>
            <w:tcW w:w="1134" w:type="dxa"/>
            <w:tcBorders>
              <w:lef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739"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134"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37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623"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48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rPr>
                <w:rFonts w:hint="eastAsia" w:ascii="仿宋" w:hAnsi="仿宋" w:eastAsia="仿宋" w:cs="仿宋"/>
                <w:color w:val="auto"/>
                <w:sz w:val="21"/>
                <w:szCs w:val="21"/>
              </w:rPr>
            </w:pPr>
          </w:p>
        </w:tc>
        <w:tc>
          <w:tcPr>
            <w:tcW w:w="1739" w:type="dxa"/>
            <w:noWrap w:val="0"/>
            <w:vAlign w:val="center"/>
          </w:tcPr>
          <w:p>
            <w:pPr>
              <w:spacing w:line="400" w:lineRule="exact"/>
              <w:rPr>
                <w:rFonts w:hint="eastAsia" w:ascii="仿宋" w:hAnsi="仿宋" w:eastAsia="仿宋" w:cs="仿宋"/>
                <w:color w:val="auto"/>
                <w:sz w:val="21"/>
                <w:szCs w:val="21"/>
              </w:rPr>
            </w:pPr>
          </w:p>
        </w:tc>
        <w:tc>
          <w:tcPr>
            <w:tcW w:w="1134" w:type="dxa"/>
            <w:noWrap w:val="0"/>
            <w:vAlign w:val="center"/>
          </w:tcPr>
          <w:p>
            <w:pPr>
              <w:spacing w:line="400" w:lineRule="exact"/>
              <w:rPr>
                <w:rFonts w:hint="eastAsia" w:ascii="仿宋" w:hAnsi="仿宋" w:eastAsia="仿宋" w:cs="仿宋"/>
                <w:color w:val="auto"/>
                <w:sz w:val="21"/>
                <w:szCs w:val="21"/>
              </w:rPr>
            </w:pPr>
          </w:p>
        </w:tc>
        <w:tc>
          <w:tcPr>
            <w:tcW w:w="1375" w:type="dxa"/>
            <w:noWrap w:val="0"/>
            <w:vAlign w:val="center"/>
          </w:tcPr>
          <w:p>
            <w:pPr>
              <w:spacing w:line="400" w:lineRule="exact"/>
              <w:rPr>
                <w:rFonts w:hint="eastAsia" w:ascii="仿宋" w:hAnsi="仿宋" w:eastAsia="仿宋" w:cs="仿宋"/>
                <w:color w:val="auto"/>
                <w:sz w:val="21"/>
                <w:szCs w:val="21"/>
              </w:rPr>
            </w:pPr>
          </w:p>
        </w:tc>
        <w:tc>
          <w:tcPr>
            <w:tcW w:w="1623" w:type="dxa"/>
            <w:tcBorders>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48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r>
    </w:tbl>
    <w:p>
      <w:pPr>
        <w:spacing w:line="400" w:lineRule="exact"/>
        <w:ind w:left="360"/>
        <w:jc w:val="center"/>
        <w:rPr>
          <w:rFonts w:hint="eastAsia" w:ascii="仿宋" w:hAnsi="仿宋" w:eastAsia="仿宋" w:cs="仿宋"/>
          <w:color w:val="auto"/>
          <w:sz w:val="21"/>
          <w:szCs w:val="21"/>
        </w:rPr>
      </w:pPr>
    </w:p>
    <w:p>
      <w:pPr>
        <w:adjustRightInd w:val="0"/>
        <w:spacing w:line="400" w:lineRule="exact"/>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 xml:space="preserve">投标人（盖章）：         </w:t>
      </w:r>
    </w:p>
    <w:p>
      <w:pPr>
        <w:adjustRightInd w:val="0"/>
        <w:spacing w:line="400" w:lineRule="exact"/>
        <w:jc w:val="left"/>
        <w:rPr>
          <w:rFonts w:hint="eastAsia" w:ascii="仿宋" w:hAnsi="仿宋" w:eastAsia="仿宋" w:cs="仿宋"/>
          <w:bCs/>
          <w:color w:val="auto"/>
          <w:sz w:val="21"/>
          <w:szCs w:val="21"/>
        </w:rPr>
      </w:pPr>
      <w:r>
        <w:rPr>
          <w:rFonts w:hint="eastAsia" w:ascii="仿宋" w:hAnsi="仿宋" w:eastAsia="仿宋" w:cs="仿宋"/>
          <w:color w:val="auto"/>
          <w:sz w:val="21"/>
          <w:szCs w:val="21"/>
        </w:rPr>
        <w:t xml:space="preserve">    法定代表人或委托代理人（签字）：</w:t>
      </w:r>
    </w:p>
    <w:p>
      <w:pPr>
        <w:spacing w:line="400" w:lineRule="exact"/>
        <w:ind w:firstLine="420" w:firstLineChars="200"/>
        <w:rPr>
          <w:rFonts w:hint="eastAsia" w:ascii="仿宋" w:hAnsi="仿宋" w:eastAsia="仿宋" w:cs="仿宋"/>
          <w:color w:val="auto"/>
          <w:sz w:val="21"/>
          <w:szCs w:val="21"/>
        </w:rPr>
      </w:pPr>
      <w:r>
        <w:rPr>
          <w:rFonts w:hint="eastAsia" w:ascii="仿宋" w:hAnsi="仿宋" w:eastAsia="仿宋" w:cs="仿宋"/>
          <w:bCs/>
          <w:color w:val="auto"/>
          <w:sz w:val="21"/>
          <w:szCs w:val="21"/>
        </w:rPr>
        <w:t>日  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年</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月</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日</w:t>
      </w:r>
    </w:p>
    <w:p>
      <w:pPr>
        <w:adjustRightInd w:val="0"/>
        <w:snapToGrid w:val="0"/>
        <w:spacing w:line="360" w:lineRule="auto"/>
        <w:ind w:left="420" w:leftChars="200"/>
        <w:rPr>
          <w:rFonts w:hint="eastAsia" w:ascii="仿宋" w:hAnsi="仿宋" w:eastAsia="仿宋" w:cs="仿宋"/>
          <w:color w:val="auto"/>
          <w:sz w:val="24"/>
          <w:szCs w:val="24"/>
        </w:rPr>
      </w:pPr>
      <w:r>
        <w:rPr>
          <w:rFonts w:hint="eastAsia" w:ascii="仿宋" w:hAnsi="仿宋" w:eastAsia="仿宋" w:cs="仿宋"/>
          <w:color w:val="auto"/>
          <w:sz w:val="24"/>
          <w:szCs w:val="24"/>
        </w:rPr>
        <w:br w:type="page"/>
      </w:r>
      <w:bookmarkStart w:id="132" w:name="_Toc487900386"/>
      <w:r>
        <w:rPr>
          <w:rFonts w:hint="eastAsia" w:ascii="仿宋" w:hAnsi="仿宋" w:eastAsia="仿宋" w:cs="仿宋"/>
          <w:color w:val="auto"/>
          <w:sz w:val="24"/>
          <w:szCs w:val="24"/>
        </w:rPr>
        <w:t xml:space="preserve"> </w:t>
      </w:r>
    </w:p>
    <w:bookmarkEnd w:id="132"/>
    <w:p>
      <w:pPr>
        <w:pStyle w:val="6"/>
        <w:jc w:val="center"/>
        <w:rPr>
          <w:rFonts w:hint="eastAsia" w:ascii="仿宋" w:hAnsi="仿宋" w:eastAsia="仿宋" w:cs="仿宋"/>
          <w:color w:val="auto"/>
          <w:szCs w:val="24"/>
          <w:u w:val="none"/>
          <w:lang w:eastAsia="zh-CN"/>
        </w:rPr>
      </w:pPr>
      <w:bookmarkStart w:id="133" w:name="_Toc520356224"/>
      <w:bookmarkStart w:id="134" w:name="_Ref467988543"/>
      <w:bookmarkStart w:id="135" w:name="_Toc480942355"/>
      <w:bookmarkStart w:id="136" w:name="_Toc10113"/>
      <w:bookmarkStart w:id="137" w:name="_Toc35423924"/>
      <w:bookmarkStart w:id="138" w:name="_Toc420957400"/>
      <w:bookmarkStart w:id="139" w:name="_Toc103602622"/>
      <w:r>
        <w:rPr>
          <w:rFonts w:hint="eastAsia" w:ascii="仿宋" w:hAnsi="仿宋" w:eastAsia="仿宋" w:cs="仿宋"/>
          <w:color w:val="auto"/>
          <w:szCs w:val="24"/>
          <w:u w:val="none"/>
        </w:rPr>
        <w:t>附件</w:t>
      </w:r>
      <w:r>
        <w:rPr>
          <w:rFonts w:hint="eastAsia" w:ascii="仿宋" w:hAnsi="仿宋" w:eastAsia="仿宋" w:cs="仿宋"/>
          <w:color w:val="auto"/>
          <w:szCs w:val="24"/>
          <w:u w:val="none"/>
          <w:lang w:val="en-US" w:eastAsia="zh-CN"/>
        </w:rPr>
        <w:t>6</w:t>
      </w:r>
      <w:r>
        <w:rPr>
          <w:rFonts w:hint="eastAsia" w:ascii="仿宋" w:hAnsi="仿宋" w:eastAsia="仿宋" w:cs="仿宋"/>
          <w:color w:val="auto"/>
          <w:szCs w:val="24"/>
          <w:u w:val="none"/>
        </w:rPr>
        <w:t xml:space="preserve">  资格证明文件（格式</w:t>
      </w:r>
      <w:bookmarkEnd w:id="133"/>
      <w:bookmarkEnd w:id="134"/>
      <w:bookmarkEnd w:id="135"/>
      <w:r>
        <w:rPr>
          <w:rFonts w:hint="eastAsia" w:ascii="仿宋" w:hAnsi="仿宋" w:eastAsia="仿宋" w:cs="仿宋"/>
          <w:color w:val="auto"/>
          <w:szCs w:val="24"/>
          <w:u w:val="none"/>
        </w:rPr>
        <w:t>）</w:t>
      </w:r>
      <w:bookmarkEnd w:id="136"/>
      <w:bookmarkEnd w:id="137"/>
      <w:bookmarkEnd w:id="138"/>
      <w:bookmarkEnd w:id="139"/>
    </w:p>
    <w:p>
      <w:pPr>
        <w:pStyle w:val="5"/>
        <w:rPr>
          <w:rFonts w:hint="eastAsia"/>
          <w:color w:val="auto"/>
          <w:lang w:eastAsia="zh-CN"/>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.1营业执照、税务登记证、组织机构代码证或三证合一的营业执照复印件及基本账户开户许可证（须加盖本单位公章）</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.2法定代表人授权书（格式）（注：非法定代表人签字或盖章时提供）</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.3已在财政部“中国政府采购网”上注册登记，并且是“甘肃政府采购网”备案企业（提供“中国政府采购网”及“甘肃政府采购网”公示名单网页截图）</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.4甘肃省内政府采购业绩及甘肃省级交易平台交易项目业绩</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6.5</w:t>
      </w:r>
      <w:r>
        <w:rPr>
          <w:rFonts w:hint="eastAsia" w:ascii="仿宋" w:hAnsi="仿宋" w:eastAsia="仿宋" w:cs="仿宋"/>
          <w:color w:val="auto"/>
          <w:sz w:val="21"/>
          <w:szCs w:val="21"/>
        </w:rPr>
        <w:t>资格承诺声明函</w:t>
      </w:r>
    </w:p>
    <w:p>
      <w:pPr>
        <w:pStyle w:val="47"/>
        <w:numPr>
          <w:ilvl w:val="1"/>
          <w:numId w:val="0"/>
        </w:numPr>
        <w:ind w:firstLine="422" w:firstLineChars="200"/>
        <w:jc w:val="left"/>
        <w:rPr>
          <w:rFonts w:hint="eastAsia"/>
          <w:color w:val="auto"/>
        </w:rPr>
      </w:pPr>
    </w:p>
    <w:p>
      <w:pPr>
        <w:spacing w:line="360" w:lineRule="auto"/>
        <w:jc w:val="center"/>
        <w:rPr>
          <w:rFonts w:hint="eastAsia" w:ascii="宋体" w:hAnsi="宋体" w:cs="宋体"/>
          <w:color w:val="auto"/>
          <w:sz w:val="28"/>
          <w:szCs w:val="28"/>
          <w:highlight w:val="none"/>
        </w:rPr>
      </w:pPr>
    </w:p>
    <w:p>
      <w:pPr>
        <w:adjustRightInd w:val="0"/>
        <w:snapToGrid w:val="0"/>
        <w:spacing w:line="360" w:lineRule="auto"/>
        <w:ind w:left="420" w:leftChars="200"/>
        <w:rPr>
          <w:rFonts w:hint="eastAsia" w:ascii="仿宋" w:hAnsi="仿宋" w:eastAsia="仿宋" w:cs="仿宋"/>
          <w:color w:val="auto"/>
          <w:sz w:val="24"/>
          <w:szCs w:val="24"/>
        </w:rPr>
      </w:pPr>
      <w:r>
        <w:rPr>
          <w:rFonts w:hint="eastAsia" w:ascii="仿宋" w:hAnsi="仿宋" w:eastAsia="仿宋" w:cs="仿宋"/>
          <w:color w:val="auto"/>
          <w:sz w:val="24"/>
          <w:szCs w:val="24"/>
        </w:rPr>
        <w:br w:type="page"/>
      </w:r>
      <w:bookmarkStart w:id="140" w:name="_Hlt520350108"/>
      <w:bookmarkEnd w:id="140"/>
      <w:bookmarkStart w:id="141" w:name="_Toc480942358"/>
      <w:bookmarkStart w:id="142" w:name="_Ref467988485"/>
      <w:bookmarkStart w:id="143" w:name="_Ref467990058"/>
      <w:bookmarkStart w:id="144" w:name="_Toc480942357"/>
      <w:bookmarkStart w:id="145" w:name="_Toc520356228"/>
      <w:bookmarkStart w:id="146" w:name="_Toc520356229"/>
      <w:bookmarkStart w:id="147" w:name="_Ref467988471"/>
      <w:bookmarkStart w:id="148" w:name="_Toc520125062"/>
      <w:bookmarkStart w:id="149" w:name="_Ref467990064"/>
      <w:bookmarkStart w:id="150" w:name="_Ref467990101"/>
      <w:bookmarkStart w:id="151" w:name="_Ref467988479"/>
      <w:bookmarkStart w:id="152" w:name="_Toc520125061"/>
      <w:bookmarkStart w:id="153" w:name="_Ref467990100"/>
    </w:p>
    <w:p>
      <w:pPr>
        <w:adjustRightInd w:val="0"/>
        <w:snapToGrid w:val="0"/>
        <w:spacing w:line="360" w:lineRule="auto"/>
        <w:ind w:left="420" w:leftChars="200"/>
        <w:jc w:val="center"/>
        <w:rPr>
          <w:rFonts w:hint="eastAsia" w:ascii="仿宋" w:hAnsi="仿宋" w:eastAsia="仿宋" w:cs="仿宋"/>
          <w:b/>
          <w:color w:val="auto"/>
          <w:sz w:val="21"/>
          <w:szCs w:val="21"/>
          <w:u w:val="single"/>
        </w:rPr>
      </w:pPr>
      <w:r>
        <w:rPr>
          <w:rFonts w:hint="eastAsia" w:ascii="仿宋" w:hAnsi="仿宋" w:eastAsia="仿宋" w:cs="仿宋"/>
          <w:b/>
          <w:color w:val="auto"/>
          <w:sz w:val="21"/>
          <w:szCs w:val="21"/>
        </w:rPr>
        <w:t>附件</w:t>
      </w:r>
      <w:r>
        <w:rPr>
          <w:rFonts w:hint="eastAsia" w:ascii="仿宋" w:hAnsi="仿宋" w:eastAsia="仿宋" w:cs="仿宋"/>
          <w:b/>
          <w:color w:val="auto"/>
          <w:sz w:val="21"/>
          <w:szCs w:val="21"/>
          <w:lang w:val="en-US" w:eastAsia="zh-CN"/>
        </w:rPr>
        <w:t>6</w:t>
      </w:r>
      <w:r>
        <w:rPr>
          <w:rFonts w:hint="eastAsia" w:ascii="仿宋" w:hAnsi="仿宋" w:eastAsia="仿宋" w:cs="仿宋"/>
          <w:b/>
          <w:color w:val="auto"/>
          <w:sz w:val="21"/>
          <w:szCs w:val="21"/>
        </w:rPr>
        <w:t>.2   法定代表人授权书(格式)</w:t>
      </w:r>
    </w:p>
    <w:p>
      <w:pPr>
        <w:spacing w:line="360" w:lineRule="auto"/>
        <w:jc w:val="center"/>
        <w:rPr>
          <w:rFonts w:hint="eastAsia" w:ascii="仿宋" w:hAnsi="仿宋" w:eastAsia="仿宋" w:cs="仿宋"/>
          <w:color w:val="auto"/>
          <w:sz w:val="21"/>
          <w:szCs w:val="21"/>
          <w:u w:val="single"/>
        </w:rPr>
      </w:pPr>
    </w:p>
    <w:p>
      <w:pPr>
        <w:spacing w:line="360" w:lineRule="auto"/>
        <w:jc w:val="center"/>
        <w:rPr>
          <w:rFonts w:hint="eastAsia" w:ascii="仿宋" w:hAnsi="仿宋" w:eastAsia="仿宋" w:cs="仿宋"/>
          <w:color w:val="auto"/>
          <w:sz w:val="21"/>
          <w:szCs w:val="21"/>
          <w:u w:val="single"/>
          <w:lang w:eastAsia="zh-CN"/>
        </w:rPr>
      </w:pPr>
      <w:r>
        <w:rPr>
          <w:rFonts w:hint="eastAsia" w:ascii="仿宋" w:hAnsi="仿宋" w:eastAsia="仿宋" w:cs="仿宋"/>
          <w:color w:val="auto"/>
          <w:sz w:val="21"/>
          <w:szCs w:val="21"/>
          <w:u w:val="single"/>
        </w:rPr>
        <w:t>（注：非法定代表人签字或盖章时的提供）</w:t>
      </w:r>
    </w:p>
    <w:p>
      <w:pPr>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法定代表人授权书</w:t>
      </w:r>
    </w:p>
    <w:p>
      <w:pPr>
        <w:autoSpaceDE w:val="0"/>
        <w:autoSpaceDN w:val="0"/>
        <w:adjustRightInd w:val="0"/>
        <w:spacing w:before="240" w:beforeLines="100" w:line="360" w:lineRule="auto"/>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本人</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（姓名） 系</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（供应商名称） 的法定代表人， 现委托</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（姓名）为我方代理人。代理人根据授权，以我方名义签署、澄清、说明、补正、递交、撤回、修改</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（项目名称）</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 xml:space="preserve"> （标段名称）投标文件、签订合同和处理有关事宜，其法律后果由我方承担。</w:t>
      </w:r>
    </w:p>
    <w:p>
      <w:pPr>
        <w:autoSpaceDE w:val="0"/>
        <w:autoSpaceDN w:val="0"/>
        <w:adjustRightInd w:val="0"/>
        <w:spacing w:before="240" w:beforeLines="100" w:line="360" w:lineRule="auto"/>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特此声明。</w:t>
      </w: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法人身份证：</w:t>
      </w: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mc:AlternateContent>
          <mc:Choice Requires="wps">
            <w:drawing>
              <wp:anchor distT="0" distB="0" distL="114300" distR="114300" simplePos="0" relativeHeight="251661312"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5" name="矩形 5"/>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1312;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xYgQNoAAAAKAQAADwAAAAAAAAABACAAAAAi&#10;AAAAZHJzL2Rvd25yZXYueG1sUEsBAhQAFAAAAAgAh07iQJeO4DYIAgAAKwQAAA4AAAAAAAAAAQAg&#10;AAAAKQEAAGRycy9lMm9Eb2MueG1sUEsFBgAAAAAGAAYAWQEAAKMFAAAAAA==&#10;">
                <v:fill on="t" focussize="0,0"/>
                <v:stroke weight="1.25pt" color="#739CC3" joinstyle="miter"/>
                <v:imagedata o:title=""/>
                <o:lock v:ext="edit" aspectratio="f"/>
                <v:textbox>
                  <w:txbxContent>
                    <w:p>
                      <w:pP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v:textbox>
              </v:rect>
            </w:pict>
          </mc:Fallback>
        </mc:AlternateContent>
      </w:r>
      <w:r>
        <w:rPr>
          <w:rFonts w:hint="eastAsia" w:ascii="仿宋" w:hAnsi="仿宋" w:eastAsia="仿宋" w:cs="仿宋"/>
          <w:color w:val="auto"/>
          <w:kern w:val="0"/>
          <w:sz w:val="21"/>
          <w:szCs w:val="21"/>
        </w:rPr>
        <mc:AlternateContent>
          <mc:Choice Requires="wps">
            <w:drawing>
              <wp:anchor distT="0" distB="0" distL="114300" distR="114300" simplePos="0" relativeHeight="251660288"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8" name="矩形 8"/>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0288;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Itj8l8FAgAAKwQAAA4AAAAAAAAAAQAgAAAA&#10;KQEAAGRycy9lMm9Eb2MueG1sUEsFBgAAAAAGAAYAWQEAAKAFA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v:textbox>
              </v:rect>
            </w:pict>
          </mc:Fallback>
        </mc:AlternateContent>
      </w: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ind w:firstLine="1785" w:firstLineChars="850"/>
        <w:jc w:val="left"/>
        <w:rPr>
          <w:rFonts w:hint="eastAsia" w:ascii="仿宋" w:hAnsi="仿宋" w:eastAsia="仿宋" w:cs="仿宋"/>
          <w:color w:val="auto"/>
          <w:kern w:val="0"/>
          <w:sz w:val="21"/>
          <w:szCs w:val="21"/>
        </w:rPr>
      </w:pPr>
    </w:p>
    <w:p>
      <w:pPr>
        <w:autoSpaceDE w:val="0"/>
        <w:autoSpaceDN w:val="0"/>
        <w:adjustRightInd w:val="0"/>
        <w:spacing w:line="360" w:lineRule="auto"/>
        <w:ind w:firstLine="1785" w:firstLineChars="850"/>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委托人身份证：</w:t>
      </w: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mc:AlternateContent>
          <mc:Choice Requires="wps">
            <w:drawing>
              <wp:anchor distT="0" distB="0" distL="114300" distR="114300" simplePos="0" relativeHeight="251663360"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6" name="矩形 6"/>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3360;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8WIEDaAAAACgEAAA8AAAAAAAAAAQAgAAAAIgAA&#10;AGRycy9kb3ducmV2LnhtbFBLAQIUABQAAAAIAIdO4kCNFOPWBgIAACsEAAAOAAAAAAAAAAEAIAAA&#10;ACkBAABkcnMvZTJvRG9jLnhtbFBLBQYAAAAABgAGAFkBAAChBQ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v:textbox>
              </v:rect>
            </w:pict>
          </mc:Fallback>
        </mc:AlternateContent>
      </w:r>
      <w:r>
        <w:rPr>
          <w:rFonts w:hint="eastAsia" w:ascii="仿宋" w:hAnsi="仿宋" w:eastAsia="仿宋" w:cs="仿宋"/>
          <w:color w:val="auto"/>
          <w:kern w:val="0"/>
          <w:sz w:val="21"/>
          <w:szCs w:val="21"/>
        </w:rPr>
        <mc:AlternateContent>
          <mc:Choice Requires="wps">
            <w:drawing>
              <wp:anchor distT="0" distB="0" distL="114300" distR="114300" simplePos="0" relativeHeight="251662336"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4" name="矩形 4"/>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2336;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GEHHmkFAgAAKwQAAA4AAAAAAAAAAQAgAAAA&#10;KQEAAGRycy9lMm9Eb2MueG1sUEsFBgAAAAAGAAYAWQEAAKAFA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v:textbox>
              </v:rect>
            </w:pict>
          </mc:Fallback>
        </mc:AlternateContent>
      </w: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 xml:space="preserve">供  应  商： </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（盖单位章）</w:t>
      </w: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 xml:space="preserve">法定代表人： </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（签字）</w:t>
      </w: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委托代理人：</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（签字）</w:t>
      </w: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日       期：</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年</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 xml:space="preserve"> 月</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 xml:space="preserve"> 日</w:t>
      </w:r>
    </w:p>
    <w:p>
      <w:pPr>
        <w:spacing w:line="480" w:lineRule="auto"/>
        <w:rPr>
          <w:rFonts w:hint="eastAsia" w:ascii="仿宋" w:hAnsi="仿宋" w:eastAsia="仿宋" w:cs="仿宋"/>
          <w:b/>
          <w:color w:val="auto"/>
          <w:kern w:val="0"/>
          <w:sz w:val="21"/>
          <w:szCs w:val="21"/>
        </w:rPr>
      </w:pPr>
      <w:r>
        <w:rPr>
          <w:rFonts w:hint="eastAsia" w:ascii="仿宋" w:hAnsi="仿宋" w:eastAsia="仿宋" w:cs="仿宋"/>
          <w:b/>
          <w:color w:val="auto"/>
          <w:kern w:val="0"/>
          <w:sz w:val="21"/>
          <w:szCs w:val="21"/>
        </w:rPr>
        <w:t>*法人代表与被授权人身份证（复印件）需附在投标文件中。</w:t>
      </w:r>
    </w:p>
    <w:p>
      <w:pPr>
        <w:spacing w:line="480" w:lineRule="auto"/>
        <w:rPr>
          <w:rFonts w:hint="eastAsia" w:ascii="仿宋" w:hAnsi="仿宋" w:eastAsia="仿宋" w:cs="仿宋"/>
          <w:color w:val="auto"/>
          <w:sz w:val="21"/>
          <w:szCs w:val="21"/>
          <w:u w:val="single"/>
        </w:rPr>
      </w:pPr>
      <w:r>
        <w:rPr>
          <w:rFonts w:hint="eastAsia" w:ascii="仿宋" w:hAnsi="仿宋" w:eastAsia="仿宋" w:cs="仿宋"/>
          <w:b/>
          <w:color w:val="auto"/>
          <w:kern w:val="0"/>
          <w:sz w:val="21"/>
          <w:szCs w:val="21"/>
        </w:rPr>
        <w:t>被授权人需携带身份证原件至开标现场。</w:t>
      </w:r>
    </w:p>
    <w:bookmarkEnd w:id="141"/>
    <w:bookmarkEnd w:id="142"/>
    <w:bookmarkEnd w:id="143"/>
    <w:bookmarkEnd w:id="144"/>
    <w:bookmarkEnd w:id="145"/>
    <w:bookmarkEnd w:id="146"/>
    <w:bookmarkEnd w:id="147"/>
    <w:bookmarkEnd w:id="148"/>
    <w:bookmarkEnd w:id="149"/>
    <w:bookmarkEnd w:id="150"/>
    <w:bookmarkEnd w:id="151"/>
    <w:bookmarkEnd w:id="152"/>
    <w:bookmarkEnd w:id="153"/>
    <w:p>
      <w:pPr>
        <w:pStyle w:val="5"/>
        <w:ind w:firstLine="0" w:firstLineChars="0"/>
        <w:rPr>
          <w:rFonts w:hint="eastAsia" w:ascii="仿宋" w:hAnsi="仿宋" w:eastAsia="仿宋" w:cs="仿宋"/>
          <w:color w:val="auto"/>
        </w:rPr>
      </w:pPr>
    </w:p>
    <w:p>
      <w:pPr>
        <w:pStyle w:val="5"/>
        <w:ind w:firstLine="0" w:firstLineChars="0"/>
        <w:rPr>
          <w:rFonts w:hint="eastAsia" w:ascii="仿宋" w:hAnsi="仿宋" w:eastAsia="仿宋" w:cs="仿宋"/>
          <w:color w:val="auto"/>
        </w:rPr>
      </w:pPr>
    </w:p>
    <w:p>
      <w:pPr>
        <w:adjustRightInd w:val="0"/>
        <w:snapToGrid w:val="0"/>
        <w:spacing w:line="360" w:lineRule="auto"/>
        <w:ind w:left="420" w:leftChars="200"/>
        <w:jc w:val="center"/>
        <w:rPr>
          <w:rFonts w:hint="default" w:ascii="仿宋" w:hAnsi="仿宋" w:eastAsia="仿宋" w:cs="仿宋"/>
          <w:b/>
          <w:color w:val="auto"/>
          <w:sz w:val="21"/>
          <w:szCs w:val="21"/>
          <w:lang w:val="en-US" w:eastAsia="zh-CN"/>
        </w:rPr>
      </w:pPr>
      <w:r>
        <w:rPr>
          <w:rFonts w:hint="eastAsia" w:ascii="仿宋" w:hAnsi="仿宋" w:eastAsia="仿宋" w:cs="仿宋"/>
          <w:b/>
          <w:color w:val="auto"/>
          <w:sz w:val="21"/>
          <w:szCs w:val="21"/>
          <w:lang w:val="en-US" w:eastAsia="zh-CN"/>
        </w:rPr>
        <w:t>6.5资格承诺函格式</w:t>
      </w: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pStyle w:val="5"/>
        <w:ind w:firstLine="0" w:firstLineChars="0"/>
        <w:rPr>
          <w:rFonts w:hint="eastAsia" w:ascii="仿宋" w:hAnsi="仿宋" w:eastAsia="仿宋" w:cs="仿宋"/>
          <w:color w:val="auto"/>
        </w:rPr>
      </w:pPr>
    </w:p>
    <w:sectPr>
      <w:footerReference r:id="rId17" w:type="first"/>
      <w:footerReference r:id="rId16" w:type="default"/>
      <w:pgSz w:w="11906" w:h="16838"/>
      <w:pgMar w:top="1191" w:right="1587" w:bottom="1191" w:left="1587"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3"/>
      </w:rPr>
    </w:pPr>
    <w:r>
      <w:fldChar w:fldCharType="begin"/>
    </w:r>
    <w:r>
      <w:rPr>
        <w:rStyle w:val="43"/>
      </w:rPr>
      <w:instrText xml:space="preserve">PAGE  </w:instrText>
    </w:r>
    <w:r>
      <w:fldChar w:fldCharType="separate"/>
    </w:r>
    <w:r>
      <w:rPr>
        <w:rStyle w:val="43"/>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0</w:t>
                    </w:r>
                    <w:r>
                      <w:fldChar w:fldCharType="end"/>
                    </w:r>
                  </w:p>
                </w:txbxContent>
              </v:textbox>
            </v:shape>
          </w:pict>
        </mc:Fallback>
      </mc:AlternateContent>
    </w: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7785" cy="14795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ffectLst/>
                    </wps:spPr>
                    <wps:txbx>
                      <w:txbxContent>
                        <w:p>
                          <w:pPr>
                            <w:pStyle w:val="25"/>
                            <w:rPr>
                              <w:rStyle w:val="43"/>
                            </w:rPr>
                          </w:pPr>
                          <w:r>
                            <w:fldChar w:fldCharType="begin"/>
                          </w:r>
                          <w:r>
                            <w:rPr>
                              <w:rStyle w:val="43"/>
                            </w:rPr>
                            <w:instrText xml:space="preserve">PAGE  </w:instrText>
                          </w:r>
                          <w:r>
                            <w:fldChar w:fldCharType="separate"/>
                          </w:r>
                          <w:r>
                            <w:rPr>
                              <w:rStyle w:val="43"/>
                            </w:rPr>
                            <w:t>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6438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&#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nyxwC0QAAAAIBAAAPAAAAAAAAAAEAIAAAACIAAABk&#10;cnMvZG93bnJldi54bWxQSwECFAAUAAAACACHTuJATilifg0CAAAPBAAADgAAAAAAAAABACAAAAAg&#10;AQAAZHJzL2Uyb0RvYy54bWxQSwUGAAAAAAYABgBZAQAAnwUAAAAA&#10;">
              <v:fill on="f" focussize="0,0"/>
              <v:stroke on="f"/>
              <v:imagedata o:title=""/>
              <o:lock v:ext="edit" aspectratio="f"/>
              <v:textbox inset="0mm,0mm,0mm,0mm" style="mso-fit-shape-to-text:t;">
                <w:txbxContent>
                  <w:p>
                    <w:pPr>
                      <w:pStyle w:val="25"/>
                      <w:rPr>
                        <w:rStyle w:val="43"/>
                      </w:rPr>
                    </w:pPr>
                    <w:r>
                      <w:fldChar w:fldCharType="begin"/>
                    </w:r>
                    <w:r>
                      <w:rPr>
                        <w:rStyle w:val="43"/>
                      </w:rPr>
                      <w:instrText xml:space="preserve">PAGE  </w:instrText>
                    </w:r>
                    <w:r>
                      <w:fldChar w:fldCharType="separate"/>
                    </w:r>
                    <w:r>
                      <w:rPr>
                        <w:rStyle w:val="43"/>
                      </w:rP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tabs>
        <w:tab w:val="left" w:pos="4498"/>
      </w:tabs>
      <w:rPr>
        <w:rFonts w:ascii="仿宋" w:hAnsi="仿宋" w:eastAsia="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4C6C"/>
    <w:multiLevelType w:val="singleLevel"/>
    <w:tmpl w:val="AA2E4C6C"/>
    <w:lvl w:ilvl="0" w:tentative="0">
      <w:start w:val="1"/>
      <w:numFmt w:val="chineseCounting"/>
      <w:suff w:val="nothing"/>
      <w:lvlText w:val="%1、"/>
      <w:lvlJc w:val="left"/>
      <w:rPr>
        <w:rFonts w:hint="eastAsia"/>
      </w:rPr>
    </w:lvl>
  </w:abstractNum>
  <w:abstractNum w:abstractNumId="1">
    <w:nsid w:val="2392DDEE"/>
    <w:multiLevelType w:val="singleLevel"/>
    <w:tmpl w:val="2392DDEE"/>
    <w:lvl w:ilvl="0" w:tentative="0">
      <w:start w:val="2"/>
      <w:numFmt w:val="chineseCounting"/>
      <w:suff w:val="nothing"/>
      <w:lvlText w:val="%1、"/>
      <w:lvlJc w:val="left"/>
      <w:rPr>
        <w:rFonts w:hint="eastAsia"/>
      </w:rPr>
    </w:lvl>
  </w:abstractNum>
  <w:abstractNum w:abstractNumId="2">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47"/>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3">
    <w:nsid w:val="46335E6F"/>
    <w:multiLevelType w:val="multilevel"/>
    <w:tmpl w:val="46335E6F"/>
    <w:lvl w:ilvl="0" w:tentative="0">
      <w:start w:val="1"/>
      <w:numFmt w:val="decimal"/>
      <w:pStyle w:val="4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944"/>
    <w:rsid w:val="000118A0"/>
    <w:rsid w:val="00022B64"/>
    <w:rsid w:val="000C3458"/>
    <w:rsid w:val="001064B9"/>
    <w:rsid w:val="0011703D"/>
    <w:rsid w:val="001405EF"/>
    <w:rsid w:val="00142369"/>
    <w:rsid w:val="0014673C"/>
    <w:rsid w:val="00167C64"/>
    <w:rsid w:val="00172A27"/>
    <w:rsid w:val="001D1BD3"/>
    <w:rsid w:val="00246A91"/>
    <w:rsid w:val="002C2FFB"/>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83B7C"/>
    <w:rsid w:val="00896973"/>
    <w:rsid w:val="008D6A07"/>
    <w:rsid w:val="008E32D8"/>
    <w:rsid w:val="009A1C09"/>
    <w:rsid w:val="009B0167"/>
    <w:rsid w:val="009B44BA"/>
    <w:rsid w:val="009B74E0"/>
    <w:rsid w:val="009D35D1"/>
    <w:rsid w:val="00A47163"/>
    <w:rsid w:val="00AA23E8"/>
    <w:rsid w:val="00B354AF"/>
    <w:rsid w:val="00B7693E"/>
    <w:rsid w:val="00BD4739"/>
    <w:rsid w:val="00C1747A"/>
    <w:rsid w:val="00C45ADD"/>
    <w:rsid w:val="00C83489"/>
    <w:rsid w:val="00C85A18"/>
    <w:rsid w:val="00CA444E"/>
    <w:rsid w:val="00CC0A5D"/>
    <w:rsid w:val="00D12117"/>
    <w:rsid w:val="00D56DA9"/>
    <w:rsid w:val="00D849D3"/>
    <w:rsid w:val="00DC05A9"/>
    <w:rsid w:val="00DE3B45"/>
    <w:rsid w:val="00DE59EE"/>
    <w:rsid w:val="00E4546D"/>
    <w:rsid w:val="00EE1895"/>
    <w:rsid w:val="00EE3965"/>
    <w:rsid w:val="00EE3D87"/>
    <w:rsid w:val="00F169A5"/>
    <w:rsid w:val="00F43231"/>
    <w:rsid w:val="00F73BB2"/>
    <w:rsid w:val="00F9235C"/>
    <w:rsid w:val="00FB08FF"/>
    <w:rsid w:val="00FC173E"/>
    <w:rsid w:val="02BB609B"/>
    <w:rsid w:val="0356784B"/>
    <w:rsid w:val="04B23039"/>
    <w:rsid w:val="051D440B"/>
    <w:rsid w:val="057E5D2D"/>
    <w:rsid w:val="06FC2094"/>
    <w:rsid w:val="08C558E2"/>
    <w:rsid w:val="09C350C8"/>
    <w:rsid w:val="0B3D0482"/>
    <w:rsid w:val="0C692FF0"/>
    <w:rsid w:val="0CDC7E65"/>
    <w:rsid w:val="0EE65A4C"/>
    <w:rsid w:val="0F0A7030"/>
    <w:rsid w:val="105C6C2B"/>
    <w:rsid w:val="10923D18"/>
    <w:rsid w:val="118F497F"/>
    <w:rsid w:val="11D849E2"/>
    <w:rsid w:val="13A97003"/>
    <w:rsid w:val="13E3563B"/>
    <w:rsid w:val="13E87495"/>
    <w:rsid w:val="15B20422"/>
    <w:rsid w:val="15FA0846"/>
    <w:rsid w:val="160868D3"/>
    <w:rsid w:val="18B82C03"/>
    <w:rsid w:val="198513F6"/>
    <w:rsid w:val="1A00444C"/>
    <w:rsid w:val="1A272A15"/>
    <w:rsid w:val="1A9413D2"/>
    <w:rsid w:val="1BCE1F0F"/>
    <w:rsid w:val="21CB18BC"/>
    <w:rsid w:val="236E04B5"/>
    <w:rsid w:val="26D53495"/>
    <w:rsid w:val="26ED42E7"/>
    <w:rsid w:val="28D75308"/>
    <w:rsid w:val="28E614A9"/>
    <w:rsid w:val="28E86CA7"/>
    <w:rsid w:val="29076C89"/>
    <w:rsid w:val="292263C3"/>
    <w:rsid w:val="29235425"/>
    <w:rsid w:val="294D4A92"/>
    <w:rsid w:val="2991189E"/>
    <w:rsid w:val="2A2C2E1A"/>
    <w:rsid w:val="2ACC676B"/>
    <w:rsid w:val="2C9936B0"/>
    <w:rsid w:val="2D556F76"/>
    <w:rsid w:val="2DF26338"/>
    <w:rsid w:val="2DF640D6"/>
    <w:rsid w:val="2E870C09"/>
    <w:rsid w:val="2EC366A2"/>
    <w:rsid w:val="2F16524A"/>
    <w:rsid w:val="2FF82D77"/>
    <w:rsid w:val="320D35B4"/>
    <w:rsid w:val="32335EE1"/>
    <w:rsid w:val="32992D19"/>
    <w:rsid w:val="33670496"/>
    <w:rsid w:val="33C730C5"/>
    <w:rsid w:val="341D1502"/>
    <w:rsid w:val="35325358"/>
    <w:rsid w:val="35793E2D"/>
    <w:rsid w:val="35C52FB2"/>
    <w:rsid w:val="35CA52BD"/>
    <w:rsid w:val="37A30122"/>
    <w:rsid w:val="37C2247C"/>
    <w:rsid w:val="384707D6"/>
    <w:rsid w:val="38F50B8E"/>
    <w:rsid w:val="393C0DE5"/>
    <w:rsid w:val="397E6DBF"/>
    <w:rsid w:val="3A1A273B"/>
    <w:rsid w:val="3A4E4081"/>
    <w:rsid w:val="3A740D56"/>
    <w:rsid w:val="3A9B5D9F"/>
    <w:rsid w:val="3AC94C72"/>
    <w:rsid w:val="3B101E80"/>
    <w:rsid w:val="3D046A2B"/>
    <w:rsid w:val="3E597CEE"/>
    <w:rsid w:val="3EC217D3"/>
    <w:rsid w:val="408A5E09"/>
    <w:rsid w:val="41B8526F"/>
    <w:rsid w:val="42F8291A"/>
    <w:rsid w:val="43D1198F"/>
    <w:rsid w:val="440726DC"/>
    <w:rsid w:val="448E4E44"/>
    <w:rsid w:val="45565D69"/>
    <w:rsid w:val="463D107C"/>
    <w:rsid w:val="47F44944"/>
    <w:rsid w:val="48A721B3"/>
    <w:rsid w:val="48C1462E"/>
    <w:rsid w:val="49721264"/>
    <w:rsid w:val="4A112E6B"/>
    <w:rsid w:val="4A3D5F21"/>
    <w:rsid w:val="4A490744"/>
    <w:rsid w:val="4AC30A0D"/>
    <w:rsid w:val="4AE32A1C"/>
    <w:rsid w:val="4B360091"/>
    <w:rsid w:val="4B820D49"/>
    <w:rsid w:val="4CA86D16"/>
    <w:rsid w:val="4EE566F3"/>
    <w:rsid w:val="4FB40FA2"/>
    <w:rsid w:val="51154BF9"/>
    <w:rsid w:val="54AE2CD1"/>
    <w:rsid w:val="55634D84"/>
    <w:rsid w:val="578E5921"/>
    <w:rsid w:val="5878081B"/>
    <w:rsid w:val="587B44BC"/>
    <w:rsid w:val="58FD2FE4"/>
    <w:rsid w:val="5AF67C3D"/>
    <w:rsid w:val="5B1A6A9D"/>
    <w:rsid w:val="5B1E7634"/>
    <w:rsid w:val="5BA86C48"/>
    <w:rsid w:val="5BD40777"/>
    <w:rsid w:val="5F12053B"/>
    <w:rsid w:val="5FC85FD2"/>
    <w:rsid w:val="61946FF9"/>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8236C4"/>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2"/>
    <w:qFormat/>
    <w:uiPriority w:val="0"/>
    <w:pPr>
      <w:keepNext/>
      <w:keepLines/>
      <w:spacing w:before="340" w:after="330" w:line="578" w:lineRule="auto"/>
      <w:outlineLvl w:val="0"/>
    </w:pPr>
    <w:rPr>
      <w:b/>
      <w:bCs/>
      <w:kern w:val="44"/>
      <w:sz w:val="44"/>
      <w:szCs w:val="44"/>
    </w:rPr>
  </w:style>
  <w:style w:type="paragraph" w:styleId="4">
    <w:name w:val="heading 2"/>
    <w:basedOn w:val="1"/>
    <w:next w:val="5"/>
    <w:link w:val="87"/>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6">
    <w:name w:val="heading 3"/>
    <w:basedOn w:val="1"/>
    <w:next w:val="5"/>
    <w:link w:val="83"/>
    <w:qFormat/>
    <w:uiPriority w:val="0"/>
    <w:pPr>
      <w:keepNext/>
      <w:keepLines/>
      <w:adjustRightInd w:val="0"/>
      <w:spacing w:before="240" w:after="120" w:line="300" w:lineRule="auto"/>
      <w:jc w:val="left"/>
      <w:textAlignment w:val="baseline"/>
      <w:outlineLvl w:val="2"/>
    </w:pPr>
    <w:rPr>
      <w:b/>
      <w:kern w:val="0"/>
      <w:szCs w:val="20"/>
    </w:rPr>
  </w:style>
  <w:style w:type="paragraph" w:styleId="7">
    <w:name w:val="heading 4"/>
    <w:basedOn w:val="1"/>
    <w:next w:val="1"/>
    <w:link w:val="81"/>
    <w:qFormat/>
    <w:uiPriority w:val="0"/>
    <w:pPr>
      <w:keepNext/>
      <w:keepLines/>
      <w:spacing w:before="280" w:after="290" w:line="376" w:lineRule="auto"/>
      <w:outlineLvl w:val="3"/>
    </w:pPr>
    <w:rPr>
      <w:rFonts w:ascii="Arial" w:hAnsi="Arial" w:eastAsia="黑体"/>
      <w:b/>
      <w:sz w:val="28"/>
      <w:szCs w:val="20"/>
    </w:rPr>
  </w:style>
  <w:style w:type="paragraph" w:styleId="8">
    <w:name w:val="heading 5"/>
    <w:basedOn w:val="1"/>
    <w:next w:val="1"/>
    <w:link w:val="85"/>
    <w:qFormat/>
    <w:uiPriority w:val="0"/>
    <w:pPr>
      <w:keepNext/>
      <w:keepLines/>
      <w:spacing w:before="280" w:after="290" w:line="376" w:lineRule="auto"/>
      <w:outlineLvl w:val="4"/>
    </w:pPr>
    <w:rPr>
      <w:b/>
      <w:sz w:val="28"/>
      <w:szCs w:val="20"/>
    </w:rPr>
  </w:style>
  <w:style w:type="paragraph" w:styleId="9">
    <w:name w:val="heading 6"/>
    <w:basedOn w:val="1"/>
    <w:next w:val="5"/>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5"/>
    <w:qFormat/>
    <w:uiPriority w:val="0"/>
    <w:pPr>
      <w:keepNext/>
      <w:keepLines/>
      <w:spacing w:before="240" w:after="64" w:line="320" w:lineRule="auto"/>
      <w:outlineLvl w:val="6"/>
    </w:pPr>
    <w:rPr>
      <w:b/>
      <w:sz w:val="24"/>
      <w:szCs w:val="20"/>
    </w:rPr>
  </w:style>
  <w:style w:type="paragraph" w:styleId="11">
    <w:name w:val="heading 8"/>
    <w:basedOn w:val="1"/>
    <w:next w:val="5"/>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5"/>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rPr>
      <w:rFonts w:ascii="Times New Roman" w:hAnsi="Times New Roman"/>
    </w:rPr>
  </w:style>
  <w:style w:type="paragraph" w:styleId="5">
    <w:name w:val="Normal Indent"/>
    <w:basedOn w:val="1"/>
    <w:link w:val="93"/>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90"/>
    <w:qFormat/>
    <w:uiPriority w:val="0"/>
    <w:rPr>
      <w:rFonts w:ascii="宋体"/>
      <w:sz w:val="18"/>
      <w:szCs w:val="18"/>
    </w:rPr>
  </w:style>
  <w:style w:type="paragraph" w:styleId="15">
    <w:name w:val="annotation text"/>
    <w:basedOn w:val="1"/>
    <w:link w:val="86"/>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8"/>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101"/>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4"/>
    <w:qFormat/>
    <w:uiPriority w:val="0"/>
    <w:rPr>
      <w:sz w:val="24"/>
      <w:szCs w:val="20"/>
    </w:rPr>
  </w:style>
  <w:style w:type="paragraph" w:styleId="23">
    <w:name w:val="Body Text Indent 2"/>
    <w:basedOn w:val="1"/>
    <w:link w:val="103"/>
    <w:qFormat/>
    <w:uiPriority w:val="0"/>
    <w:pPr>
      <w:spacing w:before="240" w:line="560" w:lineRule="exact"/>
      <w:ind w:firstLine="480" w:firstLineChars="200"/>
    </w:pPr>
    <w:rPr>
      <w:sz w:val="24"/>
      <w:szCs w:val="32"/>
    </w:rPr>
  </w:style>
  <w:style w:type="paragraph" w:styleId="24">
    <w:name w:val="Balloon Text"/>
    <w:basedOn w:val="1"/>
    <w:link w:val="106"/>
    <w:qFormat/>
    <w:uiPriority w:val="0"/>
    <w:rPr>
      <w:sz w:val="18"/>
      <w:szCs w:val="18"/>
    </w:rPr>
  </w:style>
  <w:style w:type="paragraph" w:styleId="25">
    <w:name w:val="footer"/>
    <w:basedOn w:val="1"/>
    <w:link w:val="80"/>
    <w:qFormat/>
    <w:uiPriority w:val="99"/>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105"/>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120" w:after="120"/>
      <w:jc w:val="left"/>
    </w:pPr>
    <w:rPr>
      <w:rFonts w:ascii="Calibri" w:hAnsi="Calibri"/>
      <w:b/>
      <w:bCs/>
      <w:caps/>
      <w:sz w:val="20"/>
      <w:szCs w:val="20"/>
    </w:rPr>
  </w:style>
  <w:style w:type="paragraph" w:styleId="29">
    <w:name w:val="toc 4"/>
    <w:basedOn w:val="1"/>
    <w:next w:val="1"/>
    <w:qFormat/>
    <w:uiPriority w:val="0"/>
    <w:pPr>
      <w:ind w:left="630"/>
      <w:jc w:val="left"/>
    </w:pPr>
    <w:rPr>
      <w:rFonts w:ascii="Calibri" w:hAnsi="Calibri"/>
      <w:sz w:val="18"/>
      <w:szCs w:val="18"/>
    </w:rPr>
  </w:style>
  <w:style w:type="paragraph" w:styleId="30">
    <w:name w:val="toc 6"/>
    <w:basedOn w:val="1"/>
    <w:next w:val="1"/>
    <w:qFormat/>
    <w:uiPriority w:val="0"/>
    <w:pPr>
      <w:ind w:left="1050"/>
      <w:jc w:val="left"/>
    </w:pPr>
    <w:rPr>
      <w:rFonts w:ascii="Calibri" w:hAnsi="Calibri"/>
      <w:sz w:val="18"/>
      <w:szCs w:val="18"/>
    </w:rPr>
  </w:style>
  <w:style w:type="paragraph" w:styleId="31">
    <w:name w:val="Body Text Indent 3"/>
    <w:basedOn w:val="1"/>
    <w:link w:val="97"/>
    <w:qFormat/>
    <w:uiPriority w:val="0"/>
    <w:pPr>
      <w:spacing w:after="120"/>
      <w:ind w:left="420" w:leftChars="200"/>
    </w:pPr>
    <w:rPr>
      <w:rFonts w:eastAsia="仿宋_GB2312"/>
      <w:sz w:val="16"/>
      <w:szCs w:val="16"/>
    </w:rPr>
  </w:style>
  <w:style w:type="paragraph" w:styleId="32">
    <w:name w:val="toc 2"/>
    <w:basedOn w:val="1"/>
    <w:next w:val="1"/>
    <w:qFormat/>
    <w:uiPriority w:val="39"/>
    <w:pPr>
      <w:ind w:left="210"/>
      <w:jc w:val="left"/>
    </w:pPr>
    <w:rPr>
      <w:rFonts w:ascii="Calibri" w:hAnsi="Calibri"/>
      <w:smallCaps/>
      <w:sz w:val="20"/>
      <w:szCs w:val="20"/>
    </w:rPr>
  </w:style>
  <w:style w:type="paragraph" w:styleId="33">
    <w:name w:val="toc 9"/>
    <w:basedOn w:val="1"/>
    <w:next w:val="1"/>
    <w:qFormat/>
    <w:uiPriority w:val="0"/>
    <w:pPr>
      <w:ind w:left="1680"/>
      <w:jc w:val="left"/>
    </w:pPr>
    <w:rPr>
      <w:rFonts w:ascii="Calibri" w:hAnsi="Calibri"/>
      <w:sz w:val="18"/>
      <w:szCs w:val="18"/>
    </w:rPr>
  </w:style>
  <w:style w:type="paragraph" w:styleId="34">
    <w:name w:val="Body Text 2"/>
    <w:basedOn w:val="1"/>
    <w:link w:val="89"/>
    <w:qFormat/>
    <w:uiPriority w:val="0"/>
    <w:pPr>
      <w:spacing w:after="120" w:line="480" w:lineRule="auto"/>
    </w:pPr>
  </w:style>
  <w:style w:type="paragraph" w:styleId="35">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6">
    <w:name w:val="annotation subject"/>
    <w:basedOn w:val="15"/>
    <w:next w:val="15"/>
    <w:link w:val="82"/>
    <w:qFormat/>
    <w:uiPriority w:val="0"/>
    <w:rPr>
      <w:b/>
      <w:bCs/>
    </w:rPr>
  </w:style>
  <w:style w:type="paragraph" w:styleId="37">
    <w:name w:val="Body Text First Indent"/>
    <w:basedOn w:val="16"/>
    <w:qFormat/>
    <w:uiPriority w:val="0"/>
    <w:pPr>
      <w:ind w:firstLine="420" w:firstLineChars="100"/>
    </w:pPr>
  </w:style>
  <w:style w:type="paragraph" w:styleId="38">
    <w:name w:val="Body Text First Indent 2"/>
    <w:basedOn w:val="17"/>
    <w:qFormat/>
    <w:uiPriority w:val="99"/>
    <w:pPr>
      <w:spacing w:after="120"/>
      <w:ind w:left="420" w:leftChars="200" w:firstLine="420" w:firstLineChars="200"/>
    </w:pPr>
  </w:style>
  <w:style w:type="table" w:styleId="40">
    <w:name w:val="Table Grid"/>
    <w:basedOn w:val="39"/>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Emphasis"/>
    <w:qFormat/>
    <w:uiPriority w:val="0"/>
    <w:rPr>
      <w:color w:val="CC0000"/>
    </w:rPr>
  </w:style>
  <w:style w:type="character" w:styleId="45">
    <w:name w:val="Hyperlink"/>
    <w:basedOn w:val="41"/>
    <w:qFormat/>
    <w:uiPriority w:val="99"/>
    <w:rPr>
      <w:color w:val="454545"/>
      <w:sz w:val="19"/>
      <w:szCs w:val="19"/>
      <w:u w:val="none"/>
    </w:rPr>
  </w:style>
  <w:style w:type="character" w:styleId="46">
    <w:name w:val="annotation reference"/>
    <w:qFormat/>
    <w:uiPriority w:val="0"/>
    <w:rPr>
      <w:sz w:val="21"/>
      <w:szCs w:val="21"/>
    </w:rPr>
  </w:style>
  <w:style w:type="paragraph" w:customStyle="1" w:styleId="47">
    <w:name w:val="引言二级条标题"/>
    <w:basedOn w:val="48"/>
    <w:next w:val="49"/>
    <w:qFormat/>
    <w:uiPriority w:val="0"/>
    <w:pPr>
      <w:numPr>
        <w:ilvl w:val="1"/>
        <w:numId w:val="1"/>
      </w:numPr>
      <w:tabs>
        <w:tab w:val="left" w:pos="360"/>
      </w:tabs>
    </w:pPr>
  </w:style>
  <w:style w:type="paragraph" w:customStyle="1" w:styleId="48">
    <w:name w:val="引言一级条标题"/>
    <w:basedOn w:val="1"/>
    <w:next w:val="49"/>
    <w:qFormat/>
    <w:uiPriority w:val="0"/>
    <w:pPr>
      <w:widowControl/>
      <w:numPr>
        <w:ilvl w:val="0"/>
        <w:numId w:val="2"/>
      </w:numPr>
    </w:pPr>
    <w:rPr>
      <w:rFonts w:eastAsia="黑体"/>
      <w:b/>
    </w:rPr>
  </w:style>
  <w:style w:type="paragraph" w:customStyle="1" w:styleId="49">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50">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5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52">
    <w:name w:val="p15"/>
    <w:basedOn w:val="1"/>
    <w:qFormat/>
    <w:uiPriority w:val="0"/>
    <w:pPr>
      <w:widowControl/>
    </w:pPr>
    <w:rPr>
      <w:kern w:val="0"/>
      <w:szCs w:val="21"/>
    </w:rPr>
  </w:style>
  <w:style w:type="paragraph" w:customStyle="1" w:styleId="53">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4">
    <w:name w:val="样式 正文缩进 + 首行缩进:  2 字符"/>
    <w:basedOn w:val="5"/>
    <w:link w:val="98"/>
    <w:qFormat/>
    <w:uiPriority w:val="0"/>
    <w:pPr>
      <w:spacing w:line="360" w:lineRule="auto"/>
      <w:ind w:firstLine="200"/>
    </w:pPr>
    <w:rPr>
      <w:rFonts w:cs="宋体"/>
      <w:sz w:val="24"/>
      <w:szCs w:val="20"/>
    </w:rPr>
  </w:style>
  <w:style w:type="paragraph" w:styleId="55">
    <w:name w:val="List Paragraph"/>
    <w:basedOn w:val="1"/>
    <w:qFormat/>
    <w:uiPriority w:val="0"/>
    <w:pPr>
      <w:ind w:firstLine="420" w:firstLineChars="200"/>
    </w:pPr>
    <w:rPr>
      <w:rFonts w:ascii="Calibri" w:hAnsi="Calibri"/>
      <w:szCs w:val="22"/>
    </w:rPr>
  </w:style>
  <w:style w:type="paragraph" w:customStyle="1" w:styleId="56">
    <w:name w:val="正文格式"/>
    <w:basedOn w:val="1"/>
    <w:link w:val="102"/>
    <w:qFormat/>
    <w:uiPriority w:val="0"/>
    <w:pPr>
      <w:widowControl/>
      <w:ind w:firstLine="560" w:firstLineChars="200"/>
      <w:jc w:val="left"/>
    </w:pPr>
    <w:rPr>
      <w:rFonts w:ascii="仿宋" w:hAnsi="仿宋" w:eastAsia="仿宋"/>
      <w:sz w:val="28"/>
      <w:szCs w:val="32"/>
    </w:rPr>
  </w:style>
  <w:style w:type="paragraph" w:customStyle="1" w:styleId="57">
    <w:name w:val="Char2"/>
    <w:basedOn w:val="1"/>
    <w:qFormat/>
    <w:uiPriority w:val="0"/>
    <w:pPr>
      <w:tabs>
        <w:tab w:val="left" w:pos="425"/>
      </w:tabs>
      <w:ind w:left="425" w:hanging="425"/>
    </w:pPr>
  </w:style>
  <w:style w:type="paragraph" w:customStyle="1" w:styleId="58">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0">
    <w:name w:val="List Paragraph1"/>
    <w:basedOn w:val="1"/>
    <w:qFormat/>
    <w:uiPriority w:val="34"/>
    <w:pPr>
      <w:ind w:firstLine="420" w:firstLineChars="200"/>
    </w:pPr>
    <w:rPr>
      <w:rFonts w:ascii="Calibri" w:hAnsi="Calibri"/>
    </w:rPr>
  </w:style>
  <w:style w:type="paragraph" w:customStyle="1" w:styleId="61">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4">
    <w:name w:val="批注框文本1"/>
    <w:basedOn w:val="1"/>
    <w:link w:val="91"/>
    <w:qFormat/>
    <w:uiPriority w:val="0"/>
    <w:rPr>
      <w:kern w:val="0"/>
      <w:sz w:val="18"/>
      <w:szCs w:val="20"/>
    </w:rPr>
  </w:style>
  <w:style w:type="paragraph" w:customStyle="1" w:styleId="65">
    <w:name w:val="正文1"/>
    <w:basedOn w:val="1"/>
    <w:qFormat/>
    <w:uiPriority w:val="0"/>
    <w:pPr>
      <w:spacing w:line="312" w:lineRule="exact"/>
    </w:pPr>
  </w:style>
  <w:style w:type="paragraph" w:customStyle="1" w:styleId="66">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7">
    <w:name w:val="Char"/>
    <w:basedOn w:val="1"/>
    <w:link w:val="94"/>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p0"/>
    <w:basedOn w:val="1"/>
    <w:qFormat/>
    <w:uiPriority w:val="0"/>
    <w:pPr>
      <w:widowControl/>
      <w:snapToGrid w:val="0"/>
      <w:jc w:val="left"/>
    </w:pPr>
    <w:rPr>
      <w:rFonts w:ascii="宋体" w:hAnsi="宋体" w:cs="宋体"/>
      <w:kern w:val="0"/>
      <w:sz w:val="34"/>
      <w:szCs w:val="34"/>
    </w:rPr>
  </w:style>
  <w:style w:type="paragraph" w:customStyle="1" w:styleId="69">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7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71">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2">
    <w:name w:val="普通(网站)1"/>
    <w:basedOn w:val="1"/>
    <w:qFormat/>
    <w:uiPriority w:val="0"/>
    <w:pPr>
      <w:widowControl/>
      <w:spacing w:before="100" w:after="100"/>
      <w:jc w:val="left"/>
    </w:pPr>
    <w:rPr>
      <w:rFonts w:ascii="宋体" w:hAnsi="宋体"/>
      <w:sz w:val="24"/>
      <w:szCs w:val="20"/>
    </w:rPr>
  </w:style>
  <w:style w:type="paragraph" w:customStyle="1" w:styleId="73">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内容1"/>
    <w:basedOn w:val="1"/>
    <w:qFormat/>
    <w:uiPriority w:val="0"/>
    <w:pPr>
      <w:ind w:firstLine="480" w:firstLineChars="200"/>
    </w:pPr>
    <w:rPr>
      <w:rFonts w:ascii="宋体"/>
      <w:kern w:val="0"/>
    </w:rPr>
  </w:style>
  <w:style w:type="paragraph" w:customStyle="1" w:styleId="76">
    <w:name w:val="标书正文"/>
    <w:basedOn w:val="1"/>
    <w:qFormat/>
    <w:uiPriority w:val="0"/>
    <w:pPr>
      <w:snapToGrid w:val="0"/>
      <w:spacing w:line="360" w:lineRule="auto"/>
      <w:ind w:firstLine="200" w:firstLineChars="200"/>
    </w:pPr>
    <w:rPr>
      <w:sz w:val="24"/>
    </w:rPr>
  </w:style>
  <w:style w:type="paragraph" w:customStyle="1" w:styleId="77">
    <w:name w:val="表格"/>
    <w:basedOn w:val="1"/>
    <w:qFormat/>
    <w:uiPriority w:val="0"/>
    <w:pPr>
      <w:adjustRightInd w:val="0"/>
      <w:snapToGrid w:val="0"/>
      <w:jc w:val="center"/>
    </w:pPr>
    <w:rPr>
      <w:bCs/>
      <w:u w:color="FFFFFF"/>
    </w:rPr>
  </w:style>
  <w:style w:type="character" w:customStyle="1" w:styleId="78">
    <w:name w:val="正文文本缩进 字符"/>
    <w:link w:val="17"/>
    <w:qFormat/>
    <w:uiPriority w:val="0"/>
    <w:rPr>
      <w:rFonts w:ascii="华文中宋" w:hAnsi="华文中宋" w:eastAsia="华文中宋"/>
      <w:color w:val="FF6600"/>
      <w:kern w:val="2"/>
      <w:sz w:val="24"/>
      <w:szCs w:val="24"/>
    </w:rPr>
  </w:style>
  <w:style w:type="character" w:customStyle="1" w:styleId="79">
    <w:name w:val="news1_title"/>
    <w:basedOn w:val="41"/>
    <w:qFormat/>
    <w:uiPriority w:val="0"/>
  </w:style>
  <w:style w:type="character" w:customStyle="1" w:styleId="80">
    <w:name w:val="页脚 字符"/>
    <w:link w:val="25"/>
    <w:qFormat/>
    <w:uiPriority w:val="99"/>
    <w:rPr>
      <w:rFonts w:eastAsia="宋体"/>
      <w:kern w:val="2"/>
      <w:sz w:val="18"/>
      <w:szCs w:val="18"/>
      <w:lang w:val="en-US" w:eastAsia="zh-CN" w:bidi="ar-SA"/>
    </w:rPr>
  </w:style>
  <w:style w:type="character" w:customStyle="1" w:styleId="81">
    <w:name w:val="标题 4 字符"/>
    <w:link w:val="7"/>
    <w:qFormat/>
    <w:uiPriority w:val="0"/>
    <w:rPr>
      <w:rFonts w:ascii="Arial" w:hAnsi="Arial" w:eastAsia="黑体"/>
      <w:b/>
      <w:kern w:val="2"/>
      <w:sz w:val="28"/>
      <w:lang w:val="en-US" w:eastAsia="zh-CN" w:bidi="ar-SA"/>
    </w:rPr>
  </w:style>
  <w:style w:type="character" w:customStyle="1" w:styleId="82">
    <w:name w:val="批注主题 字符"/>
    <w:link w:val="36"/>
    <w:qFormat/>
    <w:uiPriority w:val="0"/>
    <w:rPr>
      <w:b/>
      <w:bCs/>
      <w:kern w:val="2"/>
      <w:sz w:val="21"/>
      <w:szCs w:val="24"/>
    </w:rPr>
  </w:style>
  <w:style w:type="character" w:customStyle="1" w:styleId="83">
    <w:name w:val="标题 3 字符"/>
    <w:link w:val="6"/>
    <w:qFormat/>
    <w:uiPriority w:val="0"/>
    <w:rPr>
      <w:rFonts w:eastAsia="宋体"/>
      <w:b/>
      <w:sz w:val="21"/>
      <w:lang w:val="en-US" w:eastAsia="zh-CN" w:bidi="ar-SA"/>
    </w:rPr>
  </w:style>
  <w:style w:type="character" w:customStyle="1" w:styleId="84">
    <w:name w:val="日期 字符"/>
    <w:link w:val="22"/>
    <w:qFormat/>
    <w:uiPriority w:val="0"/>
    <w:rPr>
      <w:rFonts w:eastAsia="宋体"/>
      <w:kern w:val="2"/>
      <w:sz w:val="24"/>
      <w:lang w:val="en-US" w:eastAsia="zh-CN" w:bidi="ar-SA"/>
    </w:rPr>
  </w:style>
  <w:style w:type="character" w:customStyle="1" w:styleId="85">
    <w:name w:val="标题 5 字符"/>
    <w:link w:val="8"/>
    <w:qFormat/>
    <w:locked/>
    <w:uiPriority w:val="0"/>
    <w:rPr>
      <w:b/>
      <w:kern w:val="2"/>
      <w:sz w:val="28"/>
    </w:rPr>
  </w:style>
  <w:style w:type="character" w:customStyle="1" w:styleId="86">
    <w:name w:val="批注文字 字符"/>
    <w:link w:val="15"/>
    <w:qFormat/>
    <w:uiPriority w:val="0"/>
    <w:rPr>
      <w:kern w:val="2"/>
      <w:sz w:val="21"/>
      <w:szCs w:val="24"/>
    </w:rPr>
  </w:style>
  <w:style w:type="character" w:customStyle="1" w:styleId="87">
    <w:name w:val="标题 2 字符"/>
    <w:link w:val="4"/>
    <w:qFormat/>
    <w:uiPriority w:val="0"/>
    <w:rPr>
      <w:rFonts w:ascii="Arial" w:hAnsi="Arial" w:eastAsia="黑体"/>
      <w:b/>
      <w:sz w:val="30"/>
      <w:lang w:val="en-US" w:eastAsia="zh-CN" w:bidi="ar-SA"/>
    </w:rPr>
  </w:style>
  <w:style w:type="character" w:customStyle="1" w:styleId="88">
    <w:name w:val="纯文本 Char1"/>
    <w:qFormat/>
    <w:locked/>
    <w:uiPriority w:val="0"/>
    <w:rPr>
      <w:rFonts w:ascii="宋体" w:hAnsi="Courier New"/>
      <w:kern w:val="2"/>
      <w:sz w:val="21"/>
    </w:rPr>
  </w:style>
  <w:style w:type="character" w:customStyle="1" w:styleId="89">
    <w:name w:val="正文文本 2 字符"/>
    <w:link w:val="34"/>
    <w:qFormat/>
    <w:uiPriority w:val="0"/>
    <w:rPr>
      <w:rFonts w:eastAsia="宋体"/>
      <w:kern w:val="2"/>
      <w:sz w:val="21"/>
      <w:szCs w:val="24"/>
      <w:lang w:val="en-US" w:eastAsia="zh-CN" w:bidi="ar-SA"/>
    </w:rPr>
  </w:style>
  <w:style w:type="character" w:customStyle="1" w:styleId="90">
    <w:name w:val="文档结构图 字符"/>
    <w:link w:val="14"/>
    <w:qFormat/>
    <w:uiPriority w:val="0"/>
    <w:rPr>
      <w:rFonts w:ascii="宋体"/>
      <w:kern w:val="2"/>
      <w:sz w:val="18"/>
      <w:szCs w:val="18"/>
    </w:rPr>
  </w:style>
  <w:style w:type="character" w:customStyle="1" w:styleId="91">
    <w:name w:val="Balloon Text Char Char"/>
    <w:link w:val="64"/>
    <w:qFormat/>
    <w:uiPriority w:val="0"/>
    <w:rPr>
      <w:rFonts w:eastAsia="宋体"/>
      <w:sz w:val="18"/>
      <w:lang w:bidi="ar-SA"/>
    </w:rPr>
  </w:style>
  <w:style w:type="character" w:customStyle="1" w:styleId="92">
    <w:name w:val="标题 1 字符"/>
    <w:link w:val="3"/>
    <w:qFormat/>
    <w:uiPriority w:val="0"/>
    <w:rPr>
      <w:rFonts w:eastAsia="宋体"/>
      <w:b/>
      <w:bCs/>
      <w:kern w:val="44"/>
      <w:sz w:val="44"/>
      <w:szCs w:val="44"/>
      <w:lang w:val="en-US" w:eastAsia="zh-CN" w:bidi="ar-SA"/>
    </w:rPr>
  </w:style>
  <w:style w:type="character" w:customStyle="1" w:styleId="93">
    <w:name w:val="正文缩进 字符"/>
    <w:link w:val="5"/>
    <w:qFormat/>
    <w:uiPriority w:val="0"/>
    <w:rPr>
      <w:kern w:val="2"/>
      <w:sz w:val="21"/>
      <w:szCs w:val="24"/>
    </w:rPr>
  </w:style>
  <w:style w:type="character" w:customStyle="1" w:styleId="94">
    <w:name w:val="Char Char Char"/>
    <w:link w:val="67"/>
    <w:qFormat/>
    <w:locked/>
    <w:uiPriority w:val="0"/>
    <w:rPr>
      <w:rFonts w:ascii="Verdana" w:hAnsi="Verdana" w:eastAsia="仿宋_GB2312"/>
      <w:sz w:val="24"/>
      <w:lang w:val="en-US" w:eastAsia="en-US" w:bidi="ar-SA"/>
    </w:rPr>
  </w:style>
  <w:style w:type="character" w:customStyle="1" w:styleId="95">
    <w:name w:val="Footer-Even Char Char"/>
    <w:qFormat/>
    <w:uiPriority w:val="0"/>
    <w:rPr>
      <w:kern w:val="2"/>
      <w:sz w:val="18"/>
      <w:szCs w:val="18"/>
    </w:rPr>
  </w:style>
  <w:style w:type="character" w:customStyle="1" w:styleId="96">
    <w:name w:val="ca-21"/>
    <w:qFormat/>
    <w:uiPriority w:val="0"/>
    <w:rPr>
      <w:rFonts w:hint="eastAsia" w:ascii="宋体-18030" w:hAnsi="宋体-18030" w:eastAsia="宋体-18030" w:cs="宋体-18030"/>
      <w:sz w:val="24"/>
      <w:szCs w:val="24"/>
    </w:rPr>
  </w:style>
  <w:style w:type="character" w:customStyle="1" w:styleId="97">
    <w:name w:val="正文文本缩进 3 字符"/>
    <w:link w:val="31"/>
    <w:qFormat/>
    <w:uiPriority w:val="0"/>
    <w:rPr>
      <w:rFonts w:eastAsia="仿宋_GB2312"/>
      <w:kern w:val="2"/>
      <w:sz w:val="16"/>
      <w:szCs w:val="16"/>
      <w:lang w:val="en-US" w:eastAsia="zh-CN" w:bidi="ar-SA"/>
    </w:rPr>
  </w:style>
  <w:style w:type="character" w:customStyle="1" w:styleId="98">
    <w:name w:val="样式 正文缩进 + 首行缩进:  2 字符 Char Char"/>
    <w:link w:val="54"/>
    <w:qFormat/>
    <w:uiPriority w:val="0"/>
    <w:rPr>
      <w:rFonts w:eastAsia="宋体" w:cs="宋体"/>
      <w:kern w:val="2"/>
      <w:sz w:val="24"/>
      <w:lang w:val="en-US" w:eastAsia="zh-CN" w:bidi="ar-SA"/>
    </w:rPr>
  </w:style>
  <w:style w:type="character" w:customStyle="1" w:styleId="99">
    <w:name w:val="ca-11"/>
    <w:qFormat/>
    <w:uiPriority w:val="0"/>
    <w:rPr>
      <w:rFonts w:hint="eastAsia" w:ascii="宋体" w:hAnsi="宋体" w:eastAsia="宋体"/>
      <w:sz w:val="24"/>
      <w:szCs w:val="24"/>
    </w:rPr>
  </w:style>
  <w:style w:type="character" w:customStyle="1" w:styleId="100">
    <w:name w:val="ca-1"/>
    <w:qFormat/>
    <w:uiPriority w:val="0"/>
    <w:rPr>
      <w:rFonts w:cs="Times New Roman"/>
    </w:rPr>
  </w:style>
  <w:style w:type="character" w:customStyle="1" w:styleId="101">
    <w:name w:val="纯文本 字符"/>
    <w:link w:val="20"/>
    <w:qFormat/>
    <w:uiPriority w:val="0"/>
    <w:rPr>
      <w:rFonts w:ascii="宋体" w:hAnsi="Courier New" w:eastAsia="宋体"/>
      <w:kern w:val="2"/>
      <w:sz w:val="21"/>
      <w:lang w:val="en-US" w:eastAsia="zh-CN" w:bidi="ar-SA"/>
    </w:rPr>
  </w:style>
  <w:style w:type="character" w:customStyle="1" w:styleId="102">
    <w:name w:val="正文格式 Char"/>
    <w:link w:val="56"/>
    <w:qFormat/>
    <w:uiPriority w:val="0"/>
    <w:rPr>
      <w:rFonts w:ascii="仿宋" w:hAnsi="仿宋" w:eastAsia="仿宋"/>
      <w:kern w:val="2"/>
      <w:sz w:val="28"/>
      <w:szCs w:val="32"/>
    </w:rPr>
  </w:style>
  <w:style w:type="character" w:customStyle="1" w:styleId="103">
    <w:name w:val="正文文本缩进 2 字符"/>
    <w:link w:val="23"/>
    <w:qFormat/>
    <w:uiPriority w:val="0"/>
    <w:rPr>
      <w:rFonts w:eastAsia="宋体"/>
      <w:kern w:val="2"/>
      <w:sz w:val="24"/>
      <w:szCs w:val="32"/>
      <w:lang w:val="en-US" w:eastAsia="zh-CN" w:bidi="ar-SA"/>
    </w:rPr>
  </w:style>
  <w:style w:type="character" w:customStyle="1" w:styleId="104">
    <w:name w:val="style81"/>
    <w:qFormat/>
    <w:uiPriority w:val="0"/>
    <w:rPr>
      <w:sz w:val="21"/>
      <w:szCs w:val="21"/>
    </w:rPr>
  </w:style>
  <w:style w:type="character" w:customStyle="1" w:styleId="105">
    <w:name w:val="页眉 字符"/>
    <w:link w:val="27"/>
    <w:qFormat/>
    <w:uiPriority w:val="99"/>
    <w:rPr>
      <w:kern w:val="2"/>
      <w:sz w:val="18"/>
      <w:szCs w:val="18"/>
    </w:rPr>
  </w:style>
  <w:style w:type="character" w:customStyle="1" w:styleId="106">
    <w:name w:val="批注框文本 字符"/>
    <w:link w:val="24"/>
    <w:qFormat/>
    <w:uiPriority w:val="0"/>
    <w:rPr>
      <w:rFonts w:eastAsia="宋体"/>
      <w:kern w:val="2"/>
      <w:sz w:val="18"/>
      <w:szCs w:val="18"/>
      <w:lang w:val="en-US" w:eastAsia="zh-CN" w:bidi="ar-SA"/>
    </w:rPr>
  </w:style>
  <w:style w:type="character" w:customStyle="1" w:styleId="107">
    <w:name w:val="left"/>
    <w:basedOn w:val="41"/>
    <w:qFormat/>
    <w:uiPriority w:val="0"/>
  </w:style>
  <w:style w:type="character" w:customStyle="1" w:styleId="108">
    <w:name w:val="pubdate-day"/>
    <w:basedOn w:val="41"/>
    <w:qFormat/>
    <w:uiPriority w:val="0"/>
    <w:rPr>
      <w:shd w:val="clear" w:color="auto" w:fill="F2F2F2"/>
    </w:rPr>
  </w:style>
  <w:style w:type="character" w:customStyle="1" w:styleId="109">
    <w:name w:val="item-name6"/>
    <w:basedOn w:val="41"/>
    <w:qFormat/>
    <w:uiPriority w:val="0"/>
  </w:style>
  <w:style w:type="character" w:customStyle="1" w:styleId="110">
    <w:name w:val="item-name7"/>
    <w:basedOn w:val="41"/>
    <w:qFormat/>
    <w:uiPriority w:val="0"/>
  </w:style>
  <w:style w:type="character" w:customStyle="1" w:styleId="111">
    <w:name w:val="pubdate-month"/>
    <w:basedOn w:val="41"/>
    <w:qFormat/>
    <w:uiPriority w:val="0"/>
    <w:rPr>
      <w:color w:val="FFFFFF"/>
      <w:sz w:val="24"/>
      <w:szCs w:val="24"/>
      <w:shd w:val="clear" w:color="auto" w:fill="CC0000"/>
    </w:rPr>
  </w:style>
  <w:style w:type="character" w:customStyle="1" w:styleId="112">
    <w:name w:val="right"/>
    <w:basedOn w:val="41"/>
    <w:qFormat/>
    <w:uiPriority w:val="0"/>
  </w:style>
  <w:style w:type="character" w:customStyle="1" w:styleId="113">
    <w:name w:val="news1_meta"/>
    <w:basedOn w:val="41"/>
    <w:qFormat/>
    <w:uiPriority w:val="0"/>
  </w:style>
  <w:style w:type="paragraph" w:customStyle="1" w:styleId="114">
    <w:name w:val="样式 首行缩进:  0 字符"/>
    <w:basedOn w:val="1"/>
    <w:qFormat/>
    <w:uiPriority w:val="0"/>
    <w:pPr>
      <w:spacing w:line="360" w:lineRule="auto"/>
      <w:ind w:firstLine="200" w:firstLineChars="200"/>
    </w:pPr>
    <w:rPr>
      <w:rFonts w:ascii="Arial" w:hAnsi="Arial" w:cs="宋体"/>
      <w:sz w:val="24"/>
    </w:rPr>
  </w:style>
  <w:style w:type="character" w:customStyle="1" w:styleId="115">
    <w:name w:val="NormalCharacter"/>
    <w:semiHidden/>
    <w:qFormat/>
    <w:uiPriority w:val="0"/>
  </w:style>
  <w:style w:type="character" w:customStyle="1" w:styleId="116">
    <w:name w:val="font31"/>
    <w:basedOn w:val="41"/>
    <w:qFormat/>
    <w:uiPriority w:val="0"/>
    <w:rPr>
      <w:rFonts w:hint="eastAsia" w:ascii="微软雅黑" w:hAnsi="微软雅黑" w:eastAsia="微软雅黑" w:cs="微软雅黑"/>
      <w:color w:val="000000"/>
      <w:sz w:val="16"/>
      <w:szCs w:val="16"/>
      <w:u w:val="none"/>
    </w:rPr>
  </w:style>
  <w:style w:type="character" w:customStyle="1" w:styleId="117">
    <w:name w:val="font01"/>
    <w:basedOn w:val="41"/>
    <w:qFormat/>
    <w:uiPriority w:val="0"/>
    <w:rPr>
      <w:rFonts w:hint="eastAsia" w:ascii="宋体" w:hAnsi="宋体" w:eastAsia="宋体" w:cs="宋体"/>
      <w:color w:val="000000"/>
      <w:sz w:val="16"/>
      <w:szCs w:val="16"/>
      <w:u w:val="none"/>
    </w:rPr>
  </w:style>
  <w:style w:type="character" w:customStyle="1" w:styleId="118">
    <w:name w:val="font11"/>
    <w:basedOn w:val="41"/>
    <w:qFormat/>
    <w:uiPriority w:val="0"/>
    <w:rPr>
      <w:rFonts w:hint="default" w:ascii="Calibri" w:hAnsi="Calibri" w:cs="Calibri"/>
      <w:color w:val="000000"/>
      <w:sz w:val="16"/>
      <w:szCs w:val="16"/>
      <w:u w:val="none"/>
    </w:rPr>
  </w:style>
  <w:style w:type="character" w:customStyle="1" w:styleId="119">
    <w:name w:val="font21"/>
    <w:basedOn w:val="41"/>
    <w:qFormat/>
    <w:uiPriority w:val="0"/>
    <w:rPr>
      <w:rFonts w:hint="default" w:ascii="Calibri" w:hAnsi="Calibri" w:cs="Calibri"/>
      <w:color w:val="000000"/>
      <w:sz w:val="16"/>
      <w:szCs w:val="16"/>
      <w:u w:val="none"/>
    </w:rPr>
  </w:style>
  <w:style w:type="paragraph" w:customStyle="1" w:styleId="120">
    <w:name w:val="列表段落1"/>
    <w:basedOn w:val="1"/>
    <w:qFormat/>
    <w:uiPriority w:val="34"/>
    <w:pPr>
      <w:ind w:firstLine="420" w:firstLineChars="200"/>
    </w:pPr>
    <w:rPr>
      <w:rFonts w:ascii="宋体"/>
      <w:kern w:val="0"/>
      <w:sz w:val="34"/>
      <w:szCs w:val="20"/>
    </w:rPr>
  </w:style>
  <w:style w:type="character" w:customStyle="1" w:styleId="121">
    <w:name w:val="fontstyle01"/>
    <w:qFormat/>
    <w:uiPriority w:val="0"/>
    <w:rPr>
      <w:rFonts w:hint="eastAsia" w:ascii="宋体" w:hAnsi="宋体" w:eastAsia="宋体" w:cs="宋体"/>
      <w:color w:val="333333"/>
      <w:sz w:val="44"/>
      <w:szCs w:val="44"/>
    </w:rPr>
  </w:style>
  <w:style w:type="character" w:customStyle="1" w:styleId="122">
    <w:name w:val="font51"/>
    <w:basedOn w:val="41"/>
    <w:qFormat/>
    <w:uiPriority w:val="0"/>
    <w:rPr>
      <w:rFonts w:hint="eastAsia" w:ascii="宋体" w:hAnsi="宋体" w:eastAsia="宋体" w:cs="宋体"/>
      <w:b/>
      <w:bCs/>
      <w:color w:val="FF0000"/>
      <w:sz w:val="16"/>
      <w:szCs w:val="16"/>
      <w:u w:val="none"/>
    </w:rPr>
  </w:style>
  <w:style w:type="character" w:customStyle="1" w:styleId="123">
    <w:name w:val="font61"/>
    <w:basedOn w:val="41"/>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39</Pages>
  <Words>17795</Words>
  <Characters>19162</Characters>
  <Lines>137</Lines>
  <Paragraphs>38</Paragraphs>
  <TotalTime>0</TotalTime>
  <ScaleCrop>false</ScaleCrop>
  <LinksUpToDate>false</LinksUpToDate>
  <CharactersWithSpaces>20709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2021-11-23T15:51:00Z</dcterms:created>
  <dc:creator>zz</dc:creator>
  <cp:lastModifiedBy>口天马尧</cp:lastModifiedBy>
  <cp:lastPrinted>2019-07-19T04:31:00Z</cp:lastPrinted>
  <dcterms:modified xsi:type="dcterms:W3CDTF">2023-07-06T07:58:14Z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8A9B3B72DB9249BD880D655ACCAFEBFA_13</vt:lpwstr>
  </property>
</Properties>
</file>