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sz w:val="72"/>
          <w:szCs w:val="72"/>
        </w:rPr>
      </w:pPr>
    </w:p>
    <w:p>
      <w:pPr>
        <w:spacing w:line="360" w:lineRule="auto"/>
        <w:jc w:val="center"/>
        <w:rPr>
          <w:rFonts w:ascii="黑体" w:hAnsi="黑体" w:eastAsia="黑体" w:cs="黑体"/>
          <w:b/>
          <w:sz w:val="72"/>
          <w:szCs w:val="72"/>
        </w:rPr>
      </w:pPr>
    </w:p>
    <w:p>
      <w:pPr>
        <w:spacing w:line="360" w:lineRule="auto"/>
        <w:jc w:val="center"/>
        <w:rPr>
          <w:rFonts w:ascii="宋体" w:hAnsi="宋体" w:cs="宋体"/>
          <w:b/>
          <w:sz w:val="72"/>
          <w:szCs w:val="72"/>
        </w:rPr>
      </w:pPr>
      <w:r>
        <w:rPr>
          <w:rFonts w:hint="eastAsia" w:ascii="黑体" w:hAnsi="黑体" w:eastAsia="黑体" w:cs="黑体"/>
          <w:b/>
          <w:sz w:val="72"/>
          <w:szCs w:val="72"/>
        </w:rPr>
        <w:t>磋商文件</w:t>
      </w:r>
    </w:p>
    <w:p>
      <w:pPr>
        <w:spacing w:line="360" w:lineRule="auto"/>
        <w:ind w:firstLine="2097" w:firstLineChars="437"/>
        <w:rPr>
          <w:rFonts w:ascii="宋体" w:hAnsi="宋体" w:cs="宋体"/>
          <w:sz w:val="48"/>
          <w:szCs w:val="48"/>
        </w:rPr>
      </w:pPr>
      <w:r>
        <w:rPr>
          <w:rFonts w:hint="eastAsia" w:ascii="宋体" w:hAnsi="宋体" w:cs="宋体"/>
          <w:sz w:val="48"/>
          <w:szCs w:val="48"/>
        </w:rPr>
        <w:t xml:space="preserve"> </w:t>
      </w:r>
    </w:p>
    <w:p>
      <w:pPr>
        <w:spacing w:line="360" w:lineRule="auto"/>
        <w:rPr>
          <w:rFonts w:ascii="宋体" w:hAnsi="宋体" w:cs="宋体"/>
          <w:sz w:val="48"/>
          <w:szCs w:val="48"/>
        </w:rPr>
      </w:pPr>
    </w:p>
    <w:p>
      <w:pPr>
        <w:spacing w:line="360" w:lineRule="auto"/>
        <w:rPr>
          <w:rFonts w:ascii="宋体" w:hAnsi="宋体" w:cs="宋体"/>
          <w:sz w:val="48"/>
          <w:szCs w:val="48"/>
        </w:rPr>
      </w:pPr>
    </w:p>
    <w:p>
      <w:pPr>
        <w:spacing w:line="360" w:lineRule="auto"/>
        <w:jc w:val="left"/>
        <w:rPr>
          <w:rFonts w:hint="eastAsia" w:ascii="宋体" w:hAnsi="宋体" w:eastAsia="宋体" w:cs="宋体"/>
          <w:b/>
          <w:color w:val="FF0000"/>
          <w:sz w:val="32"/>
          <w:szCs w:val="32"/>
          <w:lang w:eastAsia="zh-CN"/>
        </w:rPr>
      </w:pPr>
      <w:r>
        <w:rPr>
          <w:rFonts w:hint="eastAsia" w:ascii="宋体" w:hAnsi="宋体" w:cs="宋体"/>
          <w:b/>
          <w:sz w:val="32"/>
          <w:szCs w:val="32"/>
        </w:rPr>
        <w:t xml:space="preserve">              项目编号：</w:t>
      </w:r>
      <w:r>
        <w:rPr>
          <w:rFonts w:hint="eastAsia" w:ascii="宋体" w:hAnsi="宋体" w:cs="宋体"/>
          <w:b/>
          <w:color w:val="000000" w:themeColor="text1"/>
          <w:sz w:val="32"/>
          <w:szCs w:val="32"/>
          <w14:textFill>
            <w14:solidFill>
              <w14:schemeClr w14:val="tx1"/>
            </w14:solidFill>
          </w14:textFill>
        </w:rPr>
        <w:t>LZCS</w:t>
      </w:r>
      <w:r>
        <w:rPr>
          <w:rFonts w:ascii="宋体" w:hAnsi="宋体" w:cs="宋体"/>
          <w:b/>
          <w:color w:val="000000" w:themeColor="text1"/>
          <w:sz w:val="32"/>
          <w:szCs w:val="32"/>
          <w14:textFill>
            <w14:solidFill>
              <w14:schemeClr w14:val="tx1"/>
            </w14:solidFill>
          </w14:textFill>
        </w:rPr>
        <w:t>—</w:t>
      </w:r>
      <w:r>
        <w:rPr>
          <w:rFonts w:hint="eastAsia" w:ascii="宋体" w:hAnsi="宋体" w:cs="宋体"/>
          <w:b/>
          <w:color w:val="000000" w:themeColor="text1"/>
          <w:sz w:val="32"/>
          <w:szCs w:val="32"/>
          <w:lang w:val="en-US" w:eastAsia="zh-CN"/>
          <w14:textFill>
            <w14:solidFill>
              <w14:schemeClr w14:val="tx1"/>
            </w14:solidFill>
          </w14:textFill>
        </w:rPr>
        <w:t xml:space="preserve">2020002 </w:t>
      </w:r>
    </w:p>
    <w:p>
      <w:pPr>
        <w:spacing w:line="360" w:lineRule="auto"/>
        <w:rPr>
          <w:rFonts w:ascii="宋体" w:hAnsi="宋体" w:cs="宋体"/>
          <w:b/>
          <w:sz w:val="32"/>
          <w:szCs w:val="32"/>
        </w:rPr>
      </w:pPr>
    </w:p>
    <w:p>
      <w:pPr>
        <w:spacing w:line="360" w:lineRule="auto"/>
        <w:rPr>
          <w:rFonts w:ascii="宋体" w:hAnsi="宋体" w:cs="宋体"/>
          <w:b/>
          <w:sz w:val="32"/>
          <w:szCs w:val="32"/>
        </w:rPr>
      </w:pPr>
    </w:p>
    <w:p>
      <w:pPr>
        <w:spacing w:line="360" w:lineRule="auto"/>
        <w:rPr>
          <w:rFonts w:ascii="宋体" w:hAnsi="宋体" w:cs="宋体"/>
          <w:b/>
          <w:color w:val="000000" w:themeColor="text1"/>
          <w:sz w:val="32"/>
          <w:szCs w:val="32"/>
          <w14:textFill>
            <w14:solidFill>
              <w14:schemeClr w14:val="tx1"/>
            </w14:solidFill>
          </w14:textFill>
        </w:rPr>
      </w:pPr>
      <w:r>
        <w:rPr>
          <w:rFonts w:hint="eastAsia" w:ascii="宋体" w:hAnsi="宋体" w:cs="宋体"/>
          <w:b/>
          <w:sz w:val="32"/>
          <w:szCs w:val="32"/>
        </w:rPr>
        <w:t xml:space="preserve">              项目单位：</w:t>
      </w:r>
      <w:r>
        <w:rPr>
          <w:rFonts w:hint="eastAsia" w:ascii="宋体" w:hAnsi="宋体"/>
          <w:b/>
          <w:bCs/>
          <w:color w:val="000000" w:themeColor="text1"/>
          <w:sz w:val="32"/>
          <w:szCs w:val="32"/>
          <w14:textFill>
            <w14:solidFill>
              <w14:schemeClr w14:val="tx1"/>
            </w14:solidFill>
          </w14:textFill>
        </w:rPr>
        <w:t>兰州职业技术学院</w:t>
      </w:r>
    </w:p>
    <w:p>
      <w:pPr>
        <w:widowControl/>
        <w:spacing w:line="420" w:lineRule="atLeast"/>
        <w:rPr>
          <w:rFonts w:ascii="宋体" w:hAnsi="宋体" w:cs="宋体"/>
          <w:b/>
          <w:sz w:val="32"/>
          <w:szCs w:val="32"/>
        </w:rPr>
      </w:pPr>
    </w:p>
    <w:p>
      <w:pPr>
        <w:widowControl/>
        <w:spacing w:line="420" w:lineRule="atLeast"/>
        <w:ind w:left="4176" w:hanging="4176" w:hangingChars="1300"/>
        <w:rPr>
          <w:rFonts w:hint="eastAsia" w:ascii="宋体" w:hAnsi="宋体"/>
          <w:b/>
          <w:bCs/>
          <w:color w:val="000000" w:themeColor="text1"/>
          <w:sz w:val="32"/>
          <w:szCs w:val="32"/>
          <w14:textFill>
            <w14:solidFill>
              <w14:schemeClr w14:val="tx1"/>
            </w14:solidFill>
          </w14:textFill>
        </w:rPr>
      </w:pPr>
      <w:r>
        <w:rPr>
          <w:rFonts w:hint="eastAsia" w:ascii="宋体" w:hAnsi="宋体" w:cs="宋体"/>
          <w:b/>
          <w:sz w:val="32"/>
          <w:szCs w:val="32"/>
        </w:rPr>
        <w:t xml:space="preserve">              项目名称：</w:t>
      </w:r>
      <w:r>
        <w:rPr>
          <w:rFonts w:hint="eastAsia" w:ascii="宋体" w:hAnsi="宋体"/>
          <w:b/>
          <w:bCs/>
          <w:color w:val="000000" w:themeColor="text1"/>
          <w:sz w:val="32"/>
          <w:szCs w:val="32"/>
          <w14:textFill>
            <w14:solidFill>
              <w14:schemeClr w14:val="tx1"/>
            </w14:solidFill>
          </w14:textFill>
        </w:rPr>
        <w:t>兰州职业技术学院实训大楼地下车库车辆管理及治安视频监控系统项目</w:t>
      </w:r>
    </w:p>
    <w:p>
      <w:pPr>
        <w:spacing w:line="360" w:lineRule="auto"/>
        <w:rPr>
          <w:rFonts w:ascii="宋体" w:hAnsi="宋体" w:cs="宋体"/>
          <w:b/>
          <w:sz w:val="32"/>
          <w:szCs w:val="32"/>
        </w:rPr>
      </w:pPr>
    </w:p>
    <w:p>
      <w:pPr>
        <w:spacing w:line="360" w:lineRule="auto"/>
        <w:rPr>
          <w:rFonts w:ascii="宋体" w:hAnsi="宋体" w:cs="宋体"/>
          <w:b/>
          <w:sz w:val="32"/>
          <w:szCs w:val="32"/>
        </w:rPr>
      </w:pPr>
    </w:p>
    <w:p>
      <w:pPr>
        <w:spacing w:line="360" w:lineRule="auto"/>
        <w:ind w:firstLine="2056" w:firstLineChars="640"/>
        <w:rPr>
          <w:rFonts w:ascii="宋体" w:hAnsi="宋体" w:cs="宋体"/>
          <w:b/>
          <w:sz w:val="32"/>
          <w:szCs w:val="32"/>
        </w:rPr>
      </w:pPr>
    </w:p>
    <w:p>
      <w:pPr>
        <w:spacing w:line="360" w:lineRule="auto"/>
        <w:ind w:firstLine="2056" w:firstLineChars="640"/>
        <w:rPr>
          <w:rFonts w:ascii="宋体" w:hAnsi="宋体" w:cs="宋体"/>
          <w:b/>
          <w:sz w:val="32"/>
          <w:szCs w:val="32"/>
        </w:rPr>
      </w:pPr>
    </w:p>
    <w:p>
      <w:pPr>
        <w:spacing w:line="360" w:lineRule="auto"/>
        <w:ind w:firstLine="2056" w:firstLineChars="640"/>
        <w:rPr>
          <w:rFonts w:ascii="宋体" w:hAnsi="宋体" w:cs="宋体"/>
          <w:b/>
          <w:sz w:val="32"/>
          <w:szCs w:val="32"/>
        </w:rPr>
      </w:pPr>
    </w:p>
    <w:p>
      <w:pPr>
        <w:spacing w:line="360" w:lineRule="auto"/>
        <w:rPr>
          <w:rFonts w:ascii="宋体" w:hAnsi="宋体" w:cs="宋体"/>
          <w:b/>
          <w:sz w:val="32"/>
          <w:szCs w:val="32"/>
        </w:rPr>
      </w:pPr>
      <w:r>
        <w:rPr>
          <w:rFonts w:hint="eastAsia" w:ascii="宋体" w:hAnsi="宋体" w:cs="宋体"/>
          <w:b/>
          <w:sz w:val="32"/>
          <w:szCs w:val="32"/>
        </w:rPr>
        <w:t xml:space="preserve">                   兰州职业技术学院</w:t>
      </w:r>
    </w:p>
    <w:p>
      <w:pPr>
        <w:spacing w:line="360" w:lineRule="auto"/>
        <w:ind w:firstLine="643" w:firstLineChars="200"/>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sz w:val="32"/>
          <w:szCs w:val="32"/>
        </w:rPr>
        <w:t xml:space="preserve">               </w:t>
      </w:r>
      <w:r>
        <w:rPr>
          <w:rFonts w:hint="eastAsia" w:ascii="宋体" w:hAnsi="宋体" w:cs="宋体"/>
          <w:b/>
          <w:color w:val="000000" w:themeColor="text1"/>
          <w:sz w:val="32"/>
          <w:szCs w:val="32"/>
          <w14:textFill>
            <w14:solidFill>
              <w14:schemeClr w14:val="tx1"/>
            </w14:solidFill>
          </w14:textFill>
        </w:rPr>
        <w:t xml:space="preserve">  2020年</w:t>
      </w:r>
      <w:r>
        <w:rPr>
          <w:rFonts w:hint="eastAsia" w:ascii="宋体" w:hAnsi="宋体" w:cs="宋体"/>
          <w:b/>
          <w:color w:val="000000" w:themeColor="text1"/>
          <w:sz w:val="32"/>
          <w:szCs w:val="32"/>
          <w:lang w:val="en-US" w:eastAsia="zh-CN"/>
          <w14:textFill>
            <w14:solidFill>
              <w14:schemeClr w14:val="tx1"/>
            </w14:solidFill>
          </w14:textFill>
        </w:rPr>
        <w:t>6</w:t>
      </w:r>
      <w:r>
        <w:rPr>
          <w:rFonts w:hint="eastAsia" w:ascii="宋体" w:hAnsi="宋体" w:cs="宋体"/>
          <w:b/>
          <w:color w:val="000000" w:themeColor="text1"/>
          <w:sz w:val="32"/>
          <w:szCs w:val="32"/>
          <w14:textFill>
            <w14:solidFill>
              <w14:schemeClr w14:val="tx1"/>
            </w14:solidFill>
          </w14:textFill>
        </w:rPr>
        <w:t xml:space="preserve">月 </w:t>
      </w:r>
      <w:r>
        <w:rPr>
          <w:rFonts w:hint="eastAsia" w:ascii="宋体" w:hAnsi="宋体" w:cs="宋体"/>
          <w:b/>
          <w:color w:val="FF0000"/>
          <w:sz w:val="32"/>
          <w:szCs w:val="32"/>
        </w:rPr>
        <w:t xml:space="preserve"> </w:t>
      </w:r>
      <w:r>
        <w:rPr>
          <w:rFonts w:hint="eastAsia" w:ascii="宋体" w:hAnsi="宋体" w:cs="宋体"/>
          <w:b/>
          <w:sz w:val="32"/>
          <w:szCs w:val="32"/>
        </w:rPr>
        <w:t xml:space="preserve">  </w:t>
      </w:r>
      <w:r>
        <w:rPr>
          <w:rFonts w:hint="eastAsia" w:ascii="仿宋" w:hAnsi="仿宋" w:eastAsia="仿宋" w:cs="仿宋"/>
          <w:sz w:val="32"/>
          <w:szCs w:val="32"/>
        </w:rPr>
        <w:t xml:space="preserve">   </w:t>
      </w:r>
      <w:r>
        <w:rPr>
          <w:rFonts w:hint="eastAsia"/>
          <w:sz w:val="32"/>
          <w:szCs w:val="32"/>
        </w:rPr>
        <w:t xml:space="preserve">   </w:t>
      </w:r>
      <w:r>
        <w:rPr>
          <w:rFonts w:hint="eastAsia"/>
        </w:rPr>
        <w:t xml:space="preserve">                                                         </w:t>
      </w:r>
    </w:p>
    <w:p>
      <w:pPr>
        <w:pStyle w:val="2"/>
        <w:jc w:val="both"/>
        <w:rPr>
          <w:rFonts w:cs="宋体"/>
          <w:b/>
          <w:bCs w:val="0"/>
        </w:rPr>
      </w:pPr>
      <w:bookmarkStart w:id="0" w:name="_Toc240772073"/>
      <w:r>
        <w:rPr>
          <w:rFonts w:hint="eastAsia" w:cs="宋体"/>
          <w:b/>
          <w:bCs w:val="0"/>
        </w:rPr>
        <w:t xml:space="preserve">                </w:t>
      </w:r>
      <w:r>
        <w:rPr>
          <w:rFonts w:hint="eastAsia" w:cs="宋体"/>
          <w:b/>
          <w:bCs w:val="0"/>
          <w:sz w:val="44"/>
          <w:szCs w:val="44"/>
        </w:rPr>
        <w:t xml:space="preserve"> 磋 商 邀 请 函</w:t>
      </w:r>
      <w:bookmarkEnd w:id="0"/>
    </w:p>
    <w:p>
      <w:pPr>
        <w:spacing w:line="240" w:lineRule="atLeast"/>
        <w:ind w:firstLine="480" w:firstLineChars="200"/>
        <w:rPr>
          <w:rFonts w:ascii="宋体" w:hAnsi="宋体" w:cs="宋体"/>
          <w:sz w:val="24"/>
          <w:szCs w:val="24"/>
        </w:rPr>
      </w:pPr>
    </w:p>
    <w:p>
      <w:pPr>
        <w:spacing w:line="400" w:lineRule="exact"/>
        <w:ind w:firstLine="480" w:firstLineChars="200"/>
        <w:rPr>
          <w:rFonts w:hint="eastAsia" w:ascii="宋体" w:hAnsi="宋体" w:cs="宋体"/>
          <w:sz w:val="24"/>
          <w:szCs w:val="24"/>
        </w:rPr>
      </w:pPr>
      <w:r>
        <w:rPr>
          <w:rFonts w:hint="eastAsia" w:ascii="宋体" w:hAnsi="宋体" w:cs="宋体"/>
          <w:bCs/>
          <w:sz w:val="24"/>
        </w:rPr>
        <w:t>现对</w:t>
      </w:r>
      <w:r>
        <w:rPr>
          <w:rFonts w:hint="eastAsia" w:ascii="宋体" w:hAnsi="宋体" w:cs="宋体"/>
          <w:sz w:val="24"/>
          <w:szCs w:val="24"/>
        </w:rPr>
        <w:t>兰州职业技术学院实训大楼地下车库车辆管理及治安视频监控系统项目采用竞争性磋商方式进行采购，欢迎依法在中华人民共和国注册及经营，财务独立，运作合法，遵守国家有关法律、法规，具有相应资格，有能力，并能提供及时完善的后期服务保障的供应商前来参加磋商。</w:t>
      </w:r>
    </w:p>
    <w:p>
      <w:pPr>
        <w:tabs>
          <w:tab w:val="left" w:pos="240"/>
        </w:tabs>
        <w:overflowPunct w:val="0"/>
        <w:autoSpaceDE w:val="0"/>
        <w:autoSpaceDN w:val="0"/>
        <w:adjustRightInd w:val="0"/>
        <w:snapToGrid w:val="0"/>
        <w:spacing w:line="400" w:lineRule="exact"/>
        <w:ind w:firstLine="480" w:firstLineChars="200"/>
        <w:rPr>
          <w:rFonts w:hint="eastAsia" w:eastAsia="宋体" w:cs="宋体"/>
          <w:color w:val="FF0000"/>
          <w:sz w:val="24"/>
          <w:lang w:val="en-US" w:eastAsia="zh-CN"/>
        </w:rPr>
      </w:pPr>
      <w:r>
        <w:rPr>
          <w:rFonts w:hint="eastAsia" w:ascii="宋体" w:hAnsi="宋体" w:cs="宋体"/>
          <w:sz w:val="24"/>
          <w:szCs w:val="24"/>
        </w:rPr>
        <w:t>一、项目编号：</w:t>
      </w:r>
      <w:r>
        <w:rPr>
          <w:rFonts w:hint="eastAsia" w:ascii="宋体" w:hAnsi="宋体" w:cs="宋体"/>
          <w:color w:val="000000" w:themeColor="text1"/>
          <w:sz w:val="24"/>
          <w:szCs w:val="24"/>
          <w14:textFill>
            <w14:solidFill>
              <w14:schemeClr w14:val="tx1"/>
            </w14:solidFill>
          </w14:textFill>
        </w:rPr>
        <w:t>LZCS</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 xml:space="preserve">2020002 </w:t>
      </w:r>
    </w:p>
    <w:p>
      <w:pPr>
        <w:spacing w:line="460" w:lineRule="exact"/>
        <w:ind w:firstLine="480" w:firstLineChars="200"/>
        <w:jc w:val="left"/>
        <w:rPr>
          <w:rFonts w:hint="eastAsia" w:ascii="宋体" w:hAnsi="宋体" w:cs="宋体"/>
          <w:sz w:val="24"/>
          <w:szCs w:val="24"/>
        </w:rPr>
      </w:pPr>
      <w:r>
        <w:rPr>
          <w:rFonts w:hint="eastAsia" w:ascii="宋体" w:hAnsi="宋体" w:cs="宋体"/>
          <w:sz w:val="24"/>
        </w:rPr>
        <w:t>二、</w:t>
      </w:r>
      <w:r>
        <w:rPr>
          <w:rFonts w:hint="eastAsia" w:ascii="宋体" w:hAnsi="宋体" w:cs="宋体"/>
          <w:sz w:val="24"/>
          <w:szCs w:val="24"/>
        </w:rPr>
        <w:t>磋商内容：兰州职业技术学院实训大楼地下车库车辆管理及治安视频监控系统</w:t>
      </w:r>
    </w:p>
    <w:p>
      <w:pPr>
        <w:spacing w:line="460" w:lineRule="exact"/>
        <w:ind w:firstLine="480" w:firstLineChars="200"/>
        <w:jc w:val="left"/>
        <w:rPr>
          <w:rFonts w:hint="default" w:ascii="宋体" w:hAnsi="宋体" w:eastAsia="宋体" w:cs="宋体"/>
          <w:sz w:val="24"/>
          <w:szCs w:val="24"/>
          <w:lang w:val="en-US" w:eastAsia="zh-CN"/>
        </w:rPr>
      </w:pPr>
      <w:r>
        <w:rPr>
          <w:rFonts w:hint="eastAsia" w:ascii="宋体" w:hAnsi="宋体" w:cs="宋体"/>
          <w:sz w:val="24"/>
          <w:szCs w:val="24"/>
          <w:lang w:eastAsia="zh-CN"/>
        </w:rPr>
        <w:t>三、该项目采购预算：</w:t>
      </w:r>
      <w:r>
        <w:rPr>
          <w:rFonts w:hint="eastAsia" w:ascii="宋体" w:hAnsi="宋体" w:cs="宋体"/>
          <w:sz w:val="24"/>
          <w:szCs w:val="24"/>
          <w:lang w:val="en-US" w:eastAsia="zh-CN"/>
        </w:rPr>
        <w:t>17万元</w:t>
      </w:r>
    </w:p>
    <w:p>
      <w:pPr>
        <w:tabs>
          <w:tab w:val="left" w:pos="240"/>
        </w:tabs>
        <w:overflowPunct w:val="0"/>
        <w:autoSpaceDE w:val="0"/>
        <w:autoSpaceDN w:val="0"/>
        <w:adjustRightInd w:val="0"/>
        <w:snapToGrid w:val="0"/>
        <w:spacing w:line="400" w:lineRule="exact"/>
        <w:rPr>
          <w:rFonts w:ascii="宋体" w:hAnsi="宋体"/>
          <w:sz w:val="24"/>
          <w:szCs w:val="30"/>
        </w:rPr>
      </w:pPr>
      <w:r>
        <w:rPr>
          <w:rFonts w:hint="eastAsia" w:ascii="宋体" w:hAnsi="宋体" w:cs="宋体"/>
          <w:sz w:val="24"/>
          <w:szCs w:val="24"/>
        </w:rPr>
        <w:t xml:space="preserve">    </w:t>
      </w:r>
      <w:r>
        <w:rPr>
          <w:rFonts w:hint="eastAsia" w:ascii="宋体" w:hAnsi="宋体" w:cs="宋体"/>
          <w:sz w:val="24"/>
          <w:szCs w:val="24"/>
          <w:lang w:eastAsia="zh-CN"/>
        </w:rPr>
        <w:t>四</w:t>
      </w:r>
      <w:r>
        <w:rPr>
          <w:rFonts w:hint="eastAsia" w:ascii="宋体" w:hAnsi="宋体" w:cs="宋体"/>
          <w:sz w:val="24"/>
          <w:szCs w:val="24"/>
        </w:rPr>
        <w:t>、</w:t>
      </w:r>
      <w:r>
        <w:rPr>
          <w:rFonts w:hint="eastAsia" w:ascii="宋体" w:hAnsi="宋体"/>
          <w:sz w:val="24"/>
          <w:szCs w:val="30"/>
        </w:rPr>
        <w:t>获取磋商通知书的时间、方式</w:t>
      </w:r>
    </w:p>
    <w:p>
      <w:pPr>
        <w:numPr>
          <w:ilvl w:val="0"/>
          <w:numId w:val="1"/>
        </w:num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30"/>
          <w14:textFill>
            <w14:solidFill>
              <w14:schemeClr w14:val="tx1"/>
            </w14:solidFill>
          </w14:textFill>
        </w:rPr>
        <w:t>磋商文件发放时间:</w:t>
      </w:r>
      <w:r>
        <w:rPr>
          <w:rFonts w:hint="eastAsia" w:ascii="宋体" w:hAnsi="宋体"/>
          <w:color w:val="000000" w:themeColor="text1"/>
          <w:sz w:val="24"/>
          <w14:textFill>
            <w14:solidFill>
              <w14:schemeClr w14:val="tx1"/>
            </w14:solidFill>
          </w14:textFill>
        </w:rPr>
        <w:t>2020年</w:t>
      </w:r>
      <w:r>
        <w:rPr>
          <w:rFonts w:hint="eastAsia" w:ascii="宋体" w:hAnsi="宋体"/>
          <w:color w:val="000000" w:themeColor="text1"/>
          <w:sz w:val="24"/>
          <w:lang w:val="en-US" w:eastAsia="zh-CN"/>
          <w14:textFill>
            <w14:solidFill>
              <w14:schemeClr w14:val="tx1"/>
            </w14:solidFill>
          </w14:textFill>
        </w:rPr>
        <w:t>6</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lang w:val="en-US" w:eastAsia="zh-CN"/>
          <w14:textFill>
            <w14:solidFill>
              <w14:schemeClr w14:val="tx1"/>
            </w14:solidFill>
          </w14:textFill>
        </w:rPr>
        <w:t>9</w:t>
      </w:r>
      <w:r>
        <w:rPr>
          <w:rFonts w:hint="eastAsia" w:ascii="宋体" w:hAnsi="宋体"/>
          <w:color w:val="000000" w:themeColor="text1"/>
          <w:sz w:val="24"/>
          <w14:textFill>
            <w14:solidFill>
              <w14:schemeClr w14:val="tx1"/>
            </w14:solidFill>
          </w14:textFill>
        </w:rPr>
        <w:t>日至2020年</w:t>
      </w:r>
      <w:r>
        <w:rPr>
          <w:rFonts w:hint="eastAsia" w:ascii="宋体" w:hAnsi="宋体"/>
          <w:color w:val="000000" w:themeColor="text1"/>
          <w:sz w:val="24"/>
          <w:lang w:val="en-US" w:eastAsia="zh-CN"/>
          <w14:textFill>
            <w14:solidFill>
              <w14:schemeClr w14:val="tx1"/>
            </w14:solidFill>
          </w14:textFill>
        </w:rPr>
        <w:t>6</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lang w:val="en-US" w:eastAsia="zh-CN"/>
          <w14:textFill>
            <w14:solidFill>
              <w14:schemeClr w14:val="tx1"/>
            </w14:solidFill>
          </w14:textFill>
        </w:rPr>
        <w:t>16</w:t>
      </w:r>
      <w:r>
        <w:rPr>
          <w:rFonts w:hint="eastAsia" w:ascii="宋体" w:hAnsi="宋体"/>
          <w:color w:val="000000" w:themeColor="text1"/>
          <w:sz w:val="24"/>
          <w14:textFill>
            <w14:solidFill>
              <w14:schemeClr w14:val="tx1"/>
            </w14:solidFill>
          </w14:textFill>
        </w:rPr>
        <w:t>日。</w:t>
      </w:r>
    </w:p>
    <w:p>
      <w:pPr>
        <w:spacing w:line="400" w:lineRule="exact"/>
        <w:rPr>
          <w:rFonts w:ascii="宋体" w:hAnsi="宋体"/>
          <w:sz w:val="24"/>
          <w:szCs w:val="30"/>
        </w:rPr>
      </w:pPr>
      <w:r>
        <w:rPr>
          <w:rFonts w:hint="eastAsia" w:ascii="宋体" w:hAnsi="宋体" w:cs="宋体"/>
          <w:kern w:val="0"/>
          <w:sz w:val="24"/>
          <w:szCs w:val="24"/>
        </w:rPr>
        <w:t xml:space="preserve">    2、获取文件方式</w:t>
      </w:r>
      <w:r>
        <w:rPr>
          <w:rFonts w:hint="eastAsia" w:ascii="宋体" w:hAnsi="宋体" w:cs="宋体"/>
          <w:kern w:val="0"/>
          <w:sz w:val="24"/>
          <w:szCs w:val="24"/>
        </w:rPr>
        <w:br w:type="textWrapping"/>
      </w:r>
      <w:r>
        <w:rPr>
          <w:rFonts w:hint="eastAsia" w:ascii="宋体" w:hAnsi="宋体" w:cs="宋体"/>
          <w:kern w:val="0"/>
          <w:sz w:val="24"/>
          <w:szCs w:val="24"/>
        </w:rPr>
        <w:t xml:space="preserve">    网上自行获取：兰州职业技术学院官方网站（</w:t>
      </w:r>
      <w:r>
        <w:rPr>
          <w:rFonts w:ascii="宋体" w:hAnsi="宋体" w:cs="宋体"/>
          <w:kern w:val="0"/>
          <w:sz w:val="24"/>
          <w:szCs w:val="24"/>
          <w:lang w:bidi="ar"/>
        </w:rPr>
        <w:t>http://</w:t>
      </w:r>
      <w:r>
        <w:t xml:space="preserve"> </w:t>
      </w:r>
      <w:r>
        <w:rPr>
          <w:rFonts w:ascii="宋体" w:hAnsi="宋体" w:cs="宋体"/>
          <w:kern w:val="0"/>
          <w:sz w:val="24"/>
          <w:szCs w:val="24"/>
          <w:lang w:bidi="ar"/>
        </w:rPr>
        <w:t>http://www.lvu.edu.cn/</w:t>
      </w:r>
      <w:r>
        <w:rPr>
          <w:rFonts w:hint="eastAsia" w:ascii="宋体" w:hAnsi="宋体" w:cs="宋体"/>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sz w:val="24"/>
        </w:rPr>
      </w:pPr>
      <w:r>
        <w:rPr>
          <w:rFonts w:hint="eastAsia" w:ascii="宋体" w:hAnsi="宋体"/>
          <w:sz w:val="24"/>
        </w:rPr>
        <w:t>五、递交磋商响应性文件时间及地点：</w:t>
      </w:r>
      <w:r>
        <w:rPr>
          <w:rFonts w:hint="eastAsia" w:ascii="宋体" w:hAnsi="宋体"/>
          <w:color w:val="000000"/>
          <w:sz w:val="24"/>
        </w:rPr>
        <w:t>2020年</w:t>
      </w:r>
      <w:r>
        <w:rPr>
          <w:rFonts w:hint="eastAsia" w:ascii="宋体" w:hAnsi="宋体"/>
          <w:color w:val="000000"/>
          <w:sz w:val="24"/>
          <w:lang w:val="en-US" w:eastAsia="zh-CN"/>
        </w:rPr>
        <w:t>6</w:t>
      </w:r>
      <w:r>
        <w:rPr>
          <w:rFonts w:hint="eastAsia" w:ascii="宋体" w:hAnsi="宋体"/>
          <w:color w:val="000000"/>
          <w:sz w:val="24"/>
        </w:rPr>
        <w:t>月</w:t>
      </w:r>
      <w:r>
        <w:rPr>
          <w:rFonts w:hint="eastAsia" w:ascii="宋体" w:hAnsi="宋体"/>
          <w:color w:val="000000"/>
          <w:sz w:val="24"/>
          <w:lang w:val="en-US" w:eastAsia="zh-CN"/>
        </w:rPr>
        <w:t>16</w:t>
      </w:r>
      <w:r>
        <w:rPr>
          <w:rFonts w:hint="eastAsia" w:ascii="宋体" w:hAnsi="宋体"/>
          <w:color w:val="000000"/>
          <w:sz w:val="24"/>
        </w:rPr>
        <w:t>日</w:t>
      </w:r>
      <w:r>
        <w:rPr>
          <w:rFonts w:hint="eastAsia" w:ascii="宋体" w:hAnsi="宋体"/>
          <w:color w:val="000000"/>
          <w:sz w:val="24"/>
          <w:lang w:eastAsia="zh-CN"/>
        </w:rPr>
        <w:t>下</w:t>
      </w:r>
      <w:r>
        <w:rPr>
          <w:rFonts w:hint="eastAsia" w:ascii="宋体" w:hAnsi="宋体"/>
          <w:color w:val="000000" w:themeColor="text1"/>
          <w:sz w:val="24"/>
          <w14:textFill>
            <w14:solidFill>
              <w14:schemeClr w14:val="tx1"/>
            </w14:solidFill>
          </w14:textFill>
        </w:rPr>
        <w:t>午</w:t>
      </w:r>
      <w:r>
        <w:rPr>
          <w:rFonts w:hint="eastAsia" w:ascii="宋体" w:hAnsi="宋体"/>
          <w:color w:val="000000" w:themeColor="text1"/>
          <w:sz w:val="24"/>
          <w:lang w:val="en-US" w:eastAsia="zh-CN"/>
          <w14:textFill>
            <w14:solidFill>
              <w14:schemeClr w14:val="tx1"/>
            </w14:solidFill>
          </w14:textFill>
        </w:rPr>
        <w:t>2:00</w:t>
      </w:r>
      <w:r>
        <w:rPr>
          <w:rFonts w:hint="eastAsia" w:ascii="宋体" w:hAnsi="宋体"/>
          <w:sz w:val="24"/>
        </w:rPr>
        <w:t>（北京时间）之前，逾期不再受理。</w:t>
      </w:r>
    </w:p>
    <w:p>
      <w:pPr>
        <w:kinsoku w:val="0"/>
        <w:overflowPunct w:val="0"/>
        <w:autoSpaceDE w:val="0"/>
        <w:adjustRightInd w:val="0"/>
        <w:snapToGrid w:val="0"/>
        <w:spacing w:line="400" w:lineRule="exact"/>
        <w:ind w:firstLine="480" w:firstLineChars="200"/>
        <w:jc w:val="left"/>
        <w:rPr>
          <w:rFonts w:ascii="宋体" w:hAnsi="宋体"/>
          <w:sz w:val="24"/>
        </w:rPr>
      </w:pPr>
      <w:r>
        <w:rPr>
          <w:rFonts w:hint="eastAsia" w:ascii="宋体" w:hAnsi="宋体"/>
          <w:sz w:val="24"/>
        </w:rPr>
        <w:t>递交磋商响应性文件地点：兰州职业技术学院总校区综合楼</w:t>
      </w:r>
      <w:r>
        <w:rPr>
          <w:rFonts w:hint="eastAsia" w:ascii="宋体" w:hAnsi="宋体"/>
          <w:color w:val="000000" w:themeColor="text1"/>
          <w:sz w:val="24"/>
          <w:lang w:val="en-US" w:eastAsia="zh-CN"/>
          <w14:textFill>
            <w14:solidFill>
              <w14:schemeClr w14:val="tx1"/>
            </w14:solidFill>
          </w14:textFill>
        </w:rPr>
        <w:t>801</w:t>
      </w:r>
      <w:r>
        <w:rPr>
          <w:rFonts w:hint="eastAsia" w:ascii="宋体" w:hAnsi="宋体"/>
          <w:sz w:val="24"/>
        </w:rPr>
        <w:t>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sz w:val="24"/>
        </w:rPr>
      </w:pPr>
      <w:r>
        <w:rPr>
          <w:rFonts w:hint="eastAsia" w:ascii="宋体" w:hAnsi="宋体"/>
          <w:sz w:val="24"/>
        </w:rPr>
        <w:t>六、磋商时间及地点：</w:t>
      </w:r>
    </w:p>
    <w:p>
      <w:pPr>
        <w:widowControl/>
        <w:spacing w:line="40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sz w:val="24"/>
        </w:rPr>
        <w:t>磋商</w:t>
      </w:r>
      <w:r>
        <w:rPr>
          <w:rFonts w:ascii="宋体" w:hAnsi="宋体"/>
          <w:sz w:val="24"/>
        </w:rPr>
        <w:t>时间</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2020年</w:t>
      </w:r>
      <w:r>
        <w:rPr>
          <w:rFonts w:hint="eastAsia" w:ascii="宋体" w:hAnsi="宋体"/>
          <w:color w:val="000000" w:themeColor="text1"/>
          <w:sz w:val="24"/>
          <w:lang w:val="en-US" w:eastAsia="zh-CN"/>
          <w14:textFill>
            <w14:solidFill>
              <w14:schemeClr w14:val="tx1"/>
            </w14:solidFill>
          </w14:textFill>
        </w:rPr>
        <w:t>6</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lang w:val="en-US" w:eastAsia="zh-CN"/>
          <w14:textFill>
            <w14:solidFill>
              <w14:schemeClr w14:val="tx1"/>
            </w14:solidFill>
          </w14:textFill>
        </w:rPr>
        <w:t>16</w:t>
      </w:r>
      <w:r>
        <w:rPr>
          <w:rFonts w:hint="eastAsia" w:ascii="宋体" w:hAnsi="宋体"/>
          <w:color w:val="000000" w:themeColor="text1"/>
          <w:sz w:val="24"/>
          <w14:textFill>
            <w14:solidFill>
              <w14:schemeClr w14:val="tx1"/>
            </w14:solidFill>
          </w14:textFill>
        </w:rPr>
        <w:t>日</w:t>
      </w:r>
      <w:r>
        <w:rPr>
          <w:rFonts w:hint="eastAsia" w:ascii="宋体" w:hAnsi="宋体"/>
          <w:color w:val="000000"/>
          <w:sz w:val="24"/>
          <w:lang w:eastAsia="zh-CN"/>
        </w:rPr>
        <w:t>下</w:t>
      </w:r>
      <w:r>
        <w:rPr>
          <w:rFonts w:hint="eastAsia" w:ascii="宋体" w:hAnsi="宋体"/>
          <w:color w:val="000000" w:themeColor="text1"/>
          <w:sz w:val="24"/>
          <w14:textFill>
            <w14:solidFill>
              <w14:schemeClr w14:val="tx1"/>
            </w14:solidFill>
          </w14:textFill>
        </w:rPr>
        <w:t>午</w:t>
      </w:r>
      <w:r>
        <w:rPr>
          <w:rFonts w:hint="eastAsia" w:ascii="宋体" w:hAnsi="宋体"/>
          <w:color w:val="000000" w:themeColor="text1"/>
          <w:sz w:val="24"/>
          <w:lang w:val="en-US" w:eastAsia="zh-CN"/>
          <w14:textFill>
            <w14:solidFill>
              <w14:schemeClr w14:val="tx1"/>
            </w14:solidFill>
          </w14:textFill>
        </w:rPr>
        <w:t>2:00</w:t>
      </w:r>
      <w:r>
        <w:rPr>
          <w:rFonts w:hint="eastAsia" w:ascii="宋体" w:hAnsi="宋体"/>
          <w:color w:val="000000" w:themeColor="text1"/>
          <w:sz w:val="24"/>
          <w14:textFill>
            <w14:solidFill>
              <w14:schemeClr w14:val="tx1"/>
            </w14:solidFill>
          </w14:textFill>
        </w:rPr>
        <w:t>（北京时间）</w:t>
      </w:r>
      <w:r>
        <w:rPr>
          <w:rFonts w:ascii="宋体" w:hAnsi="宋体"/>
          <w:color w:val="000000" w:themeColor="text1"/>
          <w:sz w:val="24"/>
          <w14:textFill>
            <w14:solidFill>
              <w14:schemeClr w14:val="tx1"/>
            </w14:solidFill>
          </w14:textFill>
        </w:rPr>
        <w:t>。</w:t>
      </w:r>
    </w:p>
    <w:p>
      <w:pPr>
        <w:kinsoku w:val="0"/>
        <w:overflowPunct w:val="0"/>
        <w:autoSpaceDE w:val="0"/>
        <w:adjustRightInd w:val="0"/>
        <w:snapToGrid w:val="0"/>
        <w:spacing w:line="400" w:lineRule="exact"/>
        <w:ind w:firstLine="480" w:firstLineChars="200"/>
        <w:jc w:val="left"/>
        <w:rPr>
          <w:rFonts w:hint="eastAsia" w:ascii="宋体" w:hAnsi="宋体"/>
          <w:sz w:val="24"/>
        </w:rPr>
      </w:pPr>
      <w:r>
        <w:rPr>
          <w:rFonts w:hint="eastAsia" w:ascii="宋体" w:hAnsi="宋体"/>
          <w:sz w:val="24"/>
        </w:rPr>
        <w:t>磋商</w:t>
      </w:r>
      <w:r>
        <w:rPr>
          <w:rFonts w:ascii="宋体" w:hAnsi="宋体"/>
          <w:sz w:val="24"/>
        </w:rPr>
        <w:t>地点：</w:t>
      </w:r>
      <w:r>
        <w:rPr>
          <w:rFonts w:hint="eastAsia" w:ascii="宋体" w:hAnsi="宋体"/>
          <w:sz w:val="24"/>
        </w:rPr>
        <w:t>兰州职业技术学院总校区综合楼</w:t>
      </w:r>
      <w:r>
        <w:rPr>
          <w:rFonts w:hint="eastAsia" w:ascii="宋体" w:hAnsi="宋体"/>
          <w:color w:val="000000" w:themeColor="text1"/>
          <w:sz w:val="24"/>
          <w:lang w:val="en-US" w:eastAsia="zh-CN"/>
          <w14:textFill>
            <w14:solidFill>
              <w14:schemeClr w14:val="tx1"/>
            </w14:solidFill>
          </w14:textFill>
        </w:rPr>
        <w:t>801</w:t>
      </w:r>
      <w:r>
        <w:rPr>
          <w:rFonts w:hint="eastAsia" w:ascii="宋体" w:hAnsi="宋体"/>
          <w:sz w:val="24"/>
        </w:rPr>
        <w:t>会议室（兰州市安宁区刘沙公路37号）。</w:t>
      </w:r>
    </w:p>
    <w:p>
      <w:pPr>
        <w:kinsoku w:val="0"/>
        <w:overflowPunct w:val="0"/>
        <w:autoSpaceDE w:val="0"/>
        <w:adjustRightInd w:val="0"/>
        <w:snapToGrid w:val="0"/>
        <w:spacing w:line="400" w:lineRule="exact"/>
        <w:ind w:firstLine="480" w:firstLineChars="200"/>
        <w:jc w:val="left"/>
        <w:rPr>
          <w:rFonts w:hint="eastAsia" w:ascii="宋体" w:hAnsi="宋体"/>
          <w:sz w:val="24"/>
        </w:rPr>
      </w:pPr>
      <w:r>
        <w:rPr>
          <w:rFonts w:hint="eastAsia" w:ascii="宋体" w:hAnsi="宋体"/>
          <w:sz w:val="24"/>
          <w:lang w:val="en-US" w:eastAsia="zh-CN"/>
        </w:rPr>
        <w:t>七、现场踏勘时间及地点</w:t>
      </w:r>
    </w:p>
    <w:p>
      <w:pPr>
        <w:kinsoku w:val="0"/>
        <w:overflowPunct w:val="0"/>
        <w:autoSpaceDE w:val="0"/>
        <w:adjustRightInd w:val="0"/>
        <w:snapToGrid w:val="0"/>
        <w:spacing w:line="400" w:lineRule="exact"/>
        <w:ind w:firstLine="480" w:firstLineChars="200"/>
        <w:jc w:val="left"/>
        <w:rPr>
          <w:rFonts w:hint="eastAsia" w:ascii="宋体" w:hAnsi="宋体"/>
          <w:sz w:val="24"/>
        </w:rPr>
      </w:pPr>
      <w:r>
        <w:rPr>
          <w:rFonts w:hint="eastAsia" w:ascii="宋体" w:hAnsi="宋体"/>
          <w:sz w:val="24"/>
          <w:lang w:val="en-US" w:eastAsia="zh-CN"/>
        </w:rPr>
        <w:t>现场踏勘时间：2020年6月10日 9:30</w:t>
      </w:r>
    </w:p>
    <w:p>
      <w:pPr>
        <w:kinsoku w:val="0"/>
        <w:overflowPunct w:val="0"/>
        <w:autoSpaceDE w:val="0"/>
        <w:adjustRightInd w:val="0"/>
        <w:snapToGrid w:val="0"/>
        <w:spacing w:line="400" w:lineRule="exact"/>
        <w:ind w:firstLine="480" w:firstLineChars="200"/>
        <w:jc w:val="left"/>
        <w:rPr>
          <w:rFonts w:hint="eastAsia" w:ascii="宋体" w:hAnsi="宋体"/>
          <w:sz w:val="24"/>
        </w:rPr>
      </w:pPr>
      <w:r>
        <w:rPr>
          <w:rFonts w:hint="eastAsia" w:ascii="宋体" w:hAnsi="宋体"/>
          <w:sz w:val="24"/>
          <w:lang w:val="en-US" w:eastAsia="zh-CN"/>
        </w:rPr>
        <w:t>地点：兰州职业技术学院总校区刘沙公路37号西门</w:t>
      </w:r>
    </w:p>
    <w:p>
      <w:pPr>
        <w:kinsoku w:val="0"/>
        <w:overflowPunct w:val="0"/>
        <w:autoSpaceDE w:val="0"/>
        <w:adjustRightInd w:val="0"/>
        <w:snapToGrid w:val="0"/>
        <w:spacing w:line="400" w:lineRule="exact"/>
        <w:ind w:firstLine="480" w:firstLineChars="200"/>
        <w:jc w:val="left"/>
        <w:rPr>
          <w:rFonts w:hint="eastAsia" w:ascii="宋体" w:hAnsi="宋体"/>
          <w:sz w:val="24"/>
        </w:rPr>
      </w:pPr>
    </w:p>
    <w:p>
      <w:pPr>
        <w:tabs>
          <w:tab w:val="left" w:pos="0"/>
        </w:tabs>
        <w:spacing w:line="400" w:lineRule="exact"/>
        <w:rPr>
          <w:rFonts w:hint="eastAsia" w:ascii="宋体" w:hAnsi="宋体" w:cs="宋体"/>
          <w:sz w:val="24"/>
          <w:szCs w:val="24"/>
        </w:rPr>
      </w:pPr>
    </w:p>
    <w:p>
      <w:pPr>
        <w:tabs>
          <w:tab w:val="left" w:pos="240"/>
        </w:tabs>
        <w:spacing w:line="400" w:lineRule="exact"/>
        <w:ind w:firstLine="480" w:firstLineChars="200"/>
        <w:jc w:val="right"/>
        <w:rPr>
          <w:rFonts w:ascii="宋体" w:hAnsi="宋体" w:cs="宋体"/>
          <w:sz w:val="24"/>
          <w:szCs w:val="24"/>
        </w:rPr>
      </w:pPr>
      <w:r>
        <w:rPr>
          <w:rFonts w:hint="eastAsia" w:ascii="宋体" w:hAnsi="宋体" w:cs="宋体"/>
          <w:sz w:val="24"/>
          <w:szCs w:val="24"/>
        </w:rPr>
        <w:t xml:space="preserve">                                         兰州职业技术学院</w:t>
      </w:r>
    </w:p>
    <w:p>
      <w:pPr>
        <w:tabs>
          <w:tab w:val="left" w:pos="240"/>
        </w:tabs>
        <w:spacing w:line="400" w:lineRule="exact"/>
        <w:ind w:firstLine="480" w:firstLineChars="200"/>
        <w:jc w:val="right"/>
        <w:rPr>
          <w:rFonts w:ascii="宋体" w:hAnsi="宋体" w:cs="宋体"/>
          <w:sz w:val="24"/>
          <w:szCs w:val="24"/>
        </w:rPr>
      </w:pPr>
      <w:r>
        <w:rPr>
          <w:rFonts w:hint="eastAsia" w:ascii="宋体" w:hAnsi="宋体" w:cs="宋体"/>
          <w:sz w:val="24"/>
          <w:szCs w:val="24"/>
        </w:rPr>
        <w:t>国资及产业管理处</w:t>
      </w:r>
    </w:p>
    <w:p>
      <w:pPr>
        <w:tabs>
          <w:tab w:val="left" w:pos="240"/>
        </w:tabs>
        <w:spacing w:line="400" w:lineRule="exact"/>
        <w:ind w:firstLine="420" w:firstLineChars="200"/>
        <w:jc w:val="right"/>
        <w:rPr>
          <w:rFonts w:hint="eastAsia" w:ascii="宋体" w:hAnsi="宋体" w:cs="宋体"/>
          <w:sz w:val="24"/>
          <w:szCs w:val="24"/>
          <w:lang w:val="en-US" w:eastAsia="zh-CN"/>
        </w:rPr>
      </w:pPr>
      <w:r>
        <w:rPr>
          <w:rFonts w:hint="eastAsia"/>
        </w:rPr>
        <w:t xml:space="preserve">                                                     </w:t>
      </w:r>
      <w:bookmarkStart w:id="1" w:name="_Toc128372729"/>
      <w:bookmarkStart w:id="2" w:name="_Toc139965325"/>
      <w:bookmarkStart w:id="3" w:name="_Toc128372051"/>
      <w:bookmarkStart w:id="4" w:name="_Toc240772074"/>
      <w:r>
        <w:rPr>
          <w:rFonts w:hint="eastAsia" w:ascii="宋体" w:hAnsi="宋体" w:cs="宋体"/>
          <w:sz w:val="24"/>
          <w:szCs w:val="24"/>
        </w:rPr>
        <w:t>2020年</w:t>
      </w:r>
      <w:r>
        <w:rPr>
          <w:rFonts w:hint="eastAsia" w:ascii="宋体" w:hAnsi="宋体" w:cs="宋体"/>
          <w:sz w:val="24"/>
          <w:szCs w:val="24"/>
          <w:lang w:val="en-US" w:eastAsia="zh-CN"/>
        </w:rPr>
        <w:t>6</w:t>
      </w:r>
      <w:r>
        <w:rPr>
          <w:rFonts w:hint="eastAsia" w:ascii="宋体" w:hAnsi="宋体" w:cs="宋体"/>
          <w:sz w:val="24"/>
          <w:szCs w:val="24"/>
        </w:rPr>
        <w:t>月</w:t>
      </w:r>
      <w:bookmarkEnd w:id="1"/>
      <w:bookmarkEnd w:id="2"/>
      <w:bookmarkEnd w:id="3"/>
      <w:bookmarkEnd w:id="4"/>
      <w:bookmarkStart w:id="5" w:name="_Toc139965326"/>
      <w:bookmarkStart w:id="6" w:name="_Toc240772075"/>
      <w:bookmarkStart w:id="7" w:name="_Toc128372730"/>
      <w:bookmarkStart w:id="8" w:name="_Toc128372052"/>
      <w:r>
        <w:rPr>
          <w:rFonts w:hint="eastAsia" w:ascii="宋体" w:hAnsi="宋体" w:cs="宋体"/>
          <w:sz w:val="24"/>
          <w:szCs w:val="24"/>
          <w:lang w:val="en-US" w:eastAsia="zh-CN"/>
        </w:rPr>
        <w:t>9</w:t>
      </w:r>
      <w:bookmarkEnd w:id="5"/>
      <w:bookmarkEnd w:id="6"/>
      <w:bookmarkEnd w:id="7"/>
      <w:bookmarkEnd w:id="8"/>
      <w:r>
        <w:rPr>
          <w:rFonts w:hint="eastAsia" w:ascii="宋体" w:hAnsi="宋体" w:cs="宋体"/>
          <w:sz w:val="24"/>
          <w:szCs w:val="24"/>
          <w:lang w:val="en-US" w:eastAsia="zh-CN"/>
        </w:rPr>
        <w:t>日</w:t>
      </w:r>
    </w:p>
    <w:p>
      <w:pPr>
        <w:tabs>
          <w:tab w:val="left" w:pos="240"/>
        </w:tabs>
        <w:spacing w:line="400" w:lineRule="exact"/>
        <w:ind w:firstLine="480" w:firstLineChars="200"/>
        <w:jc w:val="right"/>
        <w:rPr>
          <w:rFonts w:hint="eastAsia" w:ascii="宋体" w:hAnsi="宋体" w:cs="宋体"/>
          <w:sz w:val="24"/>
          <w:szCs w:val="24"/>
          <w:lang w:val="en-US" w:eastAsia="zh-CN"/>
        </w:rPr>
      </w:pPr>
    </w:p>
    <w:p>
      <w:pPr>
        <w:tabs>
          <w:tab w:val="left" w:pos="240"/>
        </w:tabs>
        <w:spacing w:line="400" w:lineRule="exact"/>
        <w:ind w:firstLine="480" w:firstLineChars="200"/>
        <w:jc w:val="right"/>
        <w:rPr>
          <w:rFonts w:hint="eastAsia" w:ascii="宋体" w:hAnsi="宋体" w:cs="宋体"/>
          <w:sz w:val="24"/>
          <w:szCs w:val="24"/>
          <w:lang w:val="en-US" w:eastAsia="zh-CN"/>
        </w:rPr>
      </w:pPr>
    </w:p>
    <w:p>
      <w:pPr>
        <w:tabs>
          <w:tab w:val="left" w:pos="240"/>
        </w:tabs>
        <w:spacing w:line="400" w:lineRule="exact"/>
        <w:ind w:firstLine="480" w:firstLineChars="200"/>
        <w:jc w:val="right"/>
        <w:rPr>
          <w:rFonts w:hint="eastAsia" w:ascii="宋体" w:hAnsi="宋体" w:cs="宋体"/>
          <w:sz w:val="24"/>
          <w:szCs w:val="24"/>
          <w:lang w:val="en-US" w:eastAsia="zh-CN"/>
        </w:rPr>
      </w:pPr>
    </w:p>
    <w:p>
      <w:pPr>
        <w:pStyle w:val="2"/>
        <w:rPr>
          <w:rFonts w:cs="宋体"/>
          <w:b/>
          <w:bCs w:val="0"/>
        </w:rPr>
      </w:pPr>
      <w:r>
        <w:rPr>
          <w:rFonts w:hint="eastAsia" w:cs="宋体"/>
          <w:b/>
          <w:bCs w:val="0"/>
        </w:rPr>
        <w:t>磋商须知前附表</w:t>
      </w:r>
    </w:p>
    <w:tbl>
      <w:tblPr>
        <w:tblStyle w:val="17"/>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sz w:val="32"/>
                <w:szCs w:val="32"/>
              </w:rPr>
            </w:pPr>
            <w:r>
              <w:rPr>
                <w:rFonts w:hint="eastAsia" w:ascii="宋体" w:hAnsi="宋体" w:cs="宋体"/>
                <w:b/>
                <w:sz w:val="24"/>
                <w:szCs w:val="24"/>
              </w:rPr>
              <w:t>序号</w:t>
            </w:r>
          </w:p>
        </w:tc>
        <w:tc>
          <w:tcPr>
            <w:tcW w:w="8792" w:type="dxa"/>
            <w:vAlign w:val="center"/>
          </w:tcPr>
          <w:p>
            <w:pPr>
              <w:pStyle w:val="2"/>
              <w:rPr>
                <w:rFonts w:cs="宋体"/>
                <w:b/>
              </w:rPr>
            </w:pPr>
            <w:r>
              <w:rPr>
                <w:rFonts w:hint="eastAsia" w:cs="宋体"/>
                <w:b/>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93" w:hRule="exact"/>
        </w:trPr>
        <w:tc>
          <w:tcPr>
            <w:tcW w:w="722" w:type="dxa"/>
            <w:vAlign w:val="center"/>
          </w:tcPr>
          <w:p>
            <w:pPr>
              <w:numPr>
                <w:ilvl w:val="0"/>
                <w:numId w:val="2"/>
              </w:numPr>
              <w:spacing w:line="360" w:lineRule="auto"/>
              <w:ind w:firstLine="280" w:firstLineChars="117"/>
              <w:rPr>
                <w:rFonts w:ascii="宋体" w:hAnsi="宋体" w:cs="宋体"/>
                <w:sz w:val="24"/>
                <w:szCs w:val="24"/>
              </w:rPr>
            </w:pPr>
          </w:p>
        </w:tc>
        <w:tc>
          <w:tcPr>
            <w:tcW w:w="8792" w:type="dxa"/>
            <w:vAlign w:val="center"/>
          </w:tcPr>
          <w:p>
            <w:pPr>
              <w:spacing w:line="460" w:lineRule="exact"/>
              <w:ind w:left="3359" w:leftChars="228" w:hanging="2880" w:hangingChars="1200"/>
              <w:jc w:val="left"/>
              <w:rPr>
                <w:rFonts w:hint="eastAsia" w:ascii="宋体" w:hAnsi="宋体" w:eastAsia="宋体" w:cs="宋体"/>
                <w:sz w:val="24"/>
                <w:szCs w:val="24"/>
                <w:lang w:eastAsia="zh-CN"/>
              </w:rPr>
            </w:pPr>
            <w:r>
              <w:rPr>
                <w:rFonts w:hint="eastAsia" w:ascii="宋体" w:hAnsi="宋体" w:cs="宋体"/>
                <w:sz w:val="24"/>
                <w:szCs w:val="24"/>
              </w:rPr>
              <w:t>综合说明：1）项目名称: 兰州职业技术学院实训大楼地下车库车辆管理及治安视频监控系统项目</w:t>
            </w:r>
            <w:r>
              <w:rPr>
                <w:rFonts w:hint="eastAsia" w:ascii="宋体" w:hAnsi="宋体" w:cs="宋体"/>
                <w:sz w:val="24"/>
                <w:szCs w:val="24"/>
                <w:lang w:val="en-US" w:eastAsia="zh-CN"/>
              </w:rPr>
              <w:t xml:space="preserve"> </w:t>
            </w:r>
          </w:p>
          <w:p>
            <w:pPr>
              <w:spacing w:line="340" w:lineRule="exact"/>
              <w:rPr>
                <w:rFonts w:ascii="宋体" w:hAnsi="宋体" w:cs="宋体"/>
                <w:sz w:val="24"/>
                <w:szCs w:val="24"/>
              </w:rPr>
            </w:pPr>
            <w:r>
              <w:rPr>
                <w:rFonts w:hint="eastAsia" w:ascii="宋体" w:hAnsi="宋体" w:cs="宋体"/>
                <w:sz w:val="24"/>
                <w:szCs w:val="24"/>
              </w:rPr>
              <w:t xml:space="preserve">              2）</w:t>
            </w:r>
            <w:r>
              <w:rPr>
                <w:rFonts w:hint="eastAsia" w:ascii="宋体" w:hAnsi="宋体" w:cs="宋体"/>
                <w:sz w:val="24"/>
                <w:szCs w:val="24"/>
                <w:lang w:eastAsia="zh-CN"/>
              </w:rPr>
              <w:t>交货</w:t>
            </w:r>
            <w:r>
              <w:rPr>
                <w:rFonts w:hint="eastAsia" w:ascii="宋体" w:hAnsi="宋体" w:cs="宋体"/>
                <w:sz w:val="24"/>
                <w:szCs w:val="24"/>
              </w:rPr>
              <w:t>时间：</w:t>
            </w:r>
            <w:r>
              <w:rPr>
                <w:rFonts w:hint="eastAsia" w:ascii="宋体" w:hAnsi="宋体" w:cs="宋体"/>
                <w:color w:val="000000" w:themeColor="text1"/>
                <w:sz w:val="24"/>
                <w:szCs w:val="24"/>
                <w14:textFill>
                  <w14:solidFill>
                    <w14:schemeClr w14:val="tx1"/>
                  </w14:solidFill>
                </w14:textFill>
              </w:rPr>
              <w:t>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2"/>
              </w:numPr>
              <w:spacing w:line="360" w:lineRule="auto"/>
              <w:ind w:firstLine="280" w:firstLineChars="117"/>
              <w:rPr>
                <w:rFonts w:ascii="宋体" w:hAnsi="宋体" w:cs="宋体"/>
                <w:sz w:val="24"/>
                <w:szCs w:val="24"/>
              </w:rPr>
            </w:pPr>
          </w:p>
        </w:tc>
        <w:tc>
          <w:tcPr>
            <w:tcW w:w="8792" w:type="dxa"/>
            <w:vAlign w:val="center"/>
          </w:tcPr>
          <w:p>
            <w:pPr>
              <w:spacing w:line="360" w:lineRule="exact"/>
              <w:rPr>
                <w:rFonts w:ascii="宋体" w:hAnsi="宋体"/>
                <w:sz w:val="24"/>
              </w:rPr>
            </w:pPr>
            <w:r>
              <w:rPr>
                <w:rFonts w:hint="eastAsia" w:ascii="宋体" w:hAnsi="宋体" w:cs="宋体"/>
                <w:sz w:val="24"/>
                <w:szCs w:val="24"/>
              </w:rPr>
              <w:t>需方：</w:t>
            </w:r>
            <w:r>
              <w:rPr>
                <w:rFonts w:hint="eastAsia" w:ascii="宋体" w:hAnsi="宋体" w:cs="宋体"/>
                <w:bCs/>
                <w:sz w:val="24"/>
              </w:rPr>
              <w:t>兰州职业技术学院</w:t>
            </w:r>
            <w:r>
              <w:rPr>
                <w:rFonts w:hint="eastAsia" w:ascii="宋体" w:hAnsi="宋体" w:cs="宋体"/>
                <w:sz w:val="24"/>
                <w:szCs w:val="24"/>
              </w:rPr>
              <w:t xml:space="preserve">   </w:t>
            </w:r>
          </w:p>
          <w:p>
            <w:pPr>
              <w:spacing w:line="400" w:lineRule="exact"/>
              <w:rPr>
                <w:rFonts w:hint="default" w:ascii="宋体" w:hAnsi="宋体" w:eastAsia="宋体"/>
                <w:sz w:val="24"/>
                <w:lang w:val="en-US" w:eastAsia="zh-CN"/>
              </w:rPr>
            </w:pPr>
            <w:r>
              <w:rPr>
                <w:rFonts w:hint="eastAsia" w:ascii="宋体" w:hAnsi="宋体"/>
                <w:sz w:val="24"/>
              </w:rPr>
              <w:t xml:space="preserve">      联系人：</w:t>
            </w:r>
            <w:r>
              <w:rPr>
                <w:rFonts w:hint="eastAsia" w:ascii="宋体" w:hAnsi="宋体" w:cs="宋体"/>
                <w:bCs/>
                <w:color w:val="000000" w:themeColor="text1"/>
                <w:sz w:val="24"/>
                <w:lang w:eastAsia="zh-CN"/>
                <w14:textFill>
                  <w14:solidFill>
                    <w14:schemeClr w14:val="tx1"/>
                  </w14:solidFill>
                </w14:textFill>
              </w:rPr>
              <w:t>吴骁</w:t>
            </w:r>
            <w:r>
              <w:rPr>
                <w:rFonts w:hint="eastAsia" w:ascii="宋体" w:hAnsi="宋体" w:cs="宋体"/>
                <w:bCs/>
                <w:color w:val="000000" w:themeColor="text1"/>
                <w:sz w:val="24"/>
                <w14:textFill>
                  <w14:solidFill>
                    <w14:schemeClr w14:val="tx1"/>
                  </w14:solidFill>
                </w14:textFill>
              </w:rPr>
              <w:t xml:space="preserve">    电  话:</w:t>
            </w:r>
            <w:r>
              <w:rPr>
                <w:rFonts w:hint="eastAsia" w:ascii="宋体" w:hAnsi="宋体" w:cs="宋体"/>
                <w:bCs/>
                <w:color w:val="000000" w:themeColor="text1"/>
                <w:sz w:val="24"/>
                <w:lang w:val="en-US" w:eastAsia="zh-CN"/>
                <w14:textFill>
                  <w14:solidFill>
                    <w14:schemeClr w14:val="tx1"/>
                  </w14:solidFill>
                </w14:textFill>
              </w:rPr>
              <w:t>1360937575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2"/>
              </w:numPr>
              <w:spacing w:line="360" w:lineRule="auto"/>
              <w:ind w:firstLine="280" w:firstLineChars="117"/>
              <w:rPr>
                <w:rFonts w:ascii="宋体" w:hAnsi="宋体" w:cs="宋体"/>
                <w:sz w:val="24"/>
                <w:szCs w:val="24"/>
              </w:rPr>
            </w:pPr>
          </w:p>
        </w:tc>
        <w:tc>
          <w:tcPr>
            <w:tcW w:w="8792" w:type="dxa"/>
            <w:vAlign w:val="center"/>
          </w:tcPr>
          <w:p>
            <w:pPr>
              <w:spacing w:line="340" w:lineRule="exact"/>
              <w:rPr>
                <w:rFonts w:ascii="宋体" w:hAnsi="宋体" w:cs="宋体"/>
                <w:sz w:val="24"/>
                <w:szCs w:val="24"/>
              </w:rPr>
            </w:pPr>
            <w:r>
              <w:rPr>
                <w:rFonts w:hint="eastAsia" w:ascii="宋体" w:hAnsi="宋体" w:cs="宋体"/>
                <w:sz w:val="24"/>
                <w:szCs w:val="24"/>
              </w:rPr>
              <w:t>使用单位名称：兰州职业技术学院</w:t>
            </w:r>
            <w:r>
              <w:rPr>
                <w:rFonts w:hint="eastAsia" w:ascii="宋体" w:hAnsi="宋体" w:cs="宋体"/>
                <w:sz w:val="24"/>
                <w:szCs w:val="24"/>
                <w:lang w:eastAsia="zh-CN"/>
              </w:rPr>
              <w:t>保卫</w:t>
            </w:r>
            <w:r>
              <w:rPr>
                <w:rFonts w:hint="eastAsia" w:ascii="宋体" w:hAnsi="宋体" w:cs="宋体"/>
                <w:sz w:val="24"/>
                <w:szCs w:val="24"/>
              </w:rPr>
              <w:t>处</w:t>
            </w:r>
          </w:p>
          <w:p>
            <w:pPr>
              <w:spacing w:line="340" w:lineRule="exact"/>
              <w:ind w:firstLine="960" w:firstLineChars="400"/>
              <w:rPr>
                <w:rFonts w:hint="default" w:ascii="宋体" w:hAnsi="宋体" w:eastAsia="宋体" w:cs="宋体"/>
                <w:color w:val="FF0000"/>
                <w:sz w:val="24"/>
                <w:szCs w:val="24"/>
                <w:lang w:val="en-US" w:eastAsia="zh-CN"/>
              </w:rPr>
            </w:pPr>
            <w:r>
              <w:rPr>
                <w:rFonts w:hint="eastAsia" w:ascii="宋体" w:hAnsi="宋体" w:cs="宋体"/>
                <w:sz w:val="24"/>
                <w:szCs w:val="24"/>
              </w:rPr>
              <w:t>项目经办人：</w:t>
            </w:r>
            <w:r>
              <w:rPr>
                <w:rFonts w:hint="eastAsia" w:ascii="宋体" w:hAnsi="宋体" w:cs="宋体"/>
                <w:sz w:val="24"/>
                <w:szCs w:val="24"/>
                <w:lang w:eastAsia="zh-CN"/>
              </w:rPr>
              <w:t>马志刚</w:t>
            </w:r>
          </w:p>
          <w:p>
            <w:pPr>
              <w:spacing w:line="340" w:lineRule="exact"/>
              <w:ind w:firstLine="960" w:firstLineChars="400"/>
              <w:rPr>
                <w:rFonts w:hint="default" w:ascii="宋体" w:hAnsi="宋体" w:eastAsia="宋体" w:cs="宋体"/>
                <w:sz w:val="24"/>
                <w:szCs w:val="24"/>
                <w:lang w:val="en-US" w:eastAsia="zh-CN"/>
              </w:rPr>
            </w:pPr>
            <w:r>
              <w:rPr>
                <w:rFonts w:hint="eastAsia" w:ascii="宋体" w:hAnsi="宋体" w:cs="宋体"/>
                <w:sz w:val="24"/>
                <w:szCs w:val="24"/>
              </w:rPr>
              <w:t>联系电话：</w:t>
            </w:r>
            <w:r>
              <w:rPr>
                <w:rFonts w:hint="eastAsia" w:ascii="宋体" w:hAnsi="宋体" w:cs="宋体"/>
                <w:sz w:val="24"/>
                <w:szCs w:val="24"/>
                <w:lang w:val="en-US" w:eastAsia="zh-CN"/>
              </w:rPr>
              <w:t>13993133668</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128" w:hRule="atLeast"/>
        </w:trPr>
        <w:tc>
          <w:tcPr>
            <w:tcW w:w="722" w:type="dxa"/>
            <w:vAlign w:val="center"/>
          </w:tcPr>
          <w:p>
            <w:pPr>
              <w:numPr>
                <w:ilvl w:val="0"/>
                <w:numId w:val="2"/>
              </w:numPr>
              <w:spacing w:line="360" w:lineRule="auto"/>
              <w:ind w:firstLine="280" w:firstLineChars="117"/>
              <w:rPr>
                <w:rFonts w:ascii="宋体" w:hAnsi="宋体" w:cs="宋体"/>
                <w:sz w:val="24"/>
                <w:szCs w:val="24"/>
              </w:rPr>
            </w:pPr>
          </w:p>
        </w:tc>
        <w:tc>
          <w:tcPr>
            <w:tcW w:w="8792" w:type="dxa"/>
            <w:vAlign w:val="center"/>
          </w:tcPr>
          <w:p>
            <w:pPr>
              <w:spacing w:line="360" w:lineRule="exact"/>
              <w:rPr>
                <w:rFonts w:ascii="宋体" w:hAnsi="宋体" w:cs="宋体"/>
                <w:kern w:val="0"/>
                <w:sz w:val="24"/>
              </w:rPr>
            </w:pPr>
            <w:r>
              <w:rPr>
                <w:rFonts w:hint="eastAsia" w:ascii="宋体" w:hAnsi="宋体" w:cs="宋体"/>
                <w:kern w:val="0"/>
                <w:sz w:val="24"/>
              </w:rPr>
              <w:t>供应商资质文件要求：</w:t>
            </w:r>
          </w:p>
          <w:p>
            <w:pPr>
              <w:spacing w:line="360" w:lineRule="exact"/>
              <w:ind w:firstLine="480" w:firstLineChars="200"/>
              <w:rPr>
                <w:rFonts w:ascii="宋体" w:hAnsi="宋体" w:cs="宋体"/>
                <w:kern w:val="0"/>
                <w:sz w:val="24"/>
              </w:rPr>
            </w:pPr>
            <w:r>
              <w:rPr>
                <w:rFonts w:hint="eastAsia" w:ascii="宋体" w:hAnsi="宋体" w:cs="宋体"/>
                <w:kern w:val="0"/>
                <w:sz w:val="24"/>
              </w:rPr>
              <w:t>1）营业执照副本（复印件）；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2）法人代表身份证（正、反面复印件）；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3）法人授权函（原件）及被授权人身份证（正、反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4）2018年度以来最新的经权威机构审计的完整的财务报告（复印件）（不满一年的新公司不提供该报告）；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rPr>
              <w:t>5）</w:t>
            </w:r>
            <w:r>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kern w:val="0"/>
                <w:sz w:val="24"/>
              </w:rPr>
              <w:t>；</w:t>
            </w:r>
          </w:p>
          <w:p>
            <w:pPr>
              <w:spacing w:line="360" w:lineRule="exact"/>
              <w:ind w:firstLine="480" w:firstLineChars="200"/>
              <w:rPr>
                <w:rFonts w:ascii="宋体" w:hAnsi="宋体" w:cs="宋体"/>
                <w:kern w:val="0"/>
                <w:sz w:val="24"/>
              </w:rPr>
            </w:pPr>
            <w:r>
              <w:rPr>
                <w:rFonts w:hint="eastAsia" w:ascii="宋体" w:hAnsi="宋体" w:cs="宋体"/>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sz w:val="24"/>
                <w:szCs w:val="24"/>
              </w:rPr>
            </w:pPr>
            <w:r>
              <w:rPr>
                <w:rFonts w:hint="eastAsia" w:ascii="宋体" w:hAnsi="宋体" w:cs="宋体"/>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r>
              <w:rPr>
                <w:rFonts w:hint="eastAsia"/>
              </w:rPr>
              <w:t xml:space="preserve">  5</w:t>
            </w:r>
          </w:p>
          <w:p>
            <w:pPr>
              <w:numPr>
                <w:ilvl w:val="0"/>
                <w:numId w:val="3"/>
              </w:numPr>
              <w:spacing w:line="360" w:lineRule="auto"/>
              <w:ind w:firstLine="280" w:firstLineChars="117"/>
              <w:rPr>
                <w:rFonts w:ascii="宋体" w:hAnsi="宋体" w:cs="宋体"/>
                <w:sz w:val="24"/>
                <w:szCs w:val="24"/>
              </w:rPr>
            </w:pPr>
          </w:p>
        </w:tc>
        <w:tc>
          <w:tcPr>
            <w:tcW w:w="8792" w:type="dxa"/>
            <w:vAlign w:val="center"/>
          </w:tcPr>
          <w:p>
            <w:pPr>
              <w:spacing w:line="360" w:lineRule="auto"/>
              <w:rPr>
                <w:rFonts w:ascii="宋体" w:hAnsi="宋体" w:cs="宋体"/>
                <w:sz w:val="24"/>
                <w:szCs w:val="24"/>
              </w:rPr>
            </w:pPr>
            <w:r>
              <w:rPr>
                <w:rFonts w:hint="eastAsia" w:ascii="宋体" w:hAnsi="宋体" w:cs="宋体"/>
                <w:sz w:val="24"/>
                <w:szCs w:val="24"/>
              </w:rPr>
              <w:t>磋商有效期：</w:t>
            </w:r>
            <w:r>
              <w:rPr>
                <w:rFonts w:hint="eastAsia" w:ascii="宋体" w:hAnsi="宋体" w:cs="宋体"/>
                <w:sz w:val="24"/>
                <w:szCs w:val="24"/>
                <w:u w:val="single"/>
              </w:rPr>
              <w:t xml:space="preserve"> 90 </w:t>
            </w:r>
            <w:r>
              <w:rPr>
                <w:rFonts w:hint="eastAsia" w:ascii="宋体" w:hAnsi="宋体" w:cs="宋体"/>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3"/>
              </w:numPr>
              <w:spacing w:line="360" w:lineRule="auto"/>
              <w:ind w:firstLine="280" w:firstLineChars="117"/>
              <w:rPr>
                <w:rFonts w:ascii="宋体" w:hAnsi="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r>
                              <w:rPr>
                                <w:rFonts w:hint="eastAsia"/>
                              </w:rPr>
                              <w:t>6</w:t>
                            </w:r>
                          </w:p>
                        </w:txbxContent>
                      </v:textbox>
                    </v:shape>
                  </w:pict>
                </mc:Fallback>
              </mc:AlternateContent>
            </w:r>
          </w:p>
        </w:tc>
        <w:tc>
          <w:tcPr>
            <w:tcW w:w="8792" w:type="dxa"/>
            <w:vAlign w:val="center"/>
          </w:tcPr>
          <w:p>
            <w:pPr>
              <w:spacing w:line="400" w:lineRule="exact"/>
              <w:rPr>
                <w:rFonts w:ascii="宋体" w:hAnsi="宋体" w:cs="宋体"/>
                <w:sz w:val="24"/>
                <w:szCs w:val="24"/>
              </w:rPr>
            </w:pPr>
            <w:r>
              <w:rPr>
                <w:rFonts w:hint="eastAsia" w:ascii="宋体" w:hAnsi="宋体" w:cs="宋体"/>
                <w:sz w:val="24"/>
                <w:szCs w:val="24"/>
              </w:rPr>
              <w:t>磋商响应性文件份数：</w:t>
            </w:r>
          </w:p>
          <w:p>
            <w:pPr>
              <w:spacing w:line="400" w:lineRule="exact"/>
              <w:ind w:left="120" w:leftChars="57" w:firstLine="360" w:firstLineChars="150"/>
              <w:rPr>
                <w:rFonts w:ascii="宋体" w:hAnsi="宋体" w:cs="宋体"/>
                <w:sz w:val="24"/>
                <w:szCs w:val="24"/>
              </w:rPr>
            </w:pPr>
            <w:r>
              <w:rPr>
                <w:rFonts w:hint="eastAsia" w:ascii="宋体" w:hAnsi="宋体" w:cs="宋体"/>
                <w:sz w:val="24"/>
                <w:szCs w:val="24"/>
              </w:rPr>
              <w:t>磋商响应性文件为正本一份副本两份，U盘电子版PDF版本一份，装袋密封并签章。未按该要求制作磋商响应性文件的，磋商响应性文件将被拒绝，磋商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3"/>
              </w:numPr>
              <w:spacing w:line="360" w:lineRule="auto"/>
              <w:ind w:firstLine="280" w:firstLineChars="117"/>
              <w:rPr>
                <w:rFonts w:ascii="宋体" w:hAnsi="宋体" w:cs="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r>
                              <w:rPr>
                                <w:rFonts w:hint="eastAsia"/>
                              </w:rPr>
                              <w:t>7</w:t>
                            </w:r>
                          </w:p>
                        </w:txbxContent>
                      </v:textbox>
                    </v:shape>
                  </w:pict>
                </mc:Fallback>
              </mc:AlternateContent>
            </w:r>
          </w:p>
        </w:tc>
        <w:tc>
          <w:tcPr>
            <w:tcW w:w="8792" w:type="dxa"/>
            <w:vAlign w:val="center"/>
          </w:tcPr>
          <w:p>
            <w:pPr>
              <w:spacing w:line="360" w:lineRule="auto"/>
              <w:rPr>
                <w:rFonts w:ascii="宋体" w:hAnsi="宋体" w:cs="宋体"/>
                <w:sz w:val="24"/>
                <w:szCs w:val="24"/>
              </w:rPr>
            </w:pPr>
            <w:r>
              <w:rPr>
                <w:rFonts w:hint="eastAsia" w:ascii="宋体" w:hAnsi="宋体" w:cs="宋体"/>
                <w:sz w:val="24"/>
                <w:szCs w:val="24"/>
              </w:rPr>
              <w:t>该采购项目不收取任何服务费用。</w:t>
            </w:r>
          </w:p>
        </w:tc>
      </w:tr>
    </w:tbl>
    <w:p>
      <w:pPr>
        <w:pStyle w:val="2"/>
        <w:jc w:val="both"/>
        <w:rPr>
          <w:rFonts w:cs="宋体"/>
          <w:b/>
          <w:bCs w:val="0"/>
        </w:rPr>
      </w:pPr>
    </w:p>
    <w:p>
      <w:pPr>
        <w:pStyle w:val="2"/>
        <w:rPr>
          <w:rFonts w:cs="宋体"/>
          <w:b/>
          <w:bCs w:val="0"/>
        </w:rPr>
      </w:pPr>
      <w:r>
        <w:rPr>
          <w:rFonts w:hint="eastAsia" w:cs="宋体"/>
          <w:b/>
          <w:bCs w:val="0"/>
        </w:rPr>
        <w:t>1、总  则</w:t>
      </w:r>
    </w:p>
    <w:p>
      <w:pPr>
        <w:pStyle w:val="3"/>
        <w:ind w:firstLine="482" w:firstLineChars="200"/>
        <w:jc w:val="both"/>
        <w:rPr>
          <w:rFonts w:ascii="宋体" w:hAnsi="宋体" w:cs="宋体"/>
          <w:sz w:val="24"/>
          <w:szCs w:val="24"/>
        </w:rPr>
      </w:pPr>
      <w:bookmarkStart w:id="9" w:name="_Toc240772076"/>
      <w:r>
        <w:rPr>
          <w:rFonts w:hint="eastAsia" w:ascii="宋体" w:hAnsi="宋体" w:cs="宋体"/>
          <w:sz w:val="24"/>
          <w:szCs w:val="24"/>
        </w:rPr>
        <w:t>1.1 磋商通知书涉及术语的内涵及解释</w:t>
      </w:r>
      <w:bookmarkEnd w:id="9"/>
    </w:p>
    <w:p>
      <w:pPr>
        <w:spacing w:line="360" w:lineRule="auto"/>
        <w:ind w:firstLine="480" w:firstLineChars="200"/>
        <w:rPr>
          <w:rFonts w:ascii="宋体" w:hAnsi="宋体" w:cs="宋体"/>
          <w:sz w:val="24"/>
          <w:szCs w:val="24"/>
        </w:rPr>
      </w:pPr>
      <w:r>
        <w:rPr>
          <w:rFonts w:hint="eastAsia" w:ascii="宋体" w:hAnsi="宋体" w:cs="宋体"/>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sz w:val="24"/>
        </w:rPr>
        <w:t>“需方”</w:t>
      </w:r>
      <w:r>
        <w:rPr>
          <w:rFonts w:hint="eastAsia" w:ascii="宋体" w:hAnsi="宋体" w:cs="宋体"/>
          <w:sz w:val="24"/>
          <w:szCs w:val="24"/>
        </w:rPr>
        <w:t>是指</w:t>
      </w:r>
      <w:r>
        <w:rPr>
          <w:rFonts w:hint="eastAsia" w:ascii="宋体" w:hAnsi="宋体" w:cs="宋体"/>
          <w:bCs/>
          <w:sz w:val="24"/>
        </w:rPr>
        <w:t>兰州职业技术学院</w:t>
      </w:r>
      <w:r>
        <w:rPr>
          <w:rFonts w:hint="eastAsia" w:ascii="宋体" w:hAnsi="宋体" w:cs="宋体"/>
          <w:sz w:val="24"/>
        </w:rPr>
        <w:t>。</w:t>
      </w:r>
    </w:p>
    <w:p>
      <w:pPr>
        <w:spacing w:line="360" w:lineRule="auto"/>
        <w:ind w:firstLine="480" w:firstLineChars="200"/>
        <w:rPr>
          <w:rFonts w:ascii="宋体" w:hAnsi="宋体" w:cs="宋体"/>
          <w:sz w:val="24"/>
          <w:szCs w:val="24"/>
        </w:rPr>
      </w:pPr>
      <w:r>
        <w:rPr>
          <w:rFonts w:hint="eastAsia" w:ascii="宋体" w:hAnsi="宋体" w:cs="宋体"/>
          <w:sz w:val="24"/>
          <w:szCs w:val="24"/>
        </w:rPr>
        <w:t>3)“供应商”是指向本次提交磋商响应性文件的供应商。</w:t>
      </w:r>
    </w:p>
    <w:p>
      <w:pPr>
        <w:spacing w:line="360" w:lineRule="auto"/>
        <w:ind w:firstLine="480" w:firstLineChars="200"/>
        <w:rPr>
          <w:rFonts w:ascii="宋体" w:hAnsi="宋体" w:cs="宋体"/>
          <w:sz w:val="24"/>
          <w:szCs w:val="24"/>
        </w:rPr>
      </w:pPr>
      <w:r>
        <w:rPr>
          <w:rFonts w:hint="eastAsia" w:ascii="宋体" w:hAnsi="宋体" w:cs="宋体"/>
          <w:sz w:val="24"/>
          <w:szCs w:val="24"/>
        </w:rPr>
        <w:t>4)“供方”是指与需方签订合同的成交供应商。</w:t>
      </w:r>
    </w:p>
    <w:p>
      <w:pPr>
        <w:spacing w:line="360" w:lineRule="auto"/>
        <w:ind w:firstLine="480" w:firstLineChars="200"/>
        <w:rPr>
          <w:rFonts w:ascii="宋体" w:hAnsi="宋体" w:cs="宋体"/>
          <w:sz w:val="24"/>
          <w:szCs w:val="24"/>
        </w:rPr>
      </w:pPr>
      <w:r>
        <w:rPr>
          <w:rFonts w:hint="eastAsia" w:ascii="宋体" w:hAnsi="宋体" w:cs="宋体"/>
          <w:sz w:val="24"/>
          <w:szCs w:val="24"/>
        </w:rPr>
        <w:t>6)“磋商通知书”是指由需方发出的文本、文件，包括全部章节和附件及答疑会议纪要。</w:t>
      </w:r>
    </w:p>
    <w:p>
      <w:pPr>
        <w:spacing w:line="360" w:lineRule="auto"/>
        <w:ind w:firstLine="480" w:firstLineChars="200"/>
        <w:rPr>
          <w:rFonts w:ascii="宋体" w:hAnsi="宋体" w:cs="宋体"/>
          <w:sz w:val="24"/>
          <w:szCs w:val="24"/>
        </w:rPr>
      </w:pPr>
      <w:r>
        <w:rPr>
          <w:rFonts w:hint="eastAsia" w:ascii="宋体" w:hAnsi="宋体" w:cs="宋体"/>
          <w:sz w:val="24"/>
          <w:szCs w:val="24"/>
        </w:rPr>
        <w:t>7)“磋商响应性文件”是指供应商根据本磋商通知书向需方提交的全部响应性文件。</w:t>
      </w:r>
    </w:p>
    <w:p>
      <w:pPr>
        <w:spacing w:line="360" w:lineRule="auto"/>
        <w:ind w:firstLine="480" w:firstLineChars="200"/>
        <w:rPr>
          <w:rFonts w:ascii="宋体" w:hAnsi="宋体" w:cs="宋体"/>
          <w:sz w:val="24"/>
          <w:szCs w:val="24"/>
        </w:rPr>
      </w:pPr>
      <w:r>
        <w:rPr>
          <w:rFonts w:hint="eastAsia" w:ascii="宋体" w:hAnsi="宋体" w:cs="宋体"/>
          <w:sz w:val="24"/>
          <w:szCs w:val="24"/>
        </w:rPr>
        <w:t>8) “货物”是指供方根据磋商通知书和合同的规定须向需方提供的各种形态和种类的物品，包括原材料、燃料、设备、文件等。</w:t>
      </w:r>
    </w:p>
    <w:p>
      <w:pPr>
        <w:spacing w:line="360" w:lineRule="auto"/>
        <w:ind w:firstLine="480" w:firstLineChars="200"/>
        <w:rPr>
          <w:rFonts w:ascii="宋体" w:hAnsi="宋体" w:cs="宋体"/>
          <w:sz w:val="24"/>
          <w:szCs w:val="24"/>
        </w:rPr>
      </w:pPr>
      <w:r>
        <w:rPr>
          <w:rFonts w:hint="eastAsia" w:ascii="宋体" w:hAnsi="宋体" w:cs="宋体"/>
          <w:sz w:val="24"/>
          <w:szCs w:val="24"/>
        </w:rPr>
        <w:t>9)“安装”是指供方按磋商通知书和合同的规定在项目现场所进行的安装、调试、检验、验收及修补缺陷等内容。供方应对所有现场作业、所有全部安装的完备性、稳定性和安全性负责。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sz w:val="24"/>
          <w:szCs w:val="24"/>
        </w:rPr>
      </w:pPr>
      <w:r>
        <w:rPr>
          <w:rFonts w:hint="eastAsia" w:ascii="宋体" w:hAnsi="宋体" w:cs="宋体"/>
          <w:sz w:val="24"/>
          <w:szCs w:val="24"/>
        </w:rPr>
        <w:t>10)“服务”是指供方根据磋商通知书和合同的规定承担与供货、安装有关的服务，包括运输、仓储、保险以及其它的伴随服务，如售后、维修、更换和应承担的其它义务。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sz w:val="24"/>
          <w:szCs w:val="24"/>
        </w:rPr>
      </w:pPr>
      <w:bookmarkStart w:id="10" w:name="_Toc139965332"/>
      <w:bookmarkStart w:id="11" w:name="_Toc128372058"/>
      <w:bookmarkStart w:id="12" w:name="_Toc128372736"/>
      <w:bookmarkStart w:id="13" w:name="_Toc240772077"/>
      <w:r>
        <w:rPr>
          <w:rFonts w:hint="eastAsia" w:ascii="宋体" w:hAnsi="宋体" w:cs="宋体"/>
          <w:sz w:val="24"/>
          <w:szCs w:val="24"/>
        </w:rPr>
        <w:t>11）“工程”是指供方按照谈判文件和合同的规定承担与施工、安装有关等内容。</w:t>
      </w:r>
    </w:p>
    <w:p>
      <w:pPr>
        <w:spacing w:line="360" w:lineRule="auto"/>
        <w:ind w:firstLine="480" w:firstLineChars="200"/>
        <w:rPr>
          <w:rFonts w:ascii="宋体" w:hAnsi="宋体" w:cs="宋体"/>
          <w:sz w:val="32"/>
          <w:szCs w:val="32"/>
        </w:rPr>
      </w:pPr>
      <w:r>
        <w:rPr>
          <w:rFonts w:hint="eastAsia" w:ascii="宋体" w:hAnsi="宋体" w:cs="宋体"/>
          <w:sz w:val="24"/>
          <w:szCs w:val="24"/>
        </w:rPr>
        <w:t>12)“书面形式”是指任何手写、打印或印刷的各种函件，不包括电传、电报、传真、电子邮件。</w:t>
      </w:r>
      <w:bookmarkStart w:id="14" w:name="_Toc128372732"/>
      <w:bookmarkStart w:id="15" w:name="_Toc128372054"/>
      <w:bookmarkStart w:id="16" w:name="_Toc139965328"/>
    </w:p>
    <w:bookmarkEnd w:id="14"/>
    <w:bookmarkEnd w:id="15"/>
    <w:bookmarkEnd w:id="16"/>
    <w:p/>
    <w:p>
      <w:pPr>
        <w:pStyle w:val="2"/>
        <w:ind w:firstLine="2544" w:firstLineChars="792"/>
        <w:jc w:val="both"/>
        <w:rPr>
          <w:rFonts w:cs="宋体"/>
          <w:b/>
          <w:bCs w:val="0"/>
        </w:rPr>
      </w:pPr>
    </w:p>
    <w:p>
      <w:pPr>
        <w:rPr>
          <w:rFonts w:cs="宋体"/>
          <w:b/>
          <w:bCs/>
        </w:rPr>
      </w:pPr>
    </w:p>
    <w:p/>
    <w:p>
      <w:pPr>
        <w:pStyle w:val="2"/>
        <w:ind w:firstLine="2544" w:firstLineChars="792"/>
        <w:jc w:val="both"/>
        <w:rPr>
          <w:rFonts w:cs="宋体"/>
          <w:b/>
          <w:bCs w:val="0"/>
        </w:rPr>
      </w:pPr>
      <w:r>
        <w:rPr>
          <w:rFonts w:hint="eastAsia" w:cs="宋体"/>
          <w:b/>
          <w:bCs w:val="0"/>
        </w:rPr>
        <w:t xml:space="preserve">   2、</w:t>
      </w:r>
      <w:bookmarkEnd w:id="10"/>
      <w:bookmarkEnd w:id="11"/>
      <w:bookmarkEnd w:id="12"/>
      <w:r>
        <w:rPr>
          <w:rFonts w:hint="eastAsia" w:cs="宋体"/>
          <w:b/>
          <w:bCs w:val="0"/>
        </w:rPr>
        <w:t>磋商须知</w:t>
      </w:r>
      <w:bookmarkEnd w:id="13"/>
    </w:p>
    <w:p>
      <w:pPr>
        <w:pStyle w:val="3"/>
        <w:spacing w:before="0" w:after="0"/>
        <w:ind w:firstLine="482" w:firstLineChars="200"/>
        <w:jc w:val="both"/>
        <w:rPr>
          <w:rFonts w:ascii="宋体" w:hAnsi="宋体" w:cs="宋体"/>
          <w:sz w:val="24"/>
          <w:szCs w:val="24"/>
        </w:rPr>
      </w:pPr>
      <w:bookmarkStart w:id="17" w:name="_Toc240772078"/>
      <w:r>
        <w:rPr>
          <w:rFonts w:hint="eastAsia" w:ascii="宋体" w:hAnsi="宋体" w:cs="宋体"/>
          <w:sz w:val="24"/>
          <w:szCs w:val="24"/>
        </w:rPr>
        <w:t xml:space="preserve">2.1 </w:t>
      </w:r>
      <w:bookmarkEnd w:id="17"/>
      <w:r>
        <w:rPr>
          <w:rFonts w:hint="eastAsia" w:ascii="宋体" w:hAnsi="宋体" w:cs="宋体"/>
          <w:sz w:val="24"/>
          <w:szCs w:val="24"/>
        </w:rPr>
        <w:t>磋商</w:t>
      </w:r>
    </w:p>
    <w:p/>
    <w:p>
      <w:pPr>
        <w:pStyle w:val="4"/>
        <w:rPr>
          <w:szCs w:val="24"/>
        </w:rPr>
      </w:pPr>
      <w:bookmarkStart w:id="18" w:name="_Toc240772079"/>
      <w:r>
        <w:rPr>
          <w:rFonts w:hint="eastAsia"/>
          <w:szCs w:val="24"/>
        </w:rPr>
        <w:t>2.1.1 综合说明</w:t>
      </w:r>
      <w:bookmarkEnd w:id="18"/>
    </w:p>
    <w:p>
      <w:pPr>
        <w:spacing w:line="360" w:lineRule="auto"/>
        <w:ind w:firstLine="480" w:firstLineChars="200"/>
        <w:rPr>
          <w:rFonts w:ascii="宋体" w:hAnsi="宋体" w:cs="宋体"/>
          <w:sz w:val="24"/>
          <w:szCs w:val="24"/>
        </w:rPr>
      </w:pPr>
      <w:r>
        <w:rPr>
          <w:rFonts w:hint="eastAsia" w:ascii="宋体" w:hAnsi="宋体" w:cs="宋体"/>
          <w:sz w:val="24"/>
          <w:szCs w:val="24"/>
        </w:rPr>
        <w:t>本项目按照《中华人民共和国政府采购法》及相关法规，已办理磋商申请，并得到政府采购管理机构批准，现通过磋商方式来择优选定供应商。</w:t>
      </w:r>
      <w:bookmarkStart w:id="19" w:name="_Toc128372733"/>
      <w:bookmarkStart w:id="20" w:name="_Toc139965329"/>
      <w:bookmarkStart w:id="21" w:name="_Toc128372055"/>
      <w:r>
        <w:rPr>
          <w:rFonts w:hint="eastAsia" w:ascii="宋体" w:hAnsi="宋体" w:cs="宋体"/>
          <w:sz w:val="24"/>
          <w:szCs w:val="24"/>
        </w:rPr>
        <w:t>本磋商通知书包括本文所列内容及按本须知发出的全部和补充资料。供应商应认真阅读本磋商通知书中所有的事项、格式、条款、技术规范等实质性的条件和要求。供应商被视为充分熟悉本项目的全部内容及与履行合同有关的全部内容，熟悉磋商通知书的格式、条件和范围。供应商没有按照磋商通知书的要求提交相关资料，或者供应商没有对磋商通知书相关内容都做出实质性响应是供应商的风险，并可能导致其磋商响应性文件无效。</w:t>
      </w:r>
    </w:p>
    <w:p>
      <w:pPr>
        <w:spacing w:line="360" w:lineRule="auto"/>
        <w:ind w:firstLine="480" w:firstLineChars="200"/>
        <w:rPr>
          <w:rFonts w:ascii="宋体" w:hAnsi="宋体" w:cs="宋体"/>
          <w:sz w:val="24"/>
          <w:szCs w:val="24"/>
        </w:rPr>
      </w:pPr>
    </w:p>
    <w:p>
      <w:pPr>
        <w:spacing w:line="360" w:lineRule="auto"/>
        <w:ind w:firstLine="482" w:firstLineChars="200"/>
        <w:rPr>
          <w:rFonts w:ascii="宋体" w:hAnsi="宋体"/>
          <w:b/>
          <w:bCs/>
          <w:sz w:val="24"/>
          <w:szCs w:val="32"/>
        </w:rPr>
      </w:pPr>
      <w:r>
        <w:rPr>
          <w:rFonts w:hint="eastAsia" w:ascii="宋体" w:hAnsi="宋体"/>
          <w:b/>
          <w:bCs/>
          <w:sz w:val="24"/>
          <w:szCs w:val="32"/>
        </w:rPr>
        <w:t>2.1.2 合格的供应商</w:t>
      </w:r>
    </w:p>
    <w:p>
      <w:pPr>
        <w:spacing w:line="360" w:lineRule="auto"/>
        <w:ind w:firstLine="480"/>
        <w:rPr>
          <w:rFonts w:ascii="宋体" w:hAnsi="宋体" w:cs="宋体"/>
          <w:kern w:val="0"/>
          <w:sz w:val="24"/>
        </w:rPr>
      </w:pPr>
      <w:r>
        <w:rPr>
          <w:rFonts w:hint="eastAsia" w:ascii="宋体" w:hAnsi="宋体"/>
          <w:sz w:val="24"/>
        </w:rPr>
        <w:t>1）</w:t>
      </w:r>
      <w:r>
        <w:rPr>
          <w:rFonts w:hint="eastAsia" w:ascii="宋体" w:hAnsi="宋体" w:cs="宋体"/>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sz w:val="24"/>
        </w:rPr>
      </w:pPr>
      <w:r>
        <w:rPr>
          <w:rFonts w:hint="eastAsia" w:ascii="宋体" w:hAnsi="宋体"/>
          <w:sz w:val="24"/>
        </w:rPr>
        <w:t>2）凡有能力提供本</w:t>
      </w:r>
      <w:r>
        <w:rPr>
          <w:rFonts w:hint="eastAsia" w:ascii="宋体" w:hAnsi="宋体" w:cs="宋体"/>
          <w:sz w:val="24"/>
          <w:szCs w:val="24"/>
        </w:rPr>
        <w:t>磋商通知书</w:t>
      </w:r>
      <w:r>
        <w:rPr>
          <w:rFonts w:hint="eastAsia" w:ascii="宋体" w:hAnsi="宋体"/>
          <w:sz w:val="24"/>
        </w:rPr>
        <w:t>所述货物、工程及服务的，符合本</w:t>
      </w:r>
      <w:r>
        <w:rPr>
          <w:rFonts w:hint="eastAsia" w:ascii="宋体" w:hAnsi="宋体" w:cs="宋体"/>
          <w:sz w:val="24"/>
          <w:szCs w:val="24"/>
        </w:rPr>
        <w:t>磋商通知书</w:t>
      </w:r>
      <w:r>
        <w:rPr>
          <w:rFonts w:hint="eastAsia" w:ascii="宋体" w:hAnsi="宋体"/>
          <w:sz w:val="24"/>
        </w:rPr>
        <w:t>规定资格要求的境内供货商或制造商均可能成为合格的供应商。</w:t>
      </w:r>
    </w:p>
    <w:p>
      <w:pPr>
        <w:spacing w:line="360" w:lineRule="auto"/>
        <w:ind w:firstLine="480"/>
        <w:rPr>
          <w:rFonts w:ascii="宋体" w:hAnsi="宋体"/>
          <w:sz w:val="24"/>
        </w:rPr>
      </w:pPr>
      <w:r>
        <w:rPr>
          <w:rFonts w:hint="eastAsia" w:ascii="宋体" w:hAnsi="宋体"/>
          <w:sz w:val="24"/>
        </w:rPr>
        <w:t>3）供应商应遵守中国的有关法律、法规和规章的规定。</w:t>
      </w:r>
    </w:p>
    <w:p>
      <w:pPr>
        <w:spacing w:line="360" w:lineRule="auto"/>
        <w:ind w:firstLine="480"/>
        <w:rPr>
          <w:rFonts w:ascii="宋体" w:hAnsi="宋体"/>
          <w:sz w:val="24"/>
        </w:rPr>
      </w:pPr>
      <w:r>
        <w:rPr>
          <w:rFonts w:hint="eastAsia" w:ascii="宋体" w:hAnsi="宋体"/>
          <w:sz w:val="24"/>
        </w:rPr>
        <w:t>4）一个供应商只能针对一个包段提交一个磋商文件。</w:t>
      </w:r>
      <w:r>
        <w:rPr>
          <w:rFonts w:hint="eastAsia"/>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sz w:val="24"/>
          <w:szCs w:val="24"/>
        </w:rPr>
      </w:pPr>
      <w:r>
        <w:rPr>
          <w:rFonts w:hint="eastAsia" w:ascii="宋体" w:hAnsi="宋体"/>
          <w:sz w:val="24"/>
        </w:rPr>
        <w:t>5）为该项目提供整体设计、规范编制或者项目管理、监理、检测等服务的供应商，不得再参加该采购项目的其他采购活动。</w:t>
      </w:r>
      <w:bookmarkEnd w:id="19"/>
      <w:bookmarkEnd w:id="20"/>
      <w:bookmarkEnd w:id="21"/>
    </w:p>
    <w:p>
      <w:pPr>
        <w:pStyle w:val="4"/>
        <w:rPr>
          <w:szCs w:val="24"/>
        </w:rPr>
      </w:pPr>
      <w:bookmarkStart w:id="22" w:name="_Toc240772081"/>
      <w:r>
        <w:rPr>
          <w:rFonts w:hint="eastAsia"/>
          <w:szCs w:val="24"/>
        </w:rPr>
        <w:t>2.1.</w:t>
      </w:r>
      <w:r>
        <w:rPr>
          <w:rFonts w:hint="eastAsia"/>
          <w:szCs w:val="24"/>
          <w:lang w:val="en-US"/>
        </w:rPr>
        <w:t>3</w:t>
      </w:r>
      <w:r>
        <w:rPr>
          <w:rFonts w:hint="eastAsia"/>
          <w:szCs w:val="24"/>
        </w:rPr>
        <w:t xml:space="preserve"> 磋商具体要求及说明</w:t>
      </w:r>
      <w:bookmarkEnd w:id="22"/>
    </w:p>
    <w:p>
      <w:pPr>
        <w:spacing w:line="360" w:lineRule="auto"/>
        <w:ind w:firstLine="480" w:firstLineChars="200"/>
        <w:rPr>
          <w:rFonts w:ascii="宋体" w:hAnsi="宋体" w:cs="宋体"/>
          <w:sz w:val="24"/>
          <w:szCs w:val="24"/>
        </w:rPr>
      </w:pPr>
      <w:r>
        <w:rPr>
          <w:rFonts w:hint="eastAsia" w:ascii="宋体" w:hAnsi="宋体" w:cs="宋体"/>
          <w:sz w:val="24"/>
          <w:szCs w:val="24"/>
        </w:rPr>
        <w:t>1）供应商参加磋商应按照需方磋商通知书要求有分包的按分包参与磋商，且每包只能报一个方案参与磋商，投若干包的可将分包投标书汇集于总标书中，否则视为对磋商不响应；</w:t>
      </w:r>
    </w:p>
    <w:p>
      <w:pPr>
        <w:spacing w:line="360" w:lineRule="auto"/>
        <w:ind w:firstLine="480" w:firstLineChars="200"/>
        <w:rPr>
          <w:rFonts w:ascii="宋体" w:hAnsi="宋体" w:cs="宋体"/>
          <w:sz w:val="24"/>
          <w:szCs w:val="24"/>
        </w:rPr>
      </w:pPr>
      <w:r>
        <w:rPr>
          <w:rFonts w:hint="eastAsia" w:ascii="宋体" w:hAnsi="宋体" w:cs="宋体"/>
          <w:sz w:val="24"/>
          <w:szCs w:val="24"/>
        </w:rPr>
        <w:t>2）供应商对参加磋商产品技术性能的描述因欠缺或漏报而影响对供应商的磋商响应性文件的评比，不利后果由供应商承担；</w:t>
      </w:r>
    </w:p>
    <w:p>
      <w:pPr>
        <w:spacing w:line="360" w:lineRule="auto"/>
        <w:ind w:firstLine="480" w:firstLineChars="200"/>
        <w:rPr>
          <w:rFonts w:ascii="宋体" w:hAnsi="宋体" w:cs="宋体"/>
          <w:sz w:val="24"/>
          <w:szCs w:val="24"/>
        </w:rPr>
      </w:pPr>
      <w:r>
        <w:rPr>
          <w:rFonts w:hint="eastAsia" w:ascii="宋体" w:hAnsi="宋体" w:cs="宋体"/>
          <w:sz w:val="24"/>
          <w:szCs w:val="24"/>
        </w:rPr>
        <w:t>3）供应商在磋商响应性文件中所列出的所有货物、配件等均视为包含在磋商项目以及报价中；</w:t>
      </w:r>
    </w:p>
    <w:p>
      <w:pPr>
        <w:spacing w:line="360" w:lineRule="auto"/>
        <w:ind w:firstLine="480" w:firstLineChars="200"/>
        <w:rPr>
          <w:rFonts w:ascii="宋体" w:hAnsi="宋体" w:cs="宋体"/>
          <w:sz w:val="24"/>
          <w:szCs w:val="24"/>
        </w:rPr>
      </w:pPr>
      <w:r>
        <w:rPr>
          <w:rFonts w:hint="eastAsia" w:ascii="宋体" w:hAnsi="宋体" w:cs="宋体"/>
          <w:sz w:val="24"/>
          <w:szCs w:val="24"/>
        </w:rPr>
        <w:t>4）供应商在本次项目中所提供的服务对于磋商通知书中的技术参数要求必须满足，必须符合国家相关规定的要求，否则视为对磋商不响应；</w:t>
      </w:r>
    </w:p>
    <w:p>
      <w:pPr>
        <w:spacing w:line="360" w:lineRule="auto"/>
        <w:ind w:firstLine="480" w:firstLineChars="200"/>
        <w:rPr>
          <w:rFonts w:ascii="宋体" w:hAnsi="宋体" w:cs="宋体"/>
          <w:sz w:val="24"/>
          <w:szCs w:val="24"/>
        </w:rPr>
      </w:pPr>
      <w:r>
        <w:rPr>
          <w:rFonts w:hint="eastAsia" w:ascii="宋体" w:hAnsi="宋体" w:cs="宋体"/>
          <w:sz w:val="24"/>
          <w:szCs w:val="24"/>
        </w:rPr>
        <w:t>5）需方发现具有《政府采购法》第七十七条中第一至五项情形之一的，有权宣布磋商程序和结果无效；在涉及磋商的公正性与违法问题的调查或检查中，供应商如拒绝有关部门的监督检查，视其情节，需方也有权宣布磋商结果无效。需方同时报备同级财政部门确认，并对供应商、成交供应商的损失不承担任何责任；</w:t>
      </w:r>
    </w:p>
    <w:p>
      <w:pPr>
        <w:spacing w:line="360" w:lineRule="auto"/>
        <w:ind w:firstLine="480" w:firstLineChars="200"/>
        <w:rPr>
          <w:rFonts w:ascii="宋体" w:hAnsi="宋体" w:cs="宋体"/>
          <w:sz w:val="24"/>
          <w:szCs w:val="24"/>
        </w:rPr>
      </w:pPr>
      <w:r>
        <w:rPr>
          <w:rFonts w:hint="eastAsia" w:ascii="宋体" w:hAnsi="宋体" w:cs="宋体"/>
          <w:sz w:val="24"/>
          <w:szCs w:val="24"/>
        </w:rPr>
        <w:t>6）供应商应自行承担所有与准备和参加磋商有关的费用。不论磋商的结果如何，需方均无义务和责任承担这些费用。</w:t>
      </w:r>
    </w:p>
    <w:p>
      <w:pPr>
        <w:spacing w:line="360" w:lineRule="auto"/>
        <w:ind w:firstLine="480" w:firstLineChars="200"/>
        <w:rPr>
          <w:rFonts w:ascii="宋体" w:hAnsi="宋体" w:cs="宋体"/>
          <w:sz w:val="24"/>
          <w:szCs w:val="24"/>
        </w:rPr>
      </w:pPr>
      <w:r>
        <w:rPr>
          <w:rFonts w:hint="eastAsia" w:ascii="宋体" w:hAnsi="宋体" w:cs="宋体"/>
          <w:sz w:val="24"/>
          <w:szCs w:val="24"/>
        </w:rPr>
        <w:t>7）本次磋商不接受联合体参加磋商。</w:t>
      </w:r>
    </w:p>
    <w:p>
      <w:pPr>
        <w:spacing w:line="360" w:lineRule="auto"/>
        <w:ind w:firstLine="480" w:firstLineChars="200"/>
        <w:rPr>
          <w:rFonts w:ascii="宋体" w:hAnsi="宋体" w:cs="宋体"/>
          <w:sz w:val="24"/>
          <w:szCs w:val="24"/>
          <w:lang w:val="zh-CN"/>
        </w:rPr>
      </w:pPr>
      <w:r>
        <w:rPr>
          <w:rFonts w:hint="eastAsia" w:ascii="宋体" w:hAnsi="宋体" w:cs="宋体"/>
          <w:sz w:val="24"/>
          <w:szCs w:val="24"/>
        </w:rPr>
        <w:t>8）</w:t>
      </w:r>
      <w:r>
        <w:rPr>
          <w:rFonts w:hint="eastAsia" w:ascii="宋体" w:hAnsi="宋体" w:cs="宋体"/>
          <w:sz w:val="24"/>
          <w:szCs w:val="24"/>
          <w:lang w:val="zh-CN"/>
        </w:rPr>
        <w:t>如技术参数具有特指性将不作为评判依据。</w:t>
      </w:r>
    </w:p>
    <w:p>
      <w:pPr>
        <w:pStyle w:val="4"/>
        <w:rPr>
          <w:szCs w:val="24"/>
        </w:rPr>
      </w:pPr>
      <w:bookmarkStart w:id="23" w:name="_Toc240772082"/>
      <w:r>
        <w:rPr>
          <w:rFonts w:hint="eastAsia"/>
          <w:szCs w:val="24"/>
        </w:rPr>
        <w:t>2.1.</w:t>
      </w:r>
      <w:r>
        <w:rPr>
          <w:rFonts w:hint="eastAsia"/>
          <w:szCs w:val="24"/>
          <w:lang w:val="en-US"/>
        </w:rPr>
        <w:t>4</w:t>
      </w:r>
      <w:r>
        <w:rPr>
          <w:rFonts w:hint="eastAsia"/>
          <w:szCs w:val="24"/>
        </w:rPr>
        <w:t>磋商响应性文件的制作</w:t>
      </w:r>
      <w:bookmarkEnd w:id="23"/>
      <w:r>
        <w:rPr>
          <w:rFonts w:hint="eastAsia"/>
          <w:szCs w:val="24"/>
        </w:rPr>
        <w:t>格式</w:t>
      </w:r>
    </w:p>
    <w:p>
      <w:pPr>
        <w:spacing w:line="500" w:lineRule="exact"/>
        <w:ind w:firstLine="480" w:firstLineChars="200"/>
        <w:rPr>
          <w:rFonts w:ascii="宋体" w:hAnsi="宋体" w:cs="宋体"/>
          <w:sz w:val="24"/>
          <w:szCs w:val="24"/>
        </w:rPr>
      </w:pPr>
      <w:r>
        <w:rPr>
          <w:rFonts w:hint="eastAsia" w:ascii="宋体" w:hAnsi="宋体" w:cs="宋体"/>
          <w:sz w:val="24"/>
          <w:szCs w:val="24"/>
        </w:rPr>
        <w:t>供应商制作磋商响应性文件必须依据在需方获取的磋商通知书，编写装订并分正副本密封，对磋商通知书做出实质性响应。具体制作格式如下：</w:t>
      </w:r>
    </w:p>
    <w:p>
      <w:pPr>
        <w:numPr>
          <w:ilvl w:val="0"/>
          <w:numId w:val="4"/>
        </w:numPr>
        <w:spacing w:line="500" w:lineRule="exact"/>
        <w:ind w:firstLine="480" w:firstLineChars="200"/>
        <w:rPr>
          <w:rFonts w:ascii="宋体" w:hAnsi="宋体" w:cs="宋体"/>
          <w:sz w:val="24"/>
          <w:szCs w:val="24"/>
        </w:rPr>
      </w:pPr>
      <w:r>
        <w:rPr>
          <w:rFonts w:hint="eastAsia" w:ascii="宋体" w:hAnsi="宋体" w:cs="宋体"/>
          <w:sz w:val="24"/>
          <w:szCs w:val="24"/>
        </w:rPr>
        <w:t>目录；</w:t>
      </w:r>
    </w:p>
    <w:p>
      <w:pPr>
        <w:numPr>
          <w:ilvl w:val="0"/>
          <w:numId w:val="4"/>
        </w:numPr>
        <w:spacing w:line="500" w:lineRule="exact"/>
        <w:ind w:firstLine="480" w:firstLineChars="200"/>
        <w:rPr>
          <w:rFonts w:ascii="宋体" w:hAnsi="宋体" w:cs="宋体"/>
          <w:sz w:val="24"/>
          <w:szCs w:val="24"/>
        </w:rPr>
      </w:pPr>
      <w:r>
        <w:rPr>
          <w:rFonts w:hint="eastAsia" w:ascii="宋体" w:hAnsi="宋体" w:cs="宋体"/>
          <w:sz w:val="24"/>
          <w:szCs w:val="24"/>
        </w:rPr>
        <w:t>磋商响应函（见附件2）；</w:t>
      </w:r>
    </w:p>
    <w:p>
      <w:pPr>
        <w:numPr>
          <w:ilvl w:val="0"/>
          <w:numId w:val="4"/>
        </w:numPr>
        <w:spacing w:line="500" w:lineRule="exact"/>
        <w:ind w:firstLine="480" w:firstLineChars="200"/>
        <w:rPr>
          <w:rFonts w:ascii="宋体" w:hAnsi="宋体" w:cs="宋体"/>
          <w:sz w:val="24"/>
          <w:szCs w:val="24"/>
        </w:rPr>
      </w:pPr>
      <w:r>
        <w:rPr>
          <w:rFonts w:hint="eastAsia" w:ascii="宋体" w:hAnsi="宋体" w:cs="宋体"/>
          <w:sz w:val="24"/>
          <w:szCs w:val="24"/>
        </w:rPr>
        <w:t>资质证明部分，包括：磋商须知前附表中要求的资质文件、公司情况、业绩简介以及供应商认为有必要提供的其他有关资料文件；</w:t>
      </w:r>
    </w:p>
    <w:p>
      <w:pPr>
        <w:spacing w:line="500" w:lineRule="exact"/>
        <w:rPr>
          <w:rFonts w:ascii="宋体" w:hAnsi="宋体" w:cs="宋体"/>
          <w:sz w:val="24"/>
          <w:szCs w:val="24"/>
        </w:rPr>
      </w:pPr>
      <w:r>
        <w:rPr>
          <w:rFonts w:hint="eastAsia" w:ascii="宋体" w:hAnsi="宋体" w:cs="宋体"/>
          <w:sz w:val="24"/>
          <w:szCs w:val="24"/>
        </w:rPr>
        <w:t xml:space="preserve">    （4）法人授权函（见附件3）；</w:t>
      </w:r>
    </w:p>
    <w:p>
      <w:pPr>
        <w:spacing w:line="500" w:lineRule="exact"/>
        <w:rPr>
          <w:rFonts w:ascii="宋体" w:hAnsi="宋体" w:cs="宋体"/>
          <w:sz w:val="24"/>
          <w:szCs w:val="24"/>
        </w:rPr>
      </w:pPr>
      <w:r>
        <w:rPr>
          <w:rFonts w:hint="eastAsia" w:ascii="宋体" w:hAnsi="宋体" w:cs="宋体"/>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sz w:val="24"/>
          <w:szCs w:val="24"/>
        </w:rPr>
      </w:pPr>
    </w:p>
    <w:p>
      <w:pPr>
        <w:pStyle w:val="4"/>
        <w:rPr>
          <w:szCs w:val="24"/>
        </w:rPr>
      </w:pPr>
      <w:bookmarkStart w:id="24" w:name="_Toc240772083"/>
      <w:r>
        <w:rPr>
          <w:rFonts w:hint="eastAsia"/>
          <w:szCs w:val="24"/>
        </w:rPr>
        <w:t>2.1.</w:t>
      </w:r>
      <w:r>
        <w:rPr>
          <w:rFonts w:hint="eastAsia"/>
          <w:szCs w:val="24"/>
          <w:lang w:val="en-US"/>
        </w:rPr>
        <w:t>5</w:t>
      </w:r>
      <w:r>
        <w:rPr>
          <w:rFonts w:hint="eastAsia"/>
          <w:szCs w:val="24"/>
        </w:rPr>
        <w:t>磋商报价</w:t>
      </w:r>
      <w:bookmarkEnd w:id="24"/>
    </w:p>
    <w:p>
      <w:pPr>
        <w:spacing w:line="360" w:lineRule="auto"/>
        <w:ind w:firstLine="480" w:firstLineChars="200"/>
        <w:rPr>
          <w:rFonts w:ascii="宋体" w:hAnsi="宋体" w:cs="宋体"/>
          <w:sz w:val="24"/>
          <w:szCs w:val="24"/>
        </w:rPr>
      </w:pPr>
      <w:r>
        <w:rPr>
          <w:rFonts w:hint="eastAsia" w:ascii="宋体" w:hAnsi="宋体" w:cs="宋体"/>
          <w:sz w:val="24"/>
          <w:szCs w:val="24"/>
        </w:rPr>
        <w:t>此次磋商按照总报价（否则视为对磋商不响应）。磋商价格应包括完成磋商通知书规定的磋商范围全部内容所需的全部费用。除非磋商通知书另有规定，磋商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sz w:val="24"/>
          <w:szCs w:val="24"/>
        </w:rPr>
      </w:pPr>
      <w:r>
        <w:rPr>
          <w:rFonts w:hint="eastAsia" w:ascii="宋体" w:hAnsi="宋体" w:cs="宋体"/>
          <w:sz w:val="24"/>
          <w:szCs w:val="24"/>
        </w:rPr>
        <w:t>磋商价格采用唯一价格，即不得为某一范围价格。报价货币为人民币。</w:t>
      </w:r>
    </w:p>
    <w:p>
      <w:pPr>
        <w:pStyle w:val="4"/>
        <w:ind w:firstLine="472" w:firstLineChars="196"/>
        <w:rPr>
          <w:szCs w:val="24"/>
        </w:rPr>
      </w:pPr>
      <w:bookmarkStart w:id="25" w:name="_Toc240772087"/>
      <w:r>
        <w:rPr>
          <w:rFonts w:hint="eastAsia"/>
          <w:szCs w:val="24"/>
        </w:rPr>
        <w:t>2.1.</w:t>
      </w:r>
      <w:r>
        <w:rPr>
          <w:rFonts w:hint="eastAsia"/>
          <w:szCs w:val="24"/>
          <w:lang w:val="en-US"/>
        </w:rPr>
        <w:t>6</w:t>
      </w:r>
      <w:r>
        <w:rPr>
          <w:rFonts w:hint="eastAsia"/>
          <w:szCs w:val="24"/>
        </w:rPr>
        <w:t xml:space="preserve"> </w:t>
      </w:r>
      <w:bookmarkEnd w:id="25"/>
      <w:bookmarkStart w:id="26" w:name="_Toc128372749"/>
      <w:bookmarkStart w:id="27" w:name="_Toc240772088"/>
      <w:bookmarkStart w:id="28" w:name="_Toc128372071"/>
      <w:bookmarkStart w:id="29" w:name="_Toc139965344"/>
      <w:r>
        <w:rPr>
          <w:rFonts w:hint="eastAsia"/>
          <w:szCs w:val="24"/>
        </w:rPr>
        <w:t xml:space="preserve"> 磋商响应性文件的密封</w:t>
      </w:r>
      <w:bookmarkEnd w:id="26"/>
      <w:bookmarkEnd w:id="27"/>
      <w:bookmarkEnd w:id="28"/>
      <w:bookmarkEnd w:id="29"/>
    </w:p>
    <w:p>
      <w:pPr>
        <w:spacing w:line="360" w:lineRule="auto"/>
        <w:ind w:firstLine="480" w:firstLineChars="200"/>
        <w:rPr>
          <w:rFonts w:ascii="宋体" w:hAnsi="宋体" w:cs="宋体"/>
          <w:sz w:val="24"/>
          <w:szCs w:val="24"/>
        </w:rPr>
      </w:pPr>
      <w:r>
        <w:rPr>
          <w:rFonts w:hint="eastAsia" w:ascii="宋体" w:hAnsi="宋体" w:cs="宋体"/>
          <w:sz w:val="24"/>
          <w:szCs w:val="24"/>
        </w:rPr>
        <w:t>供应商应将磋商响应性文件的正、副本分别用标有“正本”和“副本”字样的信封密封，并在信封上标明“项目名称”、 “供应商名称”（盖章）、“详细地址”、“邮政编码”、“电话” 和“请勿于</w:t>
      </w:r>
      <w:r>
        <w:rPr>
          <w:rFonts w:hint="eastAsia" w:ascii="宋体" w:hAnsi="宋体"/>
          <w:color w:val="000000" w:themeColor="text1"/>
          <w:sz w:val="24"/>
          <w14:textFill>
            <w14:solidFill>
              <w14:schemeClr w14:val="tx1"/>
            </w14:solidFill>
          </w14:textFill>
        </w:rPr>
        <w:t>2019年12月6日上午9:30:00</w:t>
      </w:r>
      <w:r>
        <w:rPr>
          <w:rFonts w:hint="eastAsia" w:ascii="宋体" w:hAnsi="宋体"/>
          <w:color w:val="000000"/>
          <w:sz w:val="24"/>
        </w:rPr>
        <w:t>（北京时间）</w:t>
      </w:r>
      <w:r>
        <w:rPr>
          <w:rFonts w:hint="eastAsia" w:ascii="宋体" w:hAnsi="宋体" w:cs="宋体"/>
          <w:sz w:val="24"/>
          <w:szCs w:val="24"/>
        </w:rPr>
        <w:t>之前启封！”（盖骑缝章）的提示警句等。如果未按上述要求密封并加注标志，将被视为无效响应，且需方将不承担磋商响应性文件错放或提前开封的责任。</w:t>
      </w:r>
    </w:p>
    <w:p>
      <w:pPr>
        <w:pStyle w:val="4"/>
        <w:rPr>
          <w:szCs w:val="24"/>
        </w:rPr>
      </w:pPr>
      <w:bookmarkStart w:id="30" w:name="_Toc240772089"/>
      <w:bookmarkStart w:id="31" w:name="_Toc128372750"/>
      <w:bookmarkStart w:id="32" w:name="_Toc128372072"/>
      <w:bookmarkStart w:id="33" w:name="_Toc139965345"/>
      <w:r>
        <w:rPr>
          <w:rFonts w:hint="eastAsia"/>
          <w:szCs w:val="24"/>
        </w:rPr>
        <w:t>2.1.</w:t>
      </w:r>
      <w:r>
        <w:rPr>
          <w:rFonts w:hint="eastAsia"/>
          <w:szCs w:val="24"/>
          <w:lang w:val="en-US"/>
        </w:rPr>
        <w:t>7</w:t>
      </w:r>
      <w:r>
        <w:rPr>
          <w:rFonts w:hint="eastAsia"/>
          <w:szCs w:val="24"/>
        </w:rPr>
        <w:t xml:space="preserve"> 磋商响应性文件递交</w:t>
      </w:r>
      <w:bookmarkEnd w:id="30"/>
      <w:bookmarkEnd w:id="31"/>
      <w:bookmarkEnd w:id="32"/>
      <w:bookmarkEnd w:id="33"/>
    </w:p>
    <w:p>
      <w:pPr>
        <w:spacing w:line="360" w:lineRule="auto"/>
        <w:ind w:firstLine="480" w:firstLineChars="200"/>
        <w:rPr>
          <w:rFonts w:ascii="宋体" w:hAnsi="宋体" w:cs="宋体"/>
          <w:sz w:val="24"/>
          <w:szCs w:val="24"/>
        </w:rPr>
      </w:pPr>
      <w:r>
        <w:rPr>
          <w:rFonts w:hint="eastAsia" w:ascii="宋体" w:hAnsi="宋体" w:cs="宋体"/>
          <w:sz w:val="24"/>
          <w:szCs w:val="24"/>
        </w:rPr>
        <w:t>磋商响应性文件应在递交截止时间之前送达兰州职业技术学院综合楼</w:t>
      </w:r>
      <w:r>
        <w:rPr>
          <w:rFonts w:hint="eastAsia" w:ascii="宋体" w:hAnsi="宋体" w:cs="宋体"/>
          <w:color w:val="000000" w:themeColor="text1"/>
          <w:sz w:val="24"/>
          <w:szCs w:val="24"/>
          <w14:textFill>
            <w14:solidFill>
              <w14:schemeClr w14:val="tx1"/>
            </w14:solidFill>
          </w14:textFill>
        </w:rPr>
        <w:t>614会议室</w:t>
      </w:r>
      <w:r>
        <w:rPr>
          <w:rFonts w:hint="eastAsia" w:ascii="宋体" w:hAnsi="宋体" w:cs="宋体"/>
          <w:sz w:val="24"/>
          <w:szCs w:val="24"/>
        </w:rPr>
        <w:t>地址：</w:t>
      </w:r>
      <w:r>
        <w:rPr>
          <w:rFonts w:hint="eastAsia" w:ascii="宋体" w:hAnsi="宋体"/>
          <w:sz w:val="24"/>
        </w:rPr>
        <w:t>兰州市安宁区刘沙公路37号</w:t>
      </w:r>
      <w:r>
        <w:rPr>
          <w:rFonts w:hint="eastAsia" w:ascii="宋体" w:hAnsi="宋体" w:cs="宋体"/>
          <w:sz w:val="24"/>
          <w:szCs w:val="24"/>
        </w:rPr>
        <w:t>，需方将拒绝接受在磋商响应性文件递交截止时间后递交的磋商响应性文件。</w:t>
      </w:r>
    </w:p>
    <w:p>
      <w:pPr>
        <w:pStyle w:val="4"/>
        <w:rPr>
          <w:szCs w:val="24"/>
        </w:rPr>
      </w:pPr>
      <w:bookmarkStart w:id="34" w:name="_Toc128372751"/>
      <w:bookmarkStart w:id="35" w:name="_Toc240772090"/>
      <w:bookmarkStart w:id="36" w:name="_Toc139965346"/>
      <w:bookmarkStart w:id="37" w:name="_Toc128372073"/>
      <w:r>
        <w:rPr>
          <w:rFonts w:hint="eastAsia"/>
          <w:szCs w:val="24"/>
        </w:rPr>
        <w:t>2.1.</w:t>
      </w:r>
      <w:r>
        <w:rPr>
          <w:rFonts w:hint="eastAsia"/>
          <w:szCs w:val="24"/>
          <w:lang w:val="en-US"/>
        </w:rPr>
        <w:t>8</w:t>
      </w:r>
      <w:r>
        <w:rPr>
          <w:rFonts w:hint="eastAsia"/>
          <w:szCs w:val="24"/>
        </w:rPr>
        <w:t>磋商响应性文件递交截止时间</w:t>
      </w:r>
      <w:bookmarkEnd w:id="34"/>
      <w:bookmarkEnd w:id="35"/>
      <w:bookmarkEnd w:id="36"/>
      <w:bookmarkEnd w:id="37"/>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磋商响应性文件递交截止时间为</w:t>
      </w:r>
      <w:r>
        <w:rPr>
          <w:rFonts w:hint="eastAsia" w:ascii="宋体" w:hAnsi="宋体"/>
          <w:color w:val="000000" w:themeColor="text1"/>
          <w:sz w:val="24"/>
          <w14:textFill>
            <w14:solidFill>
              <w14:schemeClr w14:val="tx1"/>
            </w14:solidFill>
          </w14:textFill>
        </w:rPr>
        <w:t>2020年</w:t>
      </w:r>
      <w:r>
        <w:rPr>
          <w:rFonts w:hint="eastAsia" w:ascii="宋体" w:hAnsi="宋体"/>
          <w:color w:val="000000" w:themeColor="text1"/>
          <w:sz w:val="24"/>
          <w:lang w:val="en-US" w:eastAsia="zh-CN"/>
          <w14:textFill>
            <w14:solidFill>
              <w14:schemeClr w14:val="tx1"/>
            </w14:solidFill>
          </w14:textFill>
        </w:rPr>
        <w:t>6</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lang w:val="en-US" w:eastAsia="zh-CN"/>
          <w14:textFill>
            <w14:solidFill>
              <w14:schemeClr w14:val="tx1"/>
            </w14:solidFill>
          </w14:textFill>
        </w:rPr>
        <w:t>16</w:t>
      </w:r>
      <w:r>
        <w:rPr>
          <w:rFonts w:hint="eastAsia" w:ascii="宋体" w:hAnsi="宋体"/>
          <w:color w:val="000000" w:themeColor="text1"/>
          <w:sz w:val="24"/>
          <w14:textFill>
            <w14:solidFill>
              <w14:schemeClr w14:val="tx1"/>
            </w14:solidFill>
          </w14:textFill>
        </w:rPr>
        <w:t>日</w:t>
      </w:r>
      <w:r>
        <w:rPr>
          <w:rFonts w:hint="eastAsia" w:ascii="宋体" w:hAnsi="宋体"/>
          <w:color w:val="000000" w:themeColor="text1"/>
          <w:sz w:val="24"/>
          <w:lang w:eastAsia="zh-CN"/>
          <w14:textFill>
            <w14:solidFill>
              <w14:schemeClr w14:val="tx1"/>
            </w14:solidFill>
          </w14:textFill>
        </w:rPr>
        <w:t>下午</w:t>
      </w:r>
      <w:r>
        <w:rPr>
          <w:rFonts w:hint="eastAsia" w:ascii="宋体" w:hAnsi="宋体"/>
          <w:color w:val="000000" w:themeColor="text1"/>
          <w:sz w:val="24"/>
          <w:lang w:val="en-US" w:eastAsia="zh-CN"/>
          <w14:textFill>
            <w14:solidFill>
              <w14:schemeClr w14:val="tx1"/>
            </w14:solidFill>
          </w14:textFill>
        </w:rPr>
        <w:t xml:space="preserve">2:00 </w:t>
      </w:r>
      <w:r>
        <w:rPr>
          <w:rFonts w:hint="eastAsia" w:ascii="宋体" w:hAnsi="宋体"/>
          <w:color w:val="000000" w:themeColor="text1"/>
          <w:sz w:val="24"/>
          <w14:textFill>
            <w14:solidFill>
              <w14:schemeClr w14:val="tx1"/>
            </w14:solidFill>
          </w14:textFill>
        </w:rPr>
        <w:t>（北京时间）之前</w:t>
      </w:r>
      <w:r>
        <w:rPr>
          <w:rFonts w:hint="eastAsia" w:ascii="宋体" w:hAnsi="宋体" w:cs="宋体"/>
          <w:color w:val="000000" w:themeColor="text1"/>
          <w:sz w:val="24"/>
          <w:szCs w:val="24"/>
          <w14:textFill>
            <w14:solidFill>
              <w14:schemeClr w14:val="tx1"/>
            </w14:solidFill>
          </w14:textFill>
        </w:rPr>
        <w:t>。</w:t>
      </w:r>
    </w:p>
    <w:p>
      <w:pPr>
        <w:pStyle w:val="2"/>
        <w:tabs>
          <w:tab w:val="left" w:pos="2610"/>
          <w:tab w:val="center" w:pos="4156"/>
          <w:tab w:val="clear" w:pos="240"/>
        </w:tabs>
        <w:jc w:val="both"/>
        <w:rPr>
          <w:rFonts w:cs="宋体"/>
          <w:b/>
          <w:bCs w:val="0"/>
        </w:rPr>
      </w:pPr>
      <w:bookmarkStart w:id="38" w:name="_Toc240772092"/>
    </w:p>
    <w:p>
      <w:pPr>
        <w:pStyle w:val="2"/>
        <w:tabs>
          <w:tab w:val="left" w:pos="2610"/>
          <w:tab w:val="center" w:pos="4156"/>
          <w:tab w:val="clear" w:pos="240"/>
        </w:tabs>
        <w:rPr>
          <w:rFonts w:cs="宋体"/>
          <w:b/>
          <w:bCs w:val="0"/>
        </w:rPr>
      </w:pPr>
      <w:r>
        <w:rPr>
          <w:rFonts w:hint="eastAsia" w:cs="宋体"/>
          <w:b/>
          <w:bCs w:val="0"/>
        </w:rPr>
        <w:t>3、澄清和质疑</w:t>
      </w:r>
      <w:bookmarkEnd w:id="38"/>
    </w:p>
    <w:p>
      <w:pPr>
        <w:pStyle w:val="3"/>
        <w:ind w:firstLine="482" w:firstLineChars="200"/>
        <w:jc w:val="both"/>
        <w:rPr>
          <w:rFonts w:ascii="宋体" w:hAnsi="宋体" w:cs="宋体"/>
          <w:sz w:val="24"/>
          <w:szCs w:val="24"/>
        </w:rPr>
      </w:pPr>
      <w:bookmarkStart w:id="39" w:name="_Toc239047318"/>
      <w:bookmarkStart w:id="40" w:name="_Toc240772093"/>
      <w:r>
        <w:rPr>
          <w:rFonts w:hint="eastAsia" w:ascii="宋体" w:hAnsi="宋体" w:cs="宋体"/>
          <w:sz w:val="24"/>
          <w:szCs w:val="24"/>
        </w:rPr>
        <w:t>3.1综合说明</w:t>
      </w:r>
      <w:bookmarkEnd w:id="39"/>
      <w:bookmarkEnd w:id="40"/>
    </w:p>
    <w:p>
      <w:pPr>
        <w:spacing w:line="360" w:lineRule="auto"/>
        <w:ind w:firstLine="480" w:firstLineChars="200"/>
        <w:rPr>
          <w:rFonts w:ascii="宋体" w:hAnsi="宋体" w:cs="宋体"/>
          <w:sz w:val="24"/>
          <w:szCs w:val="24"/>
        </w:rPr>
      </w:pPr>
      <w:r>
        <w:rPr>
          <w:rFonts w:hint="eastAsia" w:ascii="宋体" w:hAnsi="宋体" w:cs="宋体"/>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sz w:val="24"/>
          <w:szCs w:val="24"/>
        </w:rPr>
      </w:pPr>
      <w:bookmarkStart w:id="41" w:name="_Toc240772094"/>
      <w:r>
        <w:rPr>
          <w:rFonts w:hint="eastAsia" w:ascii="宋体" w:hAnsi="宋体" w:cs="宋体"/>
          <w:sz w:val="24"/>
          <w:szCs w:val="24"/>
        </w:rPr>
        <w:t>3.2对磋商通知书的澄清和质疑</w:t>
      </w:r>
      <w:bookmarkEnd w:id="41"/>
    </w:p>
    <w:p>
      <w:pPr>
        <w:adjustRightInd w:val="0"/>
        <w:spacing w:line="360" w:lineRule="auto"/>
        <w:ind w:firstLine="480" w:firstLineChars="200"/>
        <w:rPr>
          <w:rFonts w:ascii="宋体" w:hAnsi="宋体" w:cs="宋体"/>
          <w:sz w:val="24"/>
          <w:szCs w:val="24"/>
        </w:rPr>
      </w:pPr>
      <w:r>
        <w:rPr>
          <w:rFonts w:hint="eastAsia" w:ascii="宋体" w:hAnsi="宋体" w:cs="宋体"/>
          <w:sz w:val="24"/>
          <w:szCs w:val="24"/>
        </w:rPr>
        <w:t>供应商应尽早获取磋商文件，若对磋商通知书有疑问需要澄清或质疑，须在</w:t>
      </w:r>
      <w:r>
        <w:rPr>
          <w:rFonts w:hint="eastAsia" w:ascii="宋体" w:hAnsi="宋体" w:cs="宋体"/>
          <w:color w:val="000000"/>
          <w:sz w:val="24"/>
          <w:szCs w:val="24"/>
        </w:rPr>
        <w:t>开标前</w:t>
      </w:r>
      <w:r>
        <w:rPr>
          <w:rFonts w:hint="eastAsia" w:ascii="宋体" w:hAnsi="宋体" w:cs="宋体"/>
          <w:sz w:val="24"/>
          <w:szCs w:val="24"/>
        </w:rPr>
        <w:t>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w:t>
      </w:r>
      <w:r>
        <w:rPr>
          <w:rFonts w:hint="eastAsia" w:ascii="宋体" w:hAnsi="宋体" w:cs="宋体"/>
          <w:bCs/>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szCs w:val="24"/>
        </w:rPr>
        <w:t>上述资料均须加盖公章。</w:t>
      </w:r>
    </w:p>
    <w:p>
      <w:pPr>
        <w:adjustRightInd w:val="0"/>
        <w:spacing w:line="360" w:lineRule="auto"/>
        <w:ind w:firstLine="480" w:firstLineChars="200"/>
        <w:rPr>
          <w:rFonts w:ascii="宋体" w:hAnsi="宋体" w:cs="宋体"/>
          <w:sz w:val="24"/>
          <w:szCs w:val="24"/>
        </w:rPr>
      </w:pPr>
      <w:r>
        <w:rPr>
          <w:rFonts w:hint="eastAsia" w:ascii="宋体" w:hAnsi="宋体" w:cs="宋体"/>
          <w:sz w:val="24"/>
          <w:szCs w:val="24"/>
        </w:rPr>
        <w:t>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w:t>
      </w:r>
    </w:p>
    <w:p>
      <w:pPr>
        <w:spacing w:line="360" w:lineRule="auto"/>
        <w:ind w:firstLine="480" w:firstLineChars="200"/>
        <w:rPr>
          <w:rFonts w:ascii="宋体" w:hAnsi="宋体" w:cs="宋体"/>
          <w:sz w:val="24"/>
          <w:szCs w:val="24"/>
        </w:rPr>
      </w:pPr>
      <w:r>
        <w:rPr>
          <w:rFonts w:hint="eastAsia" w:ascii="宋体" w:hAnsi="宋体" w:cs="宋体"/>
          <w:sz w:val="24"/>
          <w:szCs w:val="24"/>
        </w:rPr>
        <w:t>同时需方可以酌情延长磋商响应性文件递交截止时间。</w:t>
      </w:r>
    </w:p>
    <w:p>
      <w:pPr>
        <w:pStyle w:val="3"/>
        <w:ind w:firstLine="482"/>
        <w:jc w:val="both"/>
        <w:rPr>
          <w:rFonts w:ascii="宋体" w:hAnsi="宋体" w:cs="宋体"/>
          <w:sz w:val="24"/>
          <w:szCs w:val="24"/>
        </w:rPr>
      </w:pPr>
      <w:bookmarkStart w:id="42" w:name="_Toc240772095"/>
      <w:r>
        <w:rPr>
          <w:rFonts w:hint="eastAsia" w:ascii="宋体" w:hAnsi="宋体" w:cs="宋体"/>
          <w:sz w:val="24"/>
          <w:szCs w:val="24"/>
        </w:rPr>
        <w:t>3.3对磋商过程和拟成交结果的质疑</w:t>
      </w:r>
      <w:bookmarkEnd w:id="42"/>
    </w:p>
    <w:p>
      <w:pPr>
        <w:adjustRightInd w:val="0"/>
        <w:spacing w:line="360" w:lineRule="auto"/>
        <w:ind w:firstLine="480" w:firstLineChars="200"/>
        <w:rPr>
          <w:rFonts w:ascii="宋体" w:hAnsi="宋体" w:cs="宋体"/>
          <w:sz w:val="24"/>
          <w:szCs w:val="24"/>
        </w:rPr>
      </w:pPr>
      <w:r>
        <w:rPr>
          <w:rFonts w:hint="eastAsia" w:ascii="宋体" w:hAnsi="宋体" w:cs="宋体"/>
          <w:sz w:val="24"/>
          <w:szCs w:val="24"/>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w:t>
      </w:r>
      <w:r>
        <w:rPr>
          <w:rFonts w:hint="eastAsia" w:ascii="宋体" w:hAnsi="宋体" w:cs="宋体"/>
          <w:bCs/>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sz w:val="24"/>
          <w:szCs w:val="24"/>
        </w:rPr>
        <w:t>上述资料均须加盖公章。</w:t>
      </w:r>
    </w:p>
    <w:p>
      <w:pPr>
        <w:tabs>
          <w:tab w:val="left" w:pos="360"/>
        </w:tabs>
        <w:adjustRightInd w:val="0"/>
        <w:spacing w:line="360" w:lineRule="auto"/>
        <w:ind w:firstLine="480" w:firstLineChars="200"/>
        <w:rPr>
          <w:rFonts w:ascii="宋体" w:hAnsi="宋体" w:cs="宋体"/>
          <w:sz w:val="24"/>
          <w:szCs w:val="24"/>
        </w:rPr>
      </w:pPr>
      <w:r>
        <w:rPr>
          <w:rFonts w:hint="eastAsia" w:ascii="宋体" w:hAnsi="宋体" w:cs="宋体"/>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sz w:val="24"/>
          <w:szCs w:val="24"/>
        </w:rPr>
      </w:pPr>
      <w:bookmarkStart w:id="43" w:name="_Toc240772096"/>
      <w:r>
        <w:rPr>
          <w:rFonts w:hint="eastAsia" w:ascii="宋体" w:hAnsi="宋体" w:cs="宋体"/>
          <w:sz w:val="24"/>
          <w:szCs w:val="24"/>
        </w:rPr>
        <w:t>3.4澄清或质疑不予受理的情况</w:t>
      </w:r>
      <w:bookmarkEnd w:id="43"/>
    </w:p>
    <w:p>
      <w:pPr>
        <w:widowControl/>
        <w:spacing w:line="360" w:lineRule="auto"/>
        <w:ind w:firstLine="480" w:firstLineChars="200"/>
        <w:rPr>
          <w:rFonts w:ascii="宋体" w:hAnsi="宋体" w:cs="宋体"/>
          <w:kern w:val="0"/>
          <w:sz w:val="24"/>
          <w:szCs w:val="24"/>
        </w:rPr>
      </w:pPr>
      <w:r>
        <w:rPr>
          <w:rFonts w:hint="eastAsia" w:ascii="宋体" w:hAnsi="宋体" w:cs="宋体"/>
          <w:kern w:val="0"/>
          <w:sz w:val="24"/>
          <w:szCs w:val="24"/>
        </w:rPr>
        <w:t>有下列情形之一的，属于无效质疑，被质疑人不予受理，</w:t>
      </w:r>
      <w:r>
        <w:rPr>
          <w:rFonts w:hint="eastAsia" w:ascii="宋体" w:hAnsi="宋体" w:cs="宋体"/>
          <w:sz w:val="24"/>
          <w:szCs w:val="24"/>
        </w:rPr>
        <w:t>由此产生的影响由投标人自</w:t>
      </w:r>
      <w:r>
        <w:rPr>
          <w:rFonts w:hint="eastAsia" w:ascii="宋体" w:hAnsi="宋体" w:cs="宋体"/>
          <w:kern w:val="0"/>
          <w:sz w:val="24"/>
          <w:szCs w:val="24"/>
        </w:rPr>
        <w:t>行承担：</w:t>
      </w:r>
    </w:p>
    <w:p>
      <w:pPr>
        <w:widowControl/>
        <w:spacing w:line="360" w:lineRule="auto"/>
        <w:ind w:firstLine="480" w:firstLineChars="200"/>
        <w:rPr>
          <w:rFonts w:ascii="宋体" w:hAnsi="宋体" w:cs="宋体"/>
          <w:kern w:val="0"/>
          <w:sz w:val="24"/>
          <w:szCs w:val="24"/>
        </w:rPr>
      </w:pPr>
      <w:r>
        <w:rPr>
          <w:rFonts w:hint="eastAsia" w:ascii="宋体" w:hAnsi="宋体" w:cs="宋体"/>
          <w:kern w:val="0"/>
          <w:sz w:val="24"/>
          <w:szCs w:val="24"/>
        </w:rPr>
        <w:t>(一)不是参与该采购项目活动供应商的;</w:t>
      </w:r>
    </w:p>
    <w:p>
      <w:pPr>
        <w:widowControl/>
        <w:spacing w:line="360" w:lineRule="auto"/>
        <w:ind w:firstLine="480" w:firstLineChars="200"/>
        <w:rPr>
          <w:rFonts w:ascii="宋体" w:hAnsi="宋体" w:cs="宋体"/>
          <w:kern w:val="0"/>
          <w:sz w:val="24"/>
          <w:szCs w:val="24"/>
        </w:rPr>
      </w:pPr>
      <w:r>
        <w:rPr>
          <w:rFonts w:hint="eastAsia" w:ascii="宋体" w:hAnsi="宋体" w:cs="宋体"/>
          <w:kern w:val="0"/>
          <w:sz w:val="24"/>
          <w:szCs w:val="24"/>
        </w:rPr>
        <w:t>(二)被质疑人为采购人之外的；</w:t>
      </w:r>
    </w:p>
    <w:p>
      <w:pPr>
        <w:widowControl/>
        <w:spacing w:line="360" w:lineRule="auto"/>
        <w:ind w:firstLine="480" w:firstLineChars="200"/>
        <w:rPr>
          <w:rFonts w:ascii="宋体" w:hAnsi="宋体" w:cs="宋体"/>
          <w:kern w:val="0"/>
          <w:sz w:val="24"/>
          <w:szCs w:val="24"/>
        </w:rPr>
      </w:pPr>
      <w:r>
        <w:rPr>
          <w:rFonts w:hint="eastAsia" w:ascii="宋体" w:hAnsi="宋体" w:cs="宋体"/>
          <w:kern w:val="0"/>
          <w:sz w:val="24"/>
          <w:szCs w:val="24"/>
        </w:rPr>
        <w:t>(三)所有质疑事项超过质疑有效期的；</w:t>
      </w:r>
    </w:p>
    <w:p>
      <w:pPr>
        <w:widowControl/>
        <w:spacing w:line="360" w:lineRule="auto"/>
        <w:ind w:firstLine="480" w:firstLineChars="200"/>
        <w:rPr>
          <w:rFonts w:ascii="宋体" w:hAnsi="宋体" w:cs="宋体"/>
          <w:kern w:val="0"/>
          <w:sz w:val="24"/>
          <w:szCs w:val="24"/>
        </w:rPr>
      </w:pPr>
      <w:r>
        <w:rPr>
          <w:rFonts w:hint="eastAsia" w:ascii="宋体" w:hAnsi="宋体" w:cs="宋体"/>
          <w:kern w:val="0"/>
          <w:sz w:val="24"/>
          <w:szCs w:val="24"/>
        </w:rPr>
        <w:t>(四)以具有法律效力的文书送达之外方式提出的；</w:t>
      </w:r>
    </w:p>
    <w:p>
      <w:pPr>
        <w:widowControl/>
        <w:spacing w:line="360" w:lineRule="auto"/>
        <w:ind w:firstLine="480" w:firstLineChars="200"/>
        <w:rPr>
          <w:rFonts w:ascii="宋体" w:hAnsi="宋体" w:cs="宋体"/>
          <w:kern w:val="0"/>
          <w:sz w:val="24"/>
          <w:szCs w:val="24"/>
        </w:rPr>
      </w:pPr>
      <w:r>
        <w:rPr>
          <w:rFonts w:hint="eastAsia" w:ascii="宋体" w:hAnsi="宋体" w:cs="宋体"/>
          <w:kern w:val="0"/>
          <w:sz w:val="24"/>
          <w:szCs w:val="24"/>
        </w:rPr>
        <w:t>(五)</w:t>
      </w:r>
      <w:r>
        <w:rPr>
          <w:rFonts w:hint="eastAsia" w:ascii="宋体" w:hAnsi="宋体" w:cs="宋体"/>
          <w:sz w:val="24"/>
          <w:szCs w:val="24"/>
        </w:rPr>
        <w:t xml:space="preserve"> 未按上述规定递交澄清或质疑函的</w:t>
      </w:r>
      <w:r>
        <w:rPr>
          <w:rFonts w:hint="eastAsia" w:ascii="宋体" w:hAnsi="宋体" w:cs="宋体"/>
          <w:kern w:val="0"/>
          <w:sz w:val="24"/>
          <w:szCs w:val="24"/>
        </w:rPr>
        <w:t>；</w:t>
      </w:r>
    </w:p>
    <w:p>
      <w:pPr>
        <w:adjustRightInd w:val="0"/>
        <w:spacing w:line="360" w:lineRule="auto"/>
        <w:ind w:firstLine="480" w:firstLineChars="200"/>
        <w:rPr>
          <w:rFonts w:ascii="宋体" w:hAnsi="宋体" w:cs="宋体"/>
          <w:b/>
          <w:sz w:val="24"/>
          <w:szCs w:val="24"/>
        </w:rPr>
      </w:pPr>
      <w:r>
        <w:rPr>
          <w:rFonts w:hint="eastAsia" w:ascii="宋体" w:hAnsi="宋体" w:cs="宋体"/>
          <w:kern w:val="0"/>
          <w:sz w:val="24"/>
          <w:szCs w:val="24"/>
        </w:rPr>
        <w:t>(六) 其它不符合受理条件的情形。</w:t>
      </w:r>
    </w:p>
    <w:p>
      <w:pPr>
        <w:adjustRightInd w:val="0"/>
        <w:spacing w:line="360" w:lineRule="auto"/>
        <w:rPr>
          <w:rFonts w:ascii="宋体" w:hAnsi="宋体" w:cs="宋体"/>
          <w:b/>
          <w:sz w:val="32"/>
          <w:szCs w:val="32"/>
        </w:rPr>
      </w:pPr>
      <w:bookmarkStart w:id="44" w:name="_Toc240772107"/>
    </w:p>
    <w:p>
      <w:pPr>
        <w:adjustRightInd w:val="0"/>
        <w:spacing w:line="360" w:lineRule="auto"/>
        <w:jc w:val="center"/>
        <w:rPr>
          <w:rFonts w:ascii="宋体" w:hAnsi="宋体" w:cs="宋体"/>
          <w:b/>
          <w:sz w:val="32"/>
          <w:szCs w:val="32"/>
        </w:rPr>
      </w:pPr>
      <w:r>
        <w:rPr>
          <w:rFonts w:hint="eastAsia" w:ascii="宋体" w:hAnsi="宋体" w:cs="宋体"/>
          <w:b/>
          <w:sz w:val="32"/>
          <w:szCs w:val="32"/>
        </w:rPr>
        <w:t>4、磋商原则及办法</w:t>
      </w:r>
      <w:bookmarkEnd w:id="44"/>
    </w:p>
    <w:p>
      <w:pPr>
        <w:pStyle w:val="3"/>
        <w:ind w:firstLine="482" w:firstLineChars="200"/>
        <w:jc w:val="both"/>
        <w:rPr>
          <w:rFonts w:ascii="宋体" w:hAnsi="宋体" w:cs="宋体"/>
          <w:sz w:val="24"/>
          <w:szCs w:val="24"/>
        </w:rPr>
      </w:pPr>
      <w:bookmarkStart w:id="45" w:name="_Toc240772108"/>
      <w:r>
        <w:rPr>
          <w:rFonts w:hint="eastAsia" w:ascii="宋体" w:hAnsi="宋体" w:cs="宋体"/>
          <w:sz w:val="24"/>
          <w:szCs w:val="24"/>
        </w:rPr>
        <w:t>4.1 磋商工作中的原则及组织</w:t>
      </w:r>
      <w:bookmarkEnd w:id="45"/>
    </w:p>
    <w:p>
      <w:pPr>
        <w:pStyle w:val="4"/>
        <w:rPr>
          <w:szCs w:val="24"/>
        </w:rPr>
      </w:pPr>
      <w:bookmarkStart w:id="46" w:name="_Toc240772109"/>
      <w:r>
        <w:rPr>
          <w:rFonts w:hint="eastAsia"/>
          <w:szCs w:val="24"/>
          <w:lang w:val="en-US"/>
        </w:rPr>
        <w:t>4</w:t>
      </w:r>
      <w:r>
        <w:rPr>
          <w:rFonts w:hint="eastAsia"/>
          <w:szCs w:val="24"/>
        </w:rPr>
        <w:t>.1.1 原则</w:t>
      </w:r>
      <w:bookmarkEnd w:id="46"/>
    </w:p>
    <w:p>
      <w:pPr>
        <w:pStyle w:val="7"/>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需方组织谈判，在监督部门监督下,根据《中华人民共和国政府采购法》及相关规定组建磋商小组，由采购人代表和评审专家共同组成，磋商小组成员应坚持“公开、公平、公正”的宗旨,认真细致地做好磋商评审工作。</w:t>
      </w:r>
    </w:p>
    <w:p>
      <w:pPr>
        <w:spacing w:line="360" w:lineRule="auto"/>
        <w:ind w:firstLine="480" w:firstLineChars="200"/>
        <w:rPr>
          <w:rFonts w:ascii="宋体" w:hAnsi="宋体" w:cs="宋体"/>
          <w:sz w:val="24"/>
          <w:szCs w:val="24"/>
        </w:rPr>
      </w:pPr>
      <w:r>
        <w:rPr>
          <w:rFonts w:hint="eastAsia" w:ascii="宋体" w:hAnsi="宋体" w:cs="宋体"/>
          <w:sz w:val="24"/>
          <w:szCs w:val="24"/>
        </w:rPr>
        <w:t>1）磋商小组成员人数为不少于3人的单数。</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 2）磋商小组成员应当客观、公正的履行职责，遵守职业道德，对所提出的评审意见承担个人责任。</w:t>
      </w:r>
    </w:p>
    <w:p>
      <w:pPr>
        <w:pStyle w:val="7"/>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 磋商小组成员和与磋商活动有关的工作人员不得透露对</w:t>
      </w:r>
      <w:r>
        <w:rPr>
          <w:rFonts w:hint="eastAsia" w:ascii="宋体" w:hAnsi="宋体" w:cs="宋体"/>
          <w:b w:val="0"/>
          <w:sz w:val="24"/>
          <w:szCs w:val="24"/>
        </w:rPr>
        <w:t>磋商通知书</w:t>
      </w:r>
      <w:r>
        <w:rPr>
          <w:rFonts w:hint="eastAsia" w:ascii="宋体" w:hAnsi="宋体" w:cs="宋体"/>
          <w:b w:val="0"/>
          <w:bCs w:val="0"/>
          <w:sz w:val="24"/>
          <w:szCs w:val="24"/>
        </w:rPr>
        <w:t>的评审和比较、成交候选人的推荐情况以及与磋商有关的其他情况。</w:t>
      </w:r>
    </w:p>
    <w:p>
      <w:pPr>
        <w:pStyle w:val="4"/>
        <w:rPr>
          <w:szCs w:val="24"/>
        </w:rPr>
      </w:pPr>
      <w:bookmarkStart w:id="47" w:name="_Toc240772110"/>
      <w:r>
        <w:rPr>
          <w:rFonts w:hint="eastAsia"/>
          <w:szCs w:val="24"/>
          <w:lang w:val="en-US"/>
        </w:rPr>
        <w:t>4</w:t>
      </w:r>
      <w:r>
        <w:rPr>
          <w:rFonts w:hint="eastAsia"/>
          <w:szCs w:val="24"/>
        </w:rPr>
        <w:t>.1.2 组织</w:t>
      </w:r>
      <w:bookmarkEnd w:id="47"/>
    </w:p>
    <w:p>
      <w:pPr>
        <w:spacing w:line="360" w:lineRule="auto"/>
        <w:ind w:firstLine="480" w:firstLineChars="200"/>
        <w:rPr>
          <w:rFonts w:ascii="宋体" w:hAnsi="宋体" w:cs="宋体"/>
          <w:sz w:val="24"/>
          <w:szCs w:val="24"/>
        </w:rPr>
      </w:pPr>
      <w:r>
        <w:rPr>
          <w:rFonts w:hint="eastAsia" w:ascii="宋体" w:hAnsi="宋体" w:cs="宋体"/>
          <w:sz w:val="24"/>
          <w:szCs w:val="24"/>
        </w:rPr>
        <w:t>1）磋商小组：由使用人代表和需方自行组成专家组成磋商小组。磋商小组根据磋商通知书要求负责磋商响应性文件的审查评价。</w:t>
      </w:r>
    </w:p>
    <w:p>
      <w:pPr>
        <w:spacing w:line="360" w:lineRule="auto"/>
        <w:ind w:firstLine="480" w:firstLineChars="200"/>
        <w:rPr>
          <w:rFonts w:ascii="宋体" w:hAnsi="宋体" w:cs="宋体"/>
          <w:b/>
          <w:sz w:val="24"/>
          <w:szCs w:val="24"/>
        </w:rPr>
      </w:pPr>
      <w:r>
        <w:rPr>
          <w:rFonts w:hint="eastAsia" w:ascii="宋体" w:hAnsi="宋体" w:cs="宋体"/>
          <w:sz w:val="24"/>
          <w:szCs w:val="24"/>
        </w:rPr>
        <w:t>2）需方:由兰州职业技术学院国资及产业管理处工作人员组成，负责磋商通知书的制作，对外联系，磋商的会务工作,整理并向磋商小组分发磋商响应性文件；做好磋商会议记录；对磋商过程中的原始文件进行归档;随时印发需要的文件资料,对各种咨询函件及档案文件的统收统发</w:t>
      </w:r>
      <w:r>
        <w:rPr>
          <w:rFonts w:hint="eastAsia" w:ascii="宋体" w:hAnsi="宋体" w:cs="宋体"/>
          <w:b/>
          <w:sz w:val="24"/>
          <w:szCs w:val="24"/>
        </w:rPr>
        <w:t>。</w:t>
      </w:r>
    </w:p>
    <w:p>
      <w:pPr>
        <w:spacing w:line="360" w:lineRule="auto"/>
        <w:ind w:firstLine="480" w:firstLineChars="200"/>
        <w:rPr>
          <w:rFonts w:ascii="宋体" w:hAnsi="宋体" w:cs="宋体"/>
          <w:sz w:val="24"/>
          <w:szCs w:val="24"/>
        </w:rPr>
      </w:pPr>
      <w:r>
        <w:rPr>
          <w:rFonts w:hint="eastAsia" w:ascii="宋体" w:hAnsi="宋体" w:cs="宋体"/>
          <w:sz w:val="24"/>
          <w:szCs w:val="24"/>
        </w:rPr>
        <w:t>3）监督部门：根据国家有关法律、法规及磋商文件的规定,邀请相关部门对整个磋商过程进行监督,保证磋商的公正性,防止违法行为的产生。</w:t>
      </w:r>
    </w:p>
    <w:p>
      <w:pPr>
        <w:pStyle w:val="3"/>
        <w:ind w:firstLine="472" w:firstLineChars="196"/>
        <w:jc w:val="both"/>
        <w:rPr>
          <w:rFonts w:ascii="宋体" w:hAnsi="宋体" w:cs="宋体"/>
          <w:sz w:val="24"/>
          <w:szCs w:val="24"/>
        </w:rPr>
      </w:pPr>
      <w:bookmarkStart w:id="48" w:name="_Toc240772111"/>
      <w:r>
        <w:rPr>
          <w:rFonts w:hint="eastAsia" w:ascii="宋体" w:hAnsi="宋体" w:cs="宋体"/>
          <w:sz w:val="24"/>
          <w:szCs w:val="24"/>
        </w:rPr>
        <w:t>4.2 磋商小组的职责</w:t>
      </w:r>
      <w:bookmarkEnd w:id="48"/>
    </w:p>
    <w:p>
      <w:pPr>
        <w:spacing w:line="360" w:lineRule="auto"/>
        <w:ind w:firstLine="480" w:firstLineChars="200"/>
        <w:rPr>
          <w:rFonts w:ascii="宋体" w:hAnsi="宋体" w:cs="宋体"/>
          <w:sz w:val="24"/>
          <w:szCs w:val="24"/>
        </w:rPr>
      </w:pPr>
      <w:r>
        <w:rPr>
          <w:rFonts w:hint="eastAsia" w:ascii="宋体" w:hAnsi="宋体" w:cs="宋体"/>
          <w:sz w:val="24"/>
          <w:szCs w:val="24"/>
        </w:rPr>
        <w:t>磋商小组完成磋商后，提出书面磋商报告。磋商报告是磋商小组根据全体磋商小组成员签字的原始磋商记录和磋商结果编写的报告，主要内容包括：</w:t>
      </w:r>
    </w:p>
    <w:p>
      <w:pPr>
        <w:spacing w:line="360" w:lineRule="auto"/>
        <w:ind w:firstLine="480" w:firstLineChars="200"/>
        <w:rPr>
          <w:rFonts w:ascii="宋体" w:hAnsi="宋体" w:cs="宋体"/>
          <w:sz w:val="24"/>
          <w:szCs w:val="24"/>
        </w:rPr>
      </w:pPr>
      <w:r>
        <w:rPr>
          <w:rFonts w:hint="eastAsia" w:ascii="宋体" w:hAnsi="宋体" w:cs="宋体"/>
          <w:sz w:val="24"/>
          <w:szCs w:val="24"/>
        </w:rPr>
        <w:t>1）磋商公告刊登的媒体名称、磋商日期和地点；</w:t>
      </w:r>
    </w:p>
    <w:p>
      <w:pPr>
        <w:spacing w:line="360" w:lineRule="auto"/>
        <w:ind w:firstLine="480" w:firstLineChars="200"/>
        <w:rPr>
          <w:rFonts w:ascii="宋体" w:hAnsi="宋体" w:cs="宋体"/>
          <w:sz w:val="24"/>
          <w:szCs w:val="24"/>
        </w:rPr>
      </w:pPr>
      <w:r>
        <w:rPr>
          <w:rFonts w:hint="eastAsia" w:ascii="宋体" w:hAnsi="宋体" w:cs="宋体"/>
          <w:sz w:val="24"/>
          <w:szCs w:val="24"/>
        </w:rPr>
        <w:t>2）磋商通知书的供应商名单和磋商小组成员名单；</w:t>
      </w:r>
    </w:p>
    <w:p>
      <w:pPr>
        <w:spacing w:line="360" w:lineRule="auto"/>
        <w:ind w:firstLine="480" w:firstLineChars="200"/>
        <w:rPr>
          <w:rFonts w:ascii="宋体" w:hAnsi="宋体" w:cs="宋体"/>
          <w:sz w:val="24"/>
          <w:szCs w:val="24"/>
        </w:rPr>
      </w:pPr>
      <w:r>
        <w:rPr>
          <w:rFonts w:hint="eastAsia" w:ascii="宋体" w:hAnsi="宋体" w:cs="宋体"/>
          <w:sz w:val="24"/>
          <w:szCs w:val="24"/>
        </w:rPr>
        <w:t>3）磋商方法和标准；</w:t>
      </w:r>
    </w:p>
    <w:p>
      <w:pPr>
        <w:spacing w:line="360" w:lineRule="auto"/>
        <w:ind w:firstLine="480" w:firstLineChars="200"/>
        <w:rPr>
          <w:rFonts w:ascii="宋体" w:hAnsi="宋体" w:cs="宋体"/>
          <w:sz w:val="24"/>
          <w:szCs w:val="24"/>
        </w:rPr>
      </w:pPr>
      <w:r>
        <w:rPr>
          <w:rFonts w:hint="eastAsia" w:ascii="宋体" w:hAnsi="宋体" w:cs="宋体"/>
          <w:sz w:val="24"/>
          <w:szCs w:val="24"/>
        </w:rPr>
        <w:t>4）磋商记录和磋商情况及说明，包括磋商响应性文件未实质性响应的供应商名单及原因；</w:t>
      </w:r>
    </w:p>
    <w:p>
      <w:pPr>
        <w:spacing w:line="360" w:lineRule="auto"/>
        <w:ind w:firstLine="480" w:firstLineChars="200"/>
        <w:rPr>
          <w:rFonts w:ascii="宋体" w:hAnsi="宋体" w:cs="宋体"/>
          <w:sz w:val="24"/>
          <w:szCs w:val="24"/>
        </w:rPr>
      </w:pPr>
      <w:r>
        <w:rPr>
          <w:rFonts w:hint="eastAsia" w:ascii="宋体" w:hAnsi="宋体" w:cs="宋体"/>
          <w:sz w:val="24"/>
          <w:szCs w:val="24"/>
        </w:rPr>
        <w:t>5）磋商结果和磋商成交供应商名单；</w:t>
      </w:r>
    </w:p>
    <w:p>
      <w:pPr>
        <w:spacing w:line="360" w:lineRule="auto"/>
        <w:ind w:firstLine="480" w:firstLineChars="200"/>
        <w:rPr>
          <w:rFonts w:ascii="宋体" w:hAnsi="宋体" w:cs="宋体"/>
          <w:sz w:val="24"/>
          <w:szCs w:val="24"/>
        </w:rPr>
      </w:pPr>
      <w:r>
        <w:rPr>
          <w:rFonts w:hint="eastAsia" w:ascii="宋体" w:hAnsi="宋体" w:cs="宋体"/>
          <w:sz w:val="24"/>
          <w:szCs w:val="24"/>
        </w:rPr>
        <w:t>6）磋商小组的成交建议。</w:t>
      </w:r>
    </w:p>
    <w:p>
      <w:pPr>
        <w:spacing w:line="360" w:lineRule="auto"/>
        <w:ind w:firstLine="480" w:firstLineChars="200"/>
        <w:rPr>
          <w:rFonts w:ascii="宋体" w:hAnsi="宋体" w:cs="宋体"/>
          <w:sz w:val="24"/>
          <w:szCs w:val="24"/>
        </w:rPr>
      </w:pPr>
      <w:r>
        <w:rPr>
          <w:rFonts w:hint="eastAsia" w:ascii="宋体" w:hAnsi="宋体" w:cs="宋体"/>
          <w:sz w:val="24"/>
          <w:szCs w:val="24"/>
        </w:rPr>
        <w:t>评审报告由磋商小组全体人员签字认可。磋商小组成员对评审报告有异议的，磋商小组按照少数服从多数的原则推荐成交候选人，采购程序继续进行。对评审报告有异议的磋商小组成员，在报告上签署不同意见并说明理由，由磋商小组书面记录相关情况。磋商小组成员拒绝在报告上签字又不书面说明其不同意见和理由的，视为同意评审报告。</w:t>
      </w:r>
    </w:p>
    <w:p>
      <w:pPr>
        <w:spacing w:line="360" w:lineRule="auto"/>
        <w:ind w:firstLine="480" w:firstLineChars="200"/>
        <w:rPr>
          <w:rFonts w:ascii="宋体" w:hAnsi="宋体" w:cs="宋体"/>
          <w:sz w:val="24"/>
          <w:szCs w:val="24"/>
        </w:rPr>
      </w:pPr>
      <w:r>
        <w:rPr>
          <w:rFonts w:hint="eastAsia" w:ascii="宋体" w:hAnsi="宋体" w:cs="宋体"/>
          <w:sz w:val="24"/>
          <w:szCs w:val="24"/>
        </w:rPr>
        <w:t>磋商小组成员以及与评审工作有关的人员不得泄露评审情况以及评审过程中获悉的国家秘密、商业秘密。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sz w:val="24"/>
          <w:szCs w:val="24"/>
        </w:rPr>
      </w:pPr>
    </w:p>
    <w:p>
      <w:pPr>
        <w:pStyle w:val="3"/>
        <w:ind w:firstLine="482" w:firstLineChars="200"/>
        <w:jc w:val="both"/>
        <w:rPr>
          <w:rFonts w:ascii="宋体" w:hAnsi="宋体" w:cs="宋体"/>
          <w:sz w:val="24"/>
          <w:szCs w:val="24"/>
        </w:rPr>
      </w:pPr>
      <w:bookmarkStart w:id="49" w:name="_Toc240772112"/>
      <w:r>
        <w:rPr>
          <w:rFonts w:hint="eastAsia" w:ascii="宋体" w:hAnsi="宋体" w:cs="宋体"/>
          <w:sz w:val="24"/>
          <w:szCs w:val="24"/>
        </w:rPr>
        <w:t>4.3 磋商内容及标准</w:t>
      </w:r>
      <w:bookmarkEnd w:id="49"/>
    </w:p>
    <w:p>
      <w:pPr>
        <w:spacing w:line="360" w:lineRule="auto"/>
        <w:ind w:firstLine="480" w:firstLineChars="200"/>
        <w:rPr>
          <w:rFonts w:ascii="宋体" w:hAnsi="宋体" w:cs="宋体"/>
          <w:sz w:val="24"/>
          <w:szCs w:val="24"/>
          <w:lang w:val="zh-CN"/>
        </w:rPr>
      </w:pPr>
      <w:r>
        <w:rPr>
          <w:rFonts w:hint="eastAsia" w:ascii="宋体" w:hAnsi="宋体" w:cs="宋体"/>
          <w:sz w:val="24"/>
          <w:szCs w:val="24"/>
        </w:rPr>
        <w:t>需方</w:t>
      </w:r>
      <w:r>
        <w:rPr>
          <w:rFonts w:hint="eastAsia" w:ascii="宋体" w:hAnsi="宋体" w:cs="宋体"/>
          <w:sz w:val="24"/>
          <w:szCs w:val="24"/>
          <w:lang w:val="zh-CN"/>
        </w:rPr>
        <w:t>将组织磋商小组对</w:t>
      </w:r>
      <w:r>
        <w:rPr>
          <w:rFonts w:hint="eastAsia" w:ascii="宋体" w:hAnsi="宋体" w:cs="宋体"/>
          <w:sz w:val="24"/>
          <w:szCs w:val="24"/>
        </w:rPr>
        <w:t>磋商响应性文件进行</w:t>
      </w:r>
      <w:r>
        <w:rPr>
          <w:rFonts w:hint="eastAsia" w:ascii="宋体" w:hAnsi="宋体" w:cs="宋体"/>
          <w:sz w:val="24"/>
          <w:szCs w:val="24"/>
          <w:lang w:val="zh-CN"/>
        </w:rPr>
        <w:t>审查，评估供应商的财务、技术和生产能力。磋商小组可以对确定为实质上响应</w:t>
      </w:r>
      <w:r>
        <w:rPr>
          <w:rFonts w:hint="eastAsia" w:ascii="宋体" w:hAnsi="宋体" w:cs="宋体"/>
          <w:sz w:val="24"/>
          <w:szCs w:val="24"/>
        </w:rPr>
        <w:t>磋商通知书</w:t>
      </w:r>
      <w:r>
        <w:rPr>
          <w:rFonts w:hint="eastAsia" w:ascii="宋体" w:hAnsi="宋体" w:cs="宋体"/>
          <w:sz w:val="24"/>
          <w:szCs w:val="24"/>
          <w:lang w:val="zh-CN"/>
        </w:rPr>
        <w:t>要求的磋商响应性文件进行校核，修正错误的标准如下：</w:t>
      </w:r>
    </w:p>
    <w:p>
      <w:pPr>
        <w:spacing w:line="360" w:lineRule="auto"/>
        <w:ind w:firstLine="480"/>
        <w:rPr>
          <w:rFonts w:ascii="宋体" w:hAnsi="宋体" w:cs="宋体"/>
          <w:sz w:val="24"/>
          <w:szCs w:val="24"/>
          <w:lang w:val="zh-CN"/>
        </w:rPr>
      </w:pPr>
      <w:r>
        <w:rPr>
          <w:rFonts w:hint="eastAsia" w:ascii="宋体" w:hAnsi="宋体" w:cs="宋体"/>
          <w:sz w:val="24"/>
          <w:szCs w:val="24"/>
          <w:lang w:val="zh-CN"/>
        </w:rPr>
        <w:t>1）如果用数字表示的数额与用文字表示的数额不一致时，以文字数额为准。</w:t>
      </w:r>
    </w:p>
    <w:p>
      <w:pPr>
        <w:spacing w:line="360" w:lineRule="auto"/>
        <w:ind w:firstLine="480"/>
        <w:rPr>
          <w:rFonts w:ascii="宋体" w:hAnsi="宋体" w:cs="宋体"/>
          <w:sz w:val="24"/>
          <w:szCs w:val="24"/>
          <w:lang w:val="zh-CN"/>
        </w:rPr>
      </w:pPr>
      <w:r>
        <w:rPr>
          <w:rFonts w:hint="eastAsia" w:ascii="宋体" w:hAnsi="宋体" w:cs="宋体"/>
          <w:sz w:val="24"/>
          <w:szCs w:val="24"/>
          <w:lang w:val="zh-CN"/>
        </w:rPr>
        <w:t>2) 当单价与总价之间不一致时，通常以标出的单价为准。除非磋商小组认为有明显的小数点错位，此时应以标出的总价为准，并修改单价。</w:t>
      </w:r>
    </w:p>
    <w:p>
      <w:pPr>
        <w:tabs>
          <w:tab w:val="left" w:pos="8640"/>
        </w:tabs>
        <w:spacing w:line="360" w:lineRule="auto"/>
        <w:ind w:firstLine="480"/>
        <w:rPr>
          <w:rFonts w:ascii="宋体" w:hAnsi="宋体" w:cs="宋体"/>
          <w:sz w:val="24"/>
          <w:szCs w:val="24"/>
        </w:rPr>
      </w:pPr>
      <w:r>
        <w:rPr>
          <w:rFonts w:hint="eastAsia" w:ascii="宋体" w:hAnsi="宋体" w:cs="宋体"/>
          <w:sz w:val="24"/>
          <w:szCs w:val="24"/>
          <w:lang w:val="zh-CN"/>
        </w:rPr>
        <w:t>3）对于磋商响应性文件中不构成实质性偏差的小的不正规、不一致或不规则，磋商小组可以接受，但这种接受不能损害或影响任何供应商的相对排序。</w:t>
      </w:r>
    </w:p>
    <w:p>
      <w:pPr>
        <w:spacing w:line="360" w:lineRule="auto"/>
        <w:ind w:firstLine="480"/>
        <w:rPr>
          <w:rFonts w:ascii="宋体" w:hAnsi="宋体" w:cs="宋体"/>
          <w:spacing w:val="4"/>
          <w:sz w:val="24"/>
          <w:szCs w:val="24"/>
        </w:rPr>
      </w:pPr>
      <w:r>
        <w:rPr>
          <w:rFonts w:hint="eastAsia" w:ascii="宋体" w:hAnsi="宋体" w:cs="宋体"/>
          <w:spacing w:val="4"/>
          <w:sz w:val="24"/>
          <w:szCs w:val="24"/>
          <w:lang w:val="zh-CN"/>
        </w:rPr>
        <w:t>4）磋商小组审查每份磋商响应性文件是否实质上响应了</w:t>
      </w:r>
      <w:r>
        <w:rPr>
          <w:rFonts w:hint="eastAsia" w:ascii="宋体" w:hAnsi="宋体" w:cs="宋体"/>
          <w:sz w:val="24"/>
          <w:szCs w:val="24"/>
        </w:rPr>
        <w:t>磋商通知书</w:t>
      </w:r>
      <w:r>
        <w:rPr>
          <w:rFonts w:hint="eastAsia" w:ascii="宋体" w:hAnsi="宋体" w:cs="宋体"/>
          <w:spacing w:val="4"/>
          <w:sz w:val="24"/>
          <w:szCs w:val="24"/>
          <w:lang w:val="zh-CN"/>
        </w:rPr>
        <w:t>的要求。实质上响应的磋商响应性文件应该与</w:t>
      </w:r>
      <w:r>
        <w:rPr>
          <w:rFonts w:hint="eastAsia" w:ascii="宋体" w:hAnsi="宋体" w:cs="宋体"/>
          <w:sz w:val="24"/>
          <w:szCs w:val="24"/>
        </w:rPr>
        <w:t>磋商通知书</w:t>
      </w:r>
      <w:r>
        <w:rPr>
          <w:rFonts w:hint="eastAsia" w:ascii="宋体" w:hAnsi="宋体" w:cs="宋体"/>
          <w:spacing w:val="4"/>
          <w:sz w:val="24"/>
          <w:szCs w:val="24"/>
          <w:lang w:val="zh-CN"/>
        </w:rPr>
        <w:t>要求的全部条款、条件和规格相符，没有重大偏离。磋商小组决定磋商响应性文件的响应性只根据</w:t>
      </w:r>
      <w:r>
        <w:rPr>
          <w:rFonts w:hint="eastAsia" w:ascii="宋体" w:hAnsi="宋体" w:cs="宋体"/>
          <w:sz w:val="24"/>
          <w:szCs w:val="24"/>
        </w:rPr>
        <w:t>磋商通知书</w:t>
      </w:r>
      <w:r>
        <w:rPr>
          <w:rFonts w:hint="eastAsia" w:ascii="宋体" w:hAnsi="宋体" w:cs="宋体"/>
          <w:spacing w:val="4"/>
          <w:sz w:val="24"/>
          <w:szCs w:val="24"/>
          <w:lang w:val="zh-CN"/>
        </w:rPr>
        <w:t>本身的内容，而不寻求外部的证据。</w:t>
      </w:r>
    </w:p>
    <w:p>
      <w:pPr>
        <w:tabs>
          <w:tab w:val="left" w:pos="8640"/>
        </w:tabs>
        <w:spacing w:line="360" w:lineRule="auto"/>
        <w:ind w:firstLine="482"/>
        <w:rPr>
          <w:rFonts w:ascii="宋体" w:hAnsi="宋体" w:cs="宋体"/>
          <w:sz w:val="24"/>
          <w:szCs w:val="24"/>
          <w:lang w:val="zh-CN"/>
        </w:rPr>
      </w:pPr>
      <w:r>
        <w:rPr>
          <w:rFonts w:hint="eastAsia" w:ascii="宋体" w:hAnsi="宋体" w:cs="宋体"/>
          <w:sz w:val="24"/>
          <w:szCs w:val="24"/>
          <w:lang w:val="zh-CN"/>
        </w:rPr>
        <w:t>5）如果磋商响应性文件实质上没有响应</w:t>
      </w:r>
      <w:r>
        <w:rPr>
          <w:rFonts w:hint="eastAsia" w:ascii="宋体" w:hAnsi="宋体" w:cs="宋体"/>
          <w:sz w:val="24"/>
          <w:szCs w:val="24"/>
        </w:rPr>
        <w:t>磋商通知书</w:t>
      </w:r>
      <w:r>
        <w:rPr>
          <w:rFonts w:hint="eastAsia" w:ascii="宋体" w:hAnsi="宋体" w:cs="宋体"/>
          <w:sz w:val="24"/>
          <w:szCs w:val="24"/>
          <w:lang w:val="zh-CN"/>
        </w:rPr>
        <w:t>的要求，供应商不得通过修正或撤消不符合要求的偏离从而使其成为实质上响应。</w:t>
      </w:r>
    </w:p>
    <w:p>
      <w:pPr>
        <w:tabs>
          <w:tab w:val="left" w:pos="8640"/>
        </w:tabs>
        <w:spacing w:line="360" w:lineRule="auto"/>
        <w:ind w:firstLine="482"/>
        <w:rPr>
          <w:rFonts w:hint="eastAsia" w:ascii="宋体" w:hAnsi="宋体" w:cs="宋体"/>
          <w:b/>
          <w:sz w:val="24"/>
          <w:szCs w:val="24"/>
          <w:lang w:val="zh-CN"/>
        </w:rPr>
      </w:pPr>
      <w:r>
        <w:rPr>
          <w:rFonts w:hint="eastAsia" w:ascii="宋体" w:hAnsi="宋体" w:cs="宋体"/>
          <w:b/>
          <w:sz w:val="24"/>
          <w:szCs w:val="24"/>
          <w:lang w:val="zh-CN"/>
        </w:rPr>
        <w:t>4.3.1磋商办法</w:t>
      </w:r>
    </w:p>
    <w:tbl>
      <w:tblPr>
        <w:tblStyle w:val="17"/>
        <w:tblW w:w="9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220"/>
        <w:gridCol w:w="7087"/>
        <w:gridCol w:w="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15" w:type="dxa"/>
            <w:gridSpan w:val="3"/>
            <w:vAlign w:val="center"/>
          </w:tcPr>
          <w:p>
            <w:pPr>
              <w:widowControl/>
              <w:contextualSpacing/>
              <w:jc w:val="center"/>
              <w:rPr>
                <w:rFonts w:ascii="宋体" w:hAnsi="宋体"/>
                <w:b/>
                <w:szCs w:val="21"/>
              </w:rPr>
            </w:pPr>
            <w:r>
              <w:rPr>
                <w:rFonts w:ascii="宋体" w:hAnsi="宋体"/>
                <w:b/>
                <w:szCs w:val="21"/>
              </w:rPr>
              <w:t>第一部分</w:t>
            </w:r>
            <w:r>
              <w:rPr>
                <w:rFonts w:hint="eastAsia" w:ascii="宋体" w:hAnsi="宋体"/>
                <w:b/>
                <w:szCs w:val="21"/>
              </w:rPr>
              <w:t xml:space="preserve"> 价格（30分）</w:t>
            </w:r>
          </w:p>
        </w:tc>
        <w:tc>
          <w:tcPr>
            <w:tcW w:w="834" w:type="dxa"/>
            <w:vAlign w:val="center"/>
          </w:tcPr>
          <w:p>
            <w:pPr>
              <w:widowControl/>
              <w:contextualSpacing/>
              <w:jc w:val="center"/>
              <w:rPr>
                <w:rFonts w:ascii="宋体" w:hAnsi="宋体"/>
                <w:b/>
                <w:szCs w:val="21"/>
              </w:rPr>
            </w:pPr>
            <w:r>
              <w:rPr>
                <w:rFonts w:ascii="宋体" w:hAnsi="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1</w:t>
            </w:r>
          </w:p>
        </w:tc>
        <w:tc>
          <w:tcPr>
            <w:tcW w:w="1220" w:type="dxa"/>
            <w:vAlign w:val="center"/>
          </w:tcPr>
          <w:p>
            <w:pPr>
              <w:widowControl/>
              <w:contextualSpacing/>
              <w:jc w:val="center"/>
              <w:rPr>
                <w:rFonts w:ascii="宋体" w:hAnsi="宋体"/>
                <w:szCs w:val="21"/>
              </w:rPr>
            </w:pPr>
            <w:r>
              <w:rPr>
                <w:rFonts w:hint="eastAsia" w:ascii="宋体" w:hAnsi="宋体"/>
                <w:szCs w:val="21"/>
              </w:rPr>
              <w:t>价格</w:t>
            </w:r>
          </w:p>
        </w:tc>
        <w:tc>
          <w:tcPr>
            <w:tcW w:w="7087" w:type="dxa"/>
            <w:vAlign w:val="center"/>
          </w:tcPr>
          <w:p>
            <w:pPr>
              <w:widowControl/>
              <w:contextualSpacing/>
              <w:rPr>
                <w:rFonts w:ascii="宋体" w:hAnsi="宋体"/>
                <w:szCs w:val="21"/>
              </w:rPr>
            </w:pPr>
            <w:r>
              <w:rPr>
                <w:rFonts w:hint="eastAsia" w:ascii="宋体" w:hAnsi="宋体"/>
                <w:szCs w:val="21"/>
              </w:rPr>
              <w:t>满足招标文件要求的投标人的最低报价为评标基准价，其价格为满分。其他投标人的价格统一按照下列公式计算：投标报价得分=（评标基准价/投标报价）×30</w:t>
            </w:r>
          </w:p>
        </w:tc>
        <w:tc>
          <w:tcPr>
            <w:tcW w:w="834" w:type="dxa"/>
            <w:vAlign w:val="center"/>
          </w:tcPr>
          <w:p>
            <w:pPr>
              <w:widowControl/>
              <w:contextualSpacing/>
              <w:jc w:val="center"/>
              <w:rPr>
                <w:rFonts w:ascii="宋体" w:hAnsi="宋体"/>
                <w:szCs w:val="21"/>
              </w:rPr>
            </w:pPr>
            <w:r>
              <w:rPr>
                <w:rFonts w:hint="eastAsia" w:ascii="宋体" w:hAnsi="宋体"/>
                <w:szCs w:val="21"/>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15" w:type="dxa"/>
            <w:gridSpan w:val="3"/>
            <w:vAlign w:val="center"/>
          </w:tcPr>
          <w:p>
            <w:pPr>
              <w:widowControl/>
              <w:contextualSpacing/>
              <w:jc w:val="center"/>
              <w:rPr>
                <w:rFonts w:ascii="宋体" w:hAnsi="宋体"/>
                <w:b/>
                <w:szCs w:val="21"/>
              </w:rPr>
            </w:pPr>
            <w:r>
              <w:rPr>
                <w:rFonts w:ascii="宋体" w:hAnsi="宋体"/>
                <w:b/>
                <w:szCs w:val="21"/>
              </w:rPr>
              <w:t>第</w:t>
            </w:r>
            <w:r>
              <w:rPr>
                <w:rFonts w:hint="eastAsia" w:ascii="宋体" w:hAnsi="宋体"/>
                <w:b/>
                <w:szCs w:val="21"/>
              </w:rPr>
              <w:t>二</w:t>
            </w:r>
            <w:r>
              <w:rPr>
                <w:rFonts w:ascii="宋体" w:hAnsi="宋体"/>
                <w:b/>
                <w:szCs w:val="21"/>
              </w:rPr>
              <w:t xml:space="preserve">部分 </w:t>
            </w:r>
            <w:r>
              <w:rPr>
                <w:rFonts w:hint="eastAsia" w:ascii="宋体" w:hAnsi="宋体"/>
                <w:b/>
                <w:szCs w:val="21"/>
              </w:rPr>
              <w:t>商务分</w:t>
            </w:r>
            <w:r>
              <w:rPr>
                <w:rFonts w:ascii="宋体" w:hAnsi="宋体"/>
                <w:b/>
                <w:szCs w:val="21"/>
              </w:rPr>
              <w:t>（</w:t>
            </w:r>
            <w:r>
              <w:rPr>
                <w:rFonts w:hint="eastAsia" w:ascii="宋体" w:hAnsi="宋体"/>
                <w:b/>
                <w:szCs w:val="21"/>
              </w:rPr>
              <w:t>27</w:t>
            </w:r>
            <w:r>
              <w:rPr>
                <w:rFonts w:ascii="宋体" w:hAnsi="宋体"/>
                <w:b/>
                <w:szCs w:val="21"/>
              </w:rPr>
              <w:t>分）</w:t>
            </w:r>
          </w:p>
        </w:tc>
        <w:tc>
          <w:tcPr>
            <w:tcW w:w="834" w:type="dxa"/>
            <w:vAlign w:val="center"/>
          </w:tcPr>
          <w:p>
            <w:pPr>
              <w:widowControl/>
              <w:contextualSpacing/>
              <w:jc w:val="center"/>
              <w:rPr>
                <w:rFonts w:ascii="宋体" w:hAnsi="宋体"/>
                <w:b/>
                <w:szCs w:val="21"/>
              </w:rPr>
            </w:pPr>
            <w:r>
              <w:rPr>
                <w:rFonts w:hint="eastAsia" w:ascii="宋体" w:hAnsi="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1</w:t>
            </w:r>
          </w:p>
        </w:tc>
        <w:tc>
          <w:tcPr>
            <w:tcW w:w="1220" w:type="dxa"/>
            <w:vMerge w:val="restart"/>
            <w:vAlign w:val="center"/>
          </w:tcPr>
          <w:p>
            <w:pPr>
              <w:widowControl/>
              <w:contextualSpacing/>
              <w:jc w:val="center"/>
              <w:rPr>
                <w:rFonts w:ascii="宋体" w:hAnsi="宋体" w:cs="宋体"/>
                <w:szCs w:val="21"/>
              </w:rPr>
            </w:pPr>
            <w:r>
              <w:rPr>
                <w:rFonts w:hint="eastAsia" w:ascii="宋体" w:hAnsi="宋体" w:cs="宋体"/>
                <w:szCs w:val="21"/>
              </w:rPr>
              <w:t>投标人综合实力</w:t>
            </w:r>
          </w:p>
        </w:tc>
        <w:tc>
          <w:tcPr>
            <w:tcW w:w="7087" w:type="dxa"/>
            <w:vAlign w:val="center"/>
          </w:tcPr>
          <w:p>
            <w:pPr>
              <w:widowControl/>
              <w:ind w:firstLine="210" w:firstLineChars="100"/>
              <w:contextualSpacing/>
              <w:jc w:val="left"/>
              <w:rPr>
                <w:rFonts w:ascii="宋体" w:hAnsi="宋体"/>
                <w:szCs w:val="21"/>
              </w:rPr>
            </w:pPr>
            <w:r>
              <w:rPr>
                <w:rFonts w:hint="eastAsia" w:ascii="宋体" w:hAnsi="宋体"/>
                <w:szCs w:val="21"/>
              </w:rPr>
              <w:t>提供投标人安防工程设计施工资质证书，贰级及以上资质的得2分，叁级资质的得1分，没有不得分；</w:t>
            </w:r>
          </w:p>
        </w:tc>
        <w:tc>
          <w:tcPr>
            <w:tcW w:w="834" w:type="dxa"/>
            <w:vAlign w:val="center"/>
          </w:tcPr>
          <w:p>
            <w:pPr>
              <w:widowControl/>
              <w:contextualSpacing/>
              <w:jc w:val="center"/>
              <w:rPr>
                <w:rFonts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2</w:t>
            </w:r>
          </w:p>
        </w:tc>
        <w:tc>
          <w:tcPr>
            <w:tcW w:w="1220" w:type="dxa"/>
            <w:vMerge w:val="continue"/>
            <w:vAlign w:val="center"/>
          </w:tcPr>
          <w:p>
            <w:pPr>
              <w:widowControl/>
              <w:contextualSpacing/>
              <w:jc w:val="center"/>
              <w:rPr>
                <w:rFonts w:hint="eastAsia" w:ascii="宋体" w:hAnsi="宋体" w:cs="宋体"/>
                <w:szCs w:val="21"/>
              </w:rPr>
            </w:pPr>
          </w:p>
        </w:tc>
        <w:tc>
          <w:tcPr>
            <w:tcW w:w="7087" w:type="dxa"/>
            <w:vAlign w:val="center"/>
          </w:tcPr>
          <w:p>
            <w:pPr>
              <w:widowControl/>
              <w:ind w:firstLine="210" w:firstLineChars="100"/>
              <w:contextualSpacing/>
              <w:jc w:val="left"/>
              <w:rPr>
                <w:rFonts w:hint="eastAsia" w:ascii="宋体" w:hAnsi="宋体"/>
                <w:szCs w:val="21"/>
              </w:rPr>
            </w:pPr>
            <w:r>
              <w:rPr>
                <w:rFonts w:hint="eastAsia" w:ascii="宋体" w:hAnsi="宋体"/>
                <w:szCs w:val="21"/>
              </w:rPr>
              <w:t xml:space="preserve">提供投标人有效期范围内的高新技术企业证书，满足得2分，否则不得分； </w:t>
            </w:r>
          </w:p>
        </w:tc>
        <w:tc>
          <w:tcPr>
            <w:tcW w:w="834" w:type="dxa"/>
            <w:vAlign w:val="center"/>
          </w:tcPr>
          <w:p>
            <w:pPr>
              <w:widowControl/>
              <w:contextualSpacing/>
              <w:jc w:val="center"/>
              <w:rPr>
                <w:rFonts w:hint="eastAsia"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3</w:t>
            </w:r>
          </w:p>
        </w:tc>
        <w:tc>
          <w:tcPr>
            <w:tcW w:w="1220" w:type="dxa"/>
            <w:vMerge w:val="continue"/>
            <w:vAlign w:val="center"/>
          </w:tcPr>
          <w:p>
            <w:pPr>
              <w:widowControl/>
              <w:contextualSpacing/>
              <w:jc w:val="center"/>
              <w:rPr>
                <w:rFonts w:hint="eastAsia" w:ascii="宋体" w:hAnsi="宋体" w:cs="宋体"/>
                <w:szCs w:val="21"/>
              </w:rPr>
            </w:pPr>
          </w:p>
        </w:tc>
        <w:tc>
          <w:tcPr>
            <w:tcW w:w="7087" w:type="dxa"/>
            <w:vAlign w:val="center"/>
          </w:tcPr>
          <w:p>
            <w:pPr>
              <w:widowControl/>
              <w:ind w:firstLine="210" w:firstLineChars="100"/>
              <w:contextualSpacing/>
              <w:jc w:val="left"/>
              <w:rPr>
                <w:rFonts w:ascii="宋体" w:hAnsi="宋体"/>
                <w:szCs w:val="21"/>
              </w:rPr>
            </w:pPr>
            <w:r>
              <w:rPr>
                <w:rFonts w:ascii="宋体" w:hAnsi="宋体"/>
                <w:szCs w:val="21"/>
              </w:rPr>
              <w:t>为证明投标人的技术服务能力</w:t>
            </w:r>
            <w:r>
              <w:rPr>
                <w:rFonts w:hint="eastAsia" w:ascii="宋体" w:hAnsi="宋体"/>
                <w:szCs w:val="21"/>
              </w:rPr>
              <w:t>，</w:t>
            </w:r>
            <w:r>
              <w:rPr>
                <w:rFonts w:ascii="宋体" w:hAnsi="宋体"/>
                <w:szCs w:val="21"/>
              </w:rPr>
              <w:t>要求提供</w:t>
            </w:r>
            <w:r>
              <w:rPr>
                <w:rFonts w:hint="eastAsia" w:ascii="宋体" w:hAnsi="宋体"/>
                <w:szCs w:val="21"/>
              </w:rPr>
              <w:t>有效期范围内的ISO/IEC20000信息技术服务管理体系认证证书，满足得2分，没有不得分；</w:t>
            </w:r>
          </w:p>
          <w:p>
            <w:pPr>
              <w:widowControl/>
              <w:ind w:firstLine="210" w:firstLineChars="100"/>
              <w:contextualSpacing/>
              <w:jc w:val="left"/>
              <w:rPr>
                <w:rFonts w:hint="eastAsia" w:ascii="宋体" w:hAnsi="宋体"/>
                <w:szCs w:val="21"/>
              </w:rPr>
            </w:pPr>
            <w:r>
              <w:rPr>
                <w:rFonts w:ascii="宋体" w:hAnsi="宋体"/>
                <w:szCs w:val="21"/>
              </w:rPr>
              <w:t>为证明投标人的售后服务能力</w:t>
            </w:r>
            <w:r>
              <w:rPr>
                <w:rFonts w:hint="eastAsia" w:ascii="宋体" w:hAnsi="宋体"/>
                <w:szCs w:val="21"/>
              </w:rPr>
              <w:t>，</w:t>
            </w:r>
            <w:r>
              <w:rPr>
                <w:rFonts w:ascii="宋体" w:hAnsi="宋体"/>
                <w:szCs w:val="21"/>
              </w:rPr>
              <w:t>要求提供</w:t>
            </w:r>
            <w:r>
              <w:rPr>
                <w:rFonts w:hint="eastAsia" w:ascii="宋体" w:hAnsi="宋体"/>
                <w:szCs w:val="21"/>
              </w:rPr>
              <w:t>有效期范围内的GB/T27922售后服务认证证书，五星售后得3分，四星及以下得2分，没有不得分；</w:t>
            </w:r>
          </w:p>
        </w:tc>
        <w:tc>
          <w:tcPr>
            <w:tcW w:w="834" w:type="dxa"/>
            <w:vAlign w:val="center"/>
          </w:tcPr>
          <w:p>
            <w:pPr>
              <w:widowControl/>
              <w:contextualSpacing/>
              <w:jc w:val="center"/>
              <w:rPr>
                <w:rFonts w:hint="eastAsia" w:ascii="宋体" w:hAnsi="宋体"/>
                <w:szCs w:val="21"/>
              </w:rPr>
            </w:pPr>
            <w:r>
              <w:rPr>
                <w:rFonts w:hint="eastAsia" w:ascii="宋体" w:hAnsi="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08" w:type="dxa"/>
            <w:vAlign w:val="center"/>
          </w:tcPr>
          <w:p>
            <w:pPr>
              <w:widowControl/>
              <w:contextualSpacing/>
              <w:jc w:val="center"/>
              <w:rPr>
                <w:rFonts w:hint="eastAsia" w:ascii="宋体" w:hAnsi="宋体"/>
                <w:szCs w:val="21"/>
              </w:rPr>
            </w:pPr>
            <w:r>
              <w:rPr>
                <w:rFonts w:hint="eastAsia" w:ascii="宋体" w:hAnsi="宋体"/>
                <w:szCs w:val="21"/>
              </w:rPr>
              <w:t>4</w:t>
            </w:r>
          </w:p>
        </w:tc>
        <w:tc>
          <w:tcPr>
            <w:tcW w:w="1220" w:type="dxa"/>
            <w:vMerge w:val="continue"/>
            <w:vAlign w:val="center"/>
          </w:tcPr>
          <w:p>
            <w:pPr>
              <w:widowControl/>
              <w:contextualSpacing/>
              <w:jc w:val="center"/>
              <w:rPr>
                <w:rFonts w:hint="eastAsia" w:ascii="宋体" w:hAnsi="宋体" w:cs="宋体"/>
                <w:szCs w:val="21"/>
              </w:rPr>
            </w:pPr>
          </w:p>
        </w:tc>
        <w:tc>
          <w:tcPr>
            <w:tcW w:w="7087" w:type="dxa"/>
            <w:vAlign w:val="center"/>
          </w:tcPr>
          <w:p>
            <w:pPr>
              <w:widowControl/>
              <w:ind w:firstLine="210" w:firstLineChars="100"/>
              <w:contextualSpacing/>
              <w:jc w:val="left"/>
              <w:rPr>
                <w:rFonts w:ascii="宋体" w:hAnsi="宋体"/>
                <w:szCs w:val="21"/>
              </w:rPr>
            </w:pPr>
            <w:r>
              <w:rPr>
                <w:rFonts w:hint="eastAsia" w:ascii="宋体" w:hAnsi="宋体"/>
                <w:szCs w:val="21"/>
              </w:rPr>
              <w:t>为证明投标人的综合实力，应提供第三方权威机构颁发的重合同守信用企业证书，满足得1分；应提供省级中小企业服务中心颁发的行业优秀企业证书，满足得1分，没有不得分；</w:t>
            </w:r>
            <w:r>
              <w:rPr>
                <w:rFonts w:ascii="宋体" w:hAnsi="宋体"/>
                <w:szCs w:val="21"/>
              </w:rPr>
              <w:t xml:space="preserve"> </w:t>
            </w:r>
          </w:p>
        </w:tc>
        <w:tc>
          <w:tcPr>
            <w:tcW w:w="834" w:type="dxa"/>
            <w:vAlign w:val="center"/>
          </w:tcPr>
          <w:p>
            <w:pPr>
              <w:widowControl/>
              <w:contextualSpacing/>
              <w:jc w:val="center"/>
              <w:rPr>
                <w:rFonts w:hint="eastAsia"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08" w:type="dxa"/>
            <w:vAlign w:val="center"/>
          </w:tcPr>
          <w:p>
            <w:pPr>
              <w:widowControl/>
              <w:contextualSpacing/>
              <w:jc w:val="center"/>
              <w:rPr>
                <w:rFonts w:hint="eastAsia" w:ascii="宋体" w:hAnsi="宋体"/>
                <w:szCs w:val="21"/>
              </w:rPr>
            </w:pPr>
            <w:r>
              <w:rPr>
                <w:rFonts w:hint="eastAsia" w:ascii="宋体" w:hAnsi="宋体"/>
                <w:szCs w:val="21"/>
              </w:rPr>
              <w:t>5</w:t>
            </w:r>
          </w:p>
        </w:tc>
        <w:tc>
          <w:tcPr>
            <w:tcW w:w="1220" w:type="dxa"/>
            <w:vMerge w:val="continue"/>
            <w:vAlign w:val="center"/>
          </w:tcPr>
          <w:p>
            <w:pPr>
              <w:widowControl/>
              <w:contextualSpacing/>
              <w:jc w:val="center"/>
              <w:rPr>
                <w:rFonts w:hint="eastAsia" w:ascii="宋体" w:hAnsi="宋体" w:cs="宋体"/>
                <w:szCs w:val="21"/>
              </w:rPr>
            </w:pPr>
          </w:p>
        </w:tc>
        <w:tc>
          <w:tcPr>
            <w:tcW w:w="7087" w:type="dxa"/>
            <w:vAlign w:val="center"/>
          </w:tcPr>
          <w:p>
            <w:pPr>
              <w:widowControl/>
              <w:ind w:firstLine="210" w:firstLineChars="100"/>
              <w:contextualSpacing/>
              <w:jc w:val="left"/>
              <w:rPr>
                <w:rFonts w:ascii="宋体" w:hAnsi="宋体"/>
                <w:szCs w:val="21"/>
              </w:rPr>
            </w:pPr>
            <w:r>
              <w:rPr>
                <w:rFonts w:hint="eastAsia" w:ascii="宋体" w:hAnsi="宋体"/>
                <w:szCs w:val="21"/>
              </w:rPr>
              <w:t>提供投标人智能停车场管理系统、监控综合管理系统方面的软件著作权证书，满足一项得1分，满分2分，没有或其它不得分；</w:t>
            </w:r>
          </w:p>
        </w:tc>
        <w:tc>
          <w:tcPr>
            <w:tcW w:w="834" w:type="dxa"/>
            <w:vAlign w:val="center"/>
          </w:tcPr>
          <w:p>
            <w:pPr>
              <w:widowControl/>
              <w:contextualSpacing/>
              <w:jc w:val="center"/>
              <w:rPr>
                <w:rFonts w:hint="eastAsia"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6</w:t>
            </w:r>
          </w:p>
        </w:tc>
        <w:tc>
          <w:tcPr>
            <w:tcW w:w="1220" w:type="dxa"/>
            <w:vMerge w:val="continue"/>
            <w:vAlign w:val="center"/>
          </w:tcPr>
          <w:p>
            <w:pPr>
              <w:contextualSpacing/>
              <w:jc w:val="center"/>
              <w:rPr>
                <w:rFonts w:ascii="宋体" w:hAnsi="宋体" w:cs="宋体"/>
                <w:szCs w:val="21"/>
              </w:rPr>
            </w:pPr>
          </w:p>
        </w:tc>
        <w:tc>
          <w:tcPr>
            <w:tcW w:w="7087" w:type="dxa"/>
            <w:vAlign w:val="center"/>
          </w:tcPr>
          <w:p>
            <w:pPr>
              <w:widowControl/>
              <w:ind w:firstLine="210" w:firstLineChars="100"/>
              <w:contextualSpacing/>
              <w:jc w:val="left"/>
              <w:rPr>
                <w:rFonts w:ascii="宋体" w:hAnsi="宋体" w:cs="宋体"/>
                <w:szCs w:val="21"/>
              </w:rPr>
            </w:pPr>
            <w:r>
              <w:rPr>
                <w:rFonts w:hint="eastAsia" w:ascii="宋体" w:hAnsi="宋体" w:cs="宋体"/>
                <w:szCs w:val="21"/>
              </w:rPr>
              <w:t>投标人近三年的同类项目业绩(车辆管理或监控类)，提供一份得1分，满分3分；（至少提供一个车辆管理系统的业绩证明，否则此项不得分，提供合同或中标通知书复印件）</w:t>
            </w:r>
          </w:p>
        </w:tc>
        <w:tc>
          <w:tcPr>
            <w:tcW w:w="834" w:type="dxa"/>
            <w:vAlign w:val="center"/>
          </w:tcPr>
          <w:p>
            <w:pPr>
              <w:widowControl/>
              <w:contextualSpacing/>
              <w:jc w:val="center"/>
              <w:rPr>
                <w:rFonts w:ascii="宋体" w:hAnsi="宋体"/>
                <w:szCs w:val="21"/>
              </w:rPr>
            </w:pPr>
            <w:r>
              <w:rPr>
                <w:rFonts w:hint="eastAsia" w:ascii="宋体" w:hAnsi="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7</w:t>
            </w:r>
          </w:p>
        </w:tc>
        <w:tc>
          <w:tcPr>
            <w:tcW w:w="1220" w:type="dxa"/>
            <w:vMerge w:val="restart"/>
            <w:vAlign w:val="center"/>
          </w:tcPr>
          <w:p>
            <w:pPr>
              <w:widowControl/>
              <w:contextualSpacing/>
              <w:jc w:val="center"/>
              <w:rPr>
                <w:rFonts w:ascii="宋体" w:hAnsi="宋体" w:cs="宋体"/>
                <w:szCs w:val="21"/>
              </w:rPr>
            </w:pPr>
            <w:r>
              <w:rPr>
                <w:rFonts w:hint="eastAsia" w:ascii="宋体" w:hAnsi="宋体" w:cs="宋体"/>
                <w:szCs w:val="21"/>
              </w:rPr>
              <w:t>制造商综合实力</w:t>
            </w:r>
          </w:p>
        </w:tc>
        <w:tc>
          <w:tcPr>
            <w:tcW w:w="7087" w:type="dxa"/>
            <w:vAlign w:val="center"/>
          </w:tcPr>
          <w:p>
            <w:pPr>
              <w:widowControl/>
              <w:ind w:firstLine="210" w:firstLineChars="100"/>
              <w:contextualSpacing/>
              <w:jc w:val="left"/>
              <w:rPr>
                <w:rFonts w:ascii="宋体" w:hAnsi="宋体" w:cs="宋体"/>
                <w:szCs w:val="21"/>
              </w:rPr>
            </w:pPr>
            <w:r>
              <w:rPr>
                <w:rFonts w:hint="eastAsia" w:ascii="宋体" w:hAnsi="宋体" w:cs="宋体"/>
                <w:szCs w:val="21"/>
              </w:rPr>
              <w:t>投标的主要产品制造商应具备完善的管理体系，以下管理体系认证全部通过者得5分，每有一项不满足扣1分，扣完为止：</w:t>
            </w:r>
          </w:p>
          <w:p>
            <w:pPr>
              <w:widowControl/>
              <w:ind w:firstLine="210" w:firstLineChars="100"/>
              <w:contextualSpacing/>
              <w:jc w:val="left"/>
              <w:rPr>
                <w:rFonts w:ascii="宋体" w:hAnsi="宋体" w:cs="宋体"/>
                <w:szCs w:val="21"/>
              </w:rPr>
            </w:pPr>
            <w:r>
              <w:rPr>
                <w:rFonts w:hint="eastAsia" w:ascii="宋体" w:hAnsi="宋体" w:cs="宋体"/>
                <w:szCs w:val="21"/>
              </w:rPr>
              <w:t>1、质量管理体系认证、</w:t>
            </w:r>
            <w:r>
              <w:rPr>
                <w:rFonts w:ascii="宋体" w:hAnsi="宋体" w:cs="宋体"/>
                <w:szCs w:val="21"/>
              </w:rPr>
              <w:t>2</w:t>
            </w:r>
            <w:r>
              <w:rPr>
                <w:rFonts w:hint="eastAsia" w:ascii="宋体" w:hAnsi="宋体" w:cs="宋体"/>
                <w:szCs w:val="21"/>
              </w:rPr>
              <w:t>、职业健康安全管理体系认证、</w:t>
            </w:r>
            <w:r>
              <w:rPr>
                <w:rFonts w:ascii="宋体" w:hAnsi="宋体" w:cs="宋体"/>
                <w:szCs w:val="21"/>
              </w:rPr>
              <w:t>3</w:t>
            </w:r>
            <w:r>
              <w:rPr>
                <w:rFonts w:hint="eastAsia" w:ascii="宋体" w:hAnsi="宋体" w:cs="宋体"/>
                <w:szCs w:val="21"/>
              </w:rPr>
              <w:t>、信息安全管理体系认证、</w:t>
            </w:r>
            <w:r>
              <w:rPr>
                <w:rFonts w:ascii="宋体" w:hAnsi="宋体" w:cs="宋体"/>
                <w:szCs w:val="21"/>
              </w:rPr>
              <w:t>4</w:t>
            </w:r>
            <w:r>
              <w:rPr>
                <w:rFonts w:hint="eastAsia" w:ascii="宋体" w:hAnsi="宋体" w:cs="宋体"/>
                <w:szCs w:val="21"/>
              </w:rPr>
              <w:t>、知识产权管理体系认证、</w:t>
            </w:r>
            <w:r>
              <w:rPr>
                <w:rFonts w:ascii="宋体" w:hAnsi="宋体" w:cs="宋体"/>
                <w:szCs w:val="21"/>
              </w:rPr>
              <w:t>5</w:t>
            </w:r>
            <w:r>
              <w:rPr>
                <w:rFonts w:hint="eastAsia" w:ascii="宋体" w:hAnsi="宋体" w:cs="宋体"/>
                <w:szCs w:val="21"/>
              </w:rPr>
              <w:t>、企业社会责任体系认证、</w:t>
            </w:r>
            <w:r>
              <w:rPr>
                <w:rFonts w:ascii="宋体" w:hAnsi="宋体" w:cs="宋体"/>
                <w:szCs w:val="21"/>
              </w:rPr>
              <w:t>6</w:t>
            </w:r>
            <w:r>
              <w:rPr>
                <w:rFonts w:hint="eastAsia" w:ascii="宋体" w:hAnsi="宋体" w:cs="宋体"/>
                <w:szCs w:val="21"/>
              </w:rPr>
              <w:t>、测量管理体系认证、</w:t>
            </w:r>
            <w:r>
              <w:rPr>
                <w:rFonts w:ascii="宋体" w:hAnsi="宋体" w:cs="宋体"/>
                <w:szCs w:val="21"/>
              </w:rPr>
              <w:t>7</w:t>
            </w:r>
            <w:r>
              <w:rPr>
                <w:rFonts w:hint="eastAsia" w:ascii="宋体" w:hAnsi="宋体" w:cs="宋体"/>
                <w:szCs w:val="21"/>
              </w:rPr>
              <w:t>、供应链安全管理体系认证；</w:t>
            </w:r>
          </w:p>
        </w:tc>
        <w:tc>
          <w:tcPr>
            <w:tcW w:w="834" w:type="dxa"/>
            <w:vAlign w:val="center"/>
          </w:tcPr>
          <w:p>
            <w:pPr>
              <w:widowControl/>
              <w:contextualSpacing/>
              <w:jc w:val="center"/>
              <w:rPr>
                <w:rFonts w:ascii="宋体" w:hAnsi="宋体"/>
                <w:szCs w:val="21"/>
              </w:rPr>
            </w:pPr>
            <w:r>
              <w:rPr>
                <w:rFonts w:hint="eastAsia" w:ascii="宋体" w:hAnsi="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8</w:t>
            </w:r>
          </w:p>
        </w:tc>
        <w:tc>
          <w:tcPr>
            <w:tcW w:w="1220" w:type="dxa"/>
            <w:vMerge w:val="continue"/>
            <w:vAlign w:val="center"/>
          </w:tcPr>
          <w:p>
            <w:pPr>
              <w:widowControl/>
              <w:contextualSpacing/>
              <w:jc w:val="center"/>
              <w:rPr>
                <w:rFonts w:hint="eastAsia" w:ascii="宋体" w:hAnsi="宋体" w:cs="宋体"/>
                <w:szCs w:val="21"/>
              </w:rPr>
            </w:pPr>
          </w:p>
        </w:tc>
        <w:tc>
          <w:tcPr>
            <w:tcW w:w="7087" w:type="dxa"/>
            <w:vAlign w:val="center"/>
          </w:tcPr>
          <w:p>
            <w:pPr>
              <w:widowControl/>
              <w:ind w:firstLine="210" w:firstLineChars="100"/>
              <w:contextualSpacing/>
              <w:jc w:val="left"/>
              <w:rPr>
                <w:rFonts w:hint="eastAsia" w:ascii="宋体" w:hAnsi="宋体" w:cs="宋体"/>
                <w:szCs w:val="21"/>
              </w:rPr>
            </w:pPr>
            <w:r>
              <w:rPr>
                <w:rFonts w:hint="eastAsia" w:ascii="宋体" w:hAnsi="宋体"/>
                <w:szCs w:val="21"/>
              </w:rPr>
              <w:t>为证明产品制造商的综合实力，应提供</w:t>
            </w:r>
            <w:r>
              <w:rPr>
                <w:rFonts w:hint="eastAsia" w:ascii="宋体" w:hAnsi="宋体" w:cs="宋体"/>
                <w:szCs w:val="21"/>
              </w:rPr>
              <w:t>工业信息安全应急服务支撑单位证书、CNCERT网络安全应急服务支撑单位证书、两化融合管理体系贯标试点企业证书，提供有效证明文件复印件并加盖厂商公章，每满足1项得1分，满分3分；</w:t>
            </w:r>
          </w:p>
        </w:tc>
        <w:tc>
          <w:tcPr>
            <w:tcW w:w="834" w:type="dxa"/>
            <w:vAlign w:val="center"/>
          </w:tcPr>
          <w:p>
            <w:pPr>
              <w:widowControl/>
              <w:contextualSpacing/>
              <w:jc w:val="center"/>
              <w:rPr>
                <w:rFonts w:hint="eastAsia" w:ascii="宋体" w:hAnsi="宋体"/>
                <w:szCs w:val="21"/>
              </w:rPr>
            </w:pPr>
            <w:r>
              <w:rPr>
                <w:rFonts w:hint="eastAsia" w:ascii="宋体" w:hAnsi="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9</w:t>
            </w:r>
          </w:p>
        </w:tc>
        <w:tc>
          <w:tcPr>
            <w:tcW w:w="1220" w:type="dxa"/>
            <w:vMerge w:val="continue"/>
            <w:vAlign w:val="center"/>
          </w:tcPr>
          <w:p>
            <w:pPr>
              <w:contextualSpacing/>
              <w:jc w:val="center"/>
              <w:rPr>
                <w:rFonts w:ascii="宋体" w:hAnsi="宋体" w:cs="宋体"/>
                <w:szCs w:val="21"/>
              </w:rPr>
            </w:pPr>
          </w:p>
        </w:tc>
        <w:tc>
          <w:tcPr>
            <w:tcW w:w="7087" w:type="dxa"/>
            <w:vAlign w:val="center"/>
          </w:tcPr>
          <w:p>
            <w:pPr>
              <w:widowControl/>
              <w:ind w:firstLine="210" w:firstLineChars="100"/>
              <w:contextualSpacing/>
              <w:jc w:val="left"/>
              <w:rPr>
                <w:rFonts w:ascii="宋体" w:hAnsi="宋体" w:cs="宋体"/>
                <w:szCs w:val="21"/>
              </w:rPr>
            </w:pPr>
            <w:r>
              <w:rPr>
                <w:rFonts w:hint="eastAsia" w:ascii="宋体" w:hAnsi="宋体" w:cs="宋体"/>
                <w:szCs w:val="21"/>
              </w:rPr>
              <w:t xml:space="preserve">具有本地化服务能力，提供办事处机构或分公司证明文件且提供本地备品备件库及本地维修证明的得2分； </w:t>
            </w:r>
          </w:p>
        </w:tc>
        <w:tc>
          <w:tcPr>
            <w:tcW w:w="834" w:type="dxa"/>
            <w:vAlign w:val="center"/>
          </w:tcPr>
          <w:p>
            <w:pPr>
              <w:widowControl/>
              <w:contextualSpacing/>
              <w:jc w:val="center"/>
              <w:rPr>
                <w:rFonts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10</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制造商授权及售后</w:t>
            </w:r>
          </w:p>
        </w:tc>
        <w:tc>
          <w:tcPr>
            <w:tcW w:w="7087" w:type="dxa"/>
            <w:vAlign w:val="center"/>
          </w:tcPr>
          <w:p>
            <w:pPr>
              <w:widowControl/>
              <w:ind w:firstLine="210" w:firstLineChars="100"/>
              <w:contextualSpacing/>
              <w:jc w:val="left"/>
              <w:rPr>
                <w:rFonts w:ascii="宋体" w:hAnsi="宋体" w:cs="宋体"/>
                <w:szCs w:val="21"/>
              </w:rPr>
            </w:pPr>
            <w:r>
              <w:rPr>
                <w:rFonts w:hint="eastAsia" w:ascii="宋体" w:hAnsi="宋体" w:cs="宋体"/>
                <w:szCs w:val="21"/>
              </w:rPr>
              <w:t>提供车库管理/视频监控产品制造商的授权函和售后服务承诺函</w:t>
            </w:r>
            <w:r>
              <w:rPr>
                <w:rFonts w:hint="eastAsia" w:ascii="宋体" w:hAnsi="宋体" w:cs="宋体"/>
                <w:szCs w:val="21"/>
                <w:lang w:eastAsia="zh-CN"/>
              </w:rPr>
              <w:t>复印件并加盖鲜章</w:t>
            </w:r>
            <w:r>
              <w:rPr>
                <w:rFonts w:hint="eastAsia" w:ascii="宋体" w:hAnsi="宋体" w:cs="宋体"/>
                <w:szCs w:val="21"/>
              </w:rPr>
              <w:t>，满足得1分，没有不得分；</w:t>
            </w:r>
          </w:p>
        </w:tc>
        <w:tc>
          <w:tcPr>
            <w:tcW w:w="834" w:type="dxa"/>
            <w:vAlign w:val="center"/>
          </w:tcPr>
          <w:p>
            <w:pPr>
              <w:widowControl/>
              <w:contextualSpacing/>
              <w:jc w:val="center"/>
              <w:rPr>
                <w:rFonts w:ascii="宋体" w:hAnsi="宋体"/>
                <w:szCs w:val="21"/>
              </w:rPr>
            </w:pPr>
            <w:r>
              <w:rPr>
                <w:rFonts w:hint="eastAsia" w:ascii="宋体" w:hAnsi="宋体"/>
                <w:szCs w:val="21"/>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15" w:type="dxa"/>
            <w:gridSpan w:val="3"/>
            <w:vAlign w:val="center"/>
          </w:tcPr>
          <w:p>
            <w:pPr>
              <w:contextualSpacing/>
              <w:jc w:val="center"/>
              <w:rPr>
                <w:rFonts w:ascii="宋体" w:hAnsi="宋体"/>
                <w:b/>
                <w:bCs/>
                <w:szCs w:val="21"/>
              </w:rPr>
            </w:pPr>
            <w:r>
              <w:rPr>
                <w:rFonts w:ascii="宋体" w:hAnsi="宋体"/>
                <w:b/>
                <w:szCs w:val="21"/>
              </w:rPr>
              <w:t>第</w:t>
            </w:r>
            <w:r>
              <w:rPr>
                <w:rFonts w:hint="eastAsia" w:ascii="宋体" w:hAnsi="宋体"/>
                <w:b/>
                <w:szCs w:val="21"/>
              </w:rPr>
              <w:t>三</w:t>
            </w:r>
            <w:r>
              <w:rPr>
                <w:rFonts w:ascii="宋体" w:hAnsi="宋体"/>
                <w:b/>
                <w:szCs w:val="21"/>
              </w:rPr>
              <w:t xml:space="preserve">部分 </w:t>
            </w:r>
            <w:r>
              <w:rPr>
                <w:rFonts w:hint="eastAsia" w:ascii="宋体" w:hAnsi="宋体"/>
                <w:b/>
                <w:szCs w:val="21"/>
              </w:rPr>
              <w:t>技术分</w:t>
            </w:r>
            <w:r>
              <w:rPr>
                <w:rFonts w:ascii="宋体" w:hAnsi="宋体"/>
                <w:b/>
                <w:szCs w:val="21"/>
              </w:rPr>
              <w:t>（</w:t>
            </w:r>
            <w:r>
              <w:rPr>
                <w:rFonts w:hint="eastAsia" w:ascii="宋体" w:hAnsi="宋体"/>
                <w:b/>
                <w:szCs w:val="21"/>
              </w:rPr>
              <w:t>43</w:t>
            </w:r>
            <w:r>
              <w:rPr>
                <w:rFonts w:ascii="宋体" w:hAnsi="宋体"/>
                <w:b/>
                <w:szCs w:val="21"/>
              </w:rPr>
              <w:t>分）</w:t>
            </w:r>
          </w:p>
        </w:tc>
        <w:tc>
          <w:tcPr>
            <w:tcW w:w="834" w:type="dxa"/>
            <w:vAlign w:val="center"/>
          </w:tcPr>
          <w:p>
            <w:pPr>
              <w:widowControl/>
              <w:contextualSpacing/>
              <w:jc w:val="center"/>
              <w:rPr>
                <w:rFonts w:ascii="宋体" w:hAnsi="宋体"/>
                <w:b/>
                <w:szCs w:val="21"/>
              </w:rPr>
            </w:pPr>
            <w:r>
              <w:rPr>
                <w:rFonts w:hint="eastAsia" w:ascii="宋体" w:hAnsi="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08" w:type="dxa"/>
            <w:vAlign w:val="center"/>
          </w:tcPr>
          <w:p>
            <w:pPr>
              <w:widowControl/>
              <w:contextualSpacing/>
              <w:jc w:val="center"/>
              <w:rPr>
                <w:rFonts w:ascii="宋体" w:hAnsi="宋体"/>
                <w:szCs w:val="21"/>
              </w:rPr>
            </w:pPr>
            <w:r>
              <w:rPr>
                <w:rFonts w:ascii="宋体" w:hAnsi="宋体"/>
                <w:szCs w:val="21"/>
              </w:rPr>
              <w:t>1</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设备参数满足程度</w:t>
            </w:r>
          </w:p>
        </w:tc>
        <w:tc>
          <w:tcPr>
            <w:tcW w:w="7087" w:type="dxa"/>
            <w:vAlign w:val="center"/>
          </w:tcPr>
          <w:p>
            <w:pPr>
              <w:pStyle w:val="66"/>
              <w:widowControl/>
              <w:spacing w:line="240" w:lineRule="auto"/>
              <w:ind w:firstLine="210" w:firstLineChars="100"/>
              <w:contextualSpacing/>
              <w:rPr>
                <w:rFonts w:ascii="宋体" w:hAnsi="宋体"/>
                <w:kern w:val="0"/>
                <w:sz w:val="21"/>
                <w:szCs w:val="21"/>
              </w:rPr>
            </w:pPr>
            <w:r>
              <w:rPr>
                <w:rFonts w:hint="eastAsia" w:ascii="宋体" w:hAnsi="宋体"/>
                <w:kern w:val="0"/>
                <w:sz w:val="21"/>
                <w:szCs w:val="21"/>
              </w:rPr>
              <w:t>投标的主要核心</w:t>
            </w:r>
            <w:r>
              <w:rPr>
                <w:rFonts w:hint="eastAsia" w:ascii="宋体" w:hAnsi="宋体"/>
                <w:sz w:val="21"/>
                <w:szCs w:val="21"/>
              </w:rPr>
              <w:t>设备参数应满足招标文件规定的主要技术指标要求（以提供的公安部检测报告或官方彩页数据为准，需提供复印件加盖厂商公章或投标专用章），否则有一项不满足的扣1分，扣完为止，满20分；</w:t>
            </w:r>
            <w:r>
              <w:rPr>
                <w:rFonts w:ascii="宋体" w:hAnsi="宋体"/>
                <w:kern w:val="0"/>
                <w:sz w:val="21"/>
                <w:szCs w:val="21"/>
              </w:rPr>
              <w:t xml:space="preserve"> </w:t>
            </w:r>
          </w:p>
        </w:tc>
        <w:tc>
          <w:tcPr>
            <w:tcW w:w="834" w:type="dxa"/>
            <w:vAlign w:val="center"/>
          </w:tcPr>
          <w:p>
            <w:pPr>
              <w:widowControl/>
              <w:contextualSpacing/>
              <w:jc w:val="center"/>
              <w:rPr>
                <w:rFonts w:ascii="宋体" w:hAnsi="宋体"/>
                <w:szCs w:val="21"/>
              </w:rPr>
            </w:pPr>
            <w:r>
              <w:rPr>
                <w:rFonts w:hint="eastAsia" w:ascii="宋体" w:hAnsi="宋体"/>
                <w:szCs w:val="21"/>
              </w:rPr>
              <w:t>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2</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主要设备核心参数满足</w:t>
            </w:r>
          </w:p>
        </w:tc>
        <w:tc>
          <w:tcPr>
            <w:tcW w:w="7087" w:type="dxa"/>
            <w:tcBorders>
              <w:bottom w:val="single" w:color="auto" w:sz="4" w:space="0"/>
            </w:tcBorders>
            <w:vAlign w:val="center"/>
          </w:tcPr>
          <w:p>
            <w:pPr>
              <w:pStyle w:val="66"/>
              <w:widowControl/>
              <w:spacing w:line="240" w:lineRule="auto"/>
              <w:ind w:firstLineChars="0"/>
              <w:contextualSpacing/>
              <w:rPr>
                <w:rFonts w:ascii="宋体" w:hAnsi="宋体"/>
                <w:kern w:val="0"/>
                <w:sz w:val="21"/>
                <w:szCs w:val="21"/>
              </w:rPr>
            </w:pPr>
            <w:r>
              <w:rPr>
                <w:rFonts w:hint="eastAsia" w:ascii="宋体" w:hAnsi="宋体"/>
                <w:kern w:val="0"/>
                <w:sz w:val="21"/>
                <w:szCs w:val="21"/>
              </w:rPr>
              <w:t>为保证车库综合弱电系统建成后能够达到实际使用效果，智能一体化道闸应具备以下核心功能：</w:t>
            </w:r>
          </w:p>
          <w:p>
            <w:pPr>
              <w:pStyle w:val="66"/>
              <w:widowControl/>
              <w:spacing w:line="240" w:lineRule="auto"/>
              <w:ind w:firstLineChars="0"/>
              <w:contextualSpacing/>
              <w:rPr>
                <w:rFonts w:hint="eastAsia" w:ascii="宋体" w:hAnsi="宋体"/>
                <w:kern w:val="0"/>
                <w:sz w:val="21"/>
                <w:szCs w:val="21"/>
              </w:rPr>
            </w:pPr>
            <w:r>
              <w:rPr>
                <w:rFonts w:hint="eastAsia" w:ascii="宋体" w:hAnsi="宋体"/>
                <w:kern w:val="0"/>
                <w:sz w:val="21"/>
                <w:szCs w:val="21"/>
              </w:rPr>
              <w:t>1、起落杆速度</w:t>
            </w:r>
            <w:r>
              <w:rPr>
                <w:rFonts w:ascii="宋体" w:hAnsi="宋体"/>
                <w:kern w:val="0"/>
                <w:sz w:val="21"/>
                <w:szCs w:val="21"/>
              </w:rPr>
              <w:t>0.9-6S可调；</w:t>
            </w:r>
            <w:r>
              <w:rPr>
                <w:rFonts w:hint="eastAsia" w:ascii="宋体" w:hAnsi="宋体"/>
                <w:kern w:val="0"/>
                <w:sz w:val="21"/>
                <w:szCs w:val="21"/>
              </w:rPr>
              <w:t>支持快速起竿、慢速落杆功能，支持脱杆功能；车辆捕获率≥</w:t>
            </w:r>
            <w:r>
              <w:rPr>
                <w:rFonts w:ascii="宋体" w:hAnsi="宋体"/>
                <w:kern w:val="0"/>
                <w:sz w:val="21"/>
                <w:szCs w:val="21"/>
              </w:rPr>
              <w:t>99.9%</w:t>
            </w:r>
            <w:r>
              <w:rPr>
                <w:rFonts w:hint="eastAsia" w:ascii="宋体" w:hAnsi="宋体"/>
                <w:kern w:val="0"/>
                <w:sz w:val="21"/>
                <w:szCs w:val="21"/>
              </w:rPr>
              <w:t>，车牌识别率：白天≥</w:t>
            </w:r>
            <w:r>
              <w:rPr>
                <w:rFonts w:ascii="宋体" w:hAnsi="宋体"/>
                <w:kern w:val="0"/>
                <w:sz w:val="21"/>
                <w:szCs w:val="21"/>
              </w:rPr>
              <w:t>99.5%，夜间≥99%；</w:t>
            </w:r>
            <w:r>
              <w:rPr>
                <w:rFonts w:hint="eastAsia" w:ascii="宋体" w:hAnsi="宋体"/>
                <w:kern w:val="0"/>
                <w:sz w:val="21"/>
                <w:szCs w:val="21"/>
              </w:rPr>
              <w:t>可识别出略微倾斜的机动车车牌号码；</w:t>
            </w:r>
          </w:p>
          <w:p>
            <w:pPr>
              <w:pStyle w:val="66"/>
              <w:widowControl/>
              <w:spacing w:line="240" w:lineRule="auto"/>
              <w:ind w:firstLineChars="0"/>
              <w:contextualSpacing/>
              <w:rPr>
                <w:rFonts w:ascii="宋体" w:hAnsi="宋体"/>
                <w:kern w:val="0"/>
                <w:sz w:val="21"/>
                <w:szCs w:val="21"/>
              </w:rPr>
            </w:pPr>
            <w:r>
              <w:rPr>
                <w:rFonts w:hint="eastAsia" w:ascii="宋体" w:hAnsi="宋体"/>
                <w:kern w:val="0"/>
                <w:sz w:val="21"/>
                <w:szCs w:val="21"/>
              </w:rPr>
              <w:t>2、支持左右向学习功能，杆子从右边换到左边，可通过调整弹簧方向重启重新学习限位；支持遇阻反弹功能；</w:t>
            </w:r>
          </w:p>
          <w:p>
            <w:pPr>
              <w:pStyle w:val="66"/>
              <w:widowControl/>
              <w:spacing w:beforeLines="20" w:line="240" w:lineRule="auto"/>
              <w:ind w:firstLineChars="0"/>
              <w:contextualSpacing/>
              <w:rPr>
                <w:rFonts w:ascii="宋体" w:hAnsi="宋体"/>
                <w:kern w:val="0"/>
                <w:sz w:val="21"/>
                <w:szCs w:val="21"/>
              </w:rPr>
            </w:pPr>
            <w:r>
              <w:rPr>
                <w:rFonts w:hint="eastAsia" w:ascii="宋体" w:hAnsi="宋体"/>
                <w:kern w:val="0"/>
                <w:sz w:val="21"/>
                <w:szCs w:val="21"/>
              </w:rPr>
              <w:t>以上主要参数以</w:t>
            </w:r>
            <w:r>
              <w:rPr>
                <w:rFonts w:hint="eastAsia" w:ascii="宋体" w:hAnsi="宋体"/>
                <w:sz w:val="21"/>
                <w:szCs w:val="21"/>
              </w:rPr>
              <w:t>提供的公安部检测报告为准</w:t>
            </w:r>
            <w:r>
              <w:rPr>
                <w:rFonts w:hint="eastAsia" w:ascii="宋体" w:hAnsi="宋体"/>
                <w:kern w:val="0"/>
                <w:sz w:val="21"/>
                <w:szCs w:val="21"/>
              </w:rPr>
              <w:t>，</w:t>
            </w:r>
            <w:r>
              <w:rPr>
                <w:rFonts w:hint="eastAsia" w:ascii="宋体" w:hAnsi="宋体"/>
                <w:sz w:val="21"/>
                <w:szCs w:val="21"/>
              </w:rPr>
              <w:t>有一项不满足或满足不全面的扣3分，扣完为止，满6分，不提供证明文件的此项不得分；</w:t>
            </w:r>
          </w:p>
        </w:tc>
        <w:tc>
          <w:tcPr>
            <w:tcW w:w="834" w:type="dxa"/>
            <w:vAlign w:val="center"/>
          </w:tcPr>
          <w:p>
            <w:pPr>
              <w:widowControl/>
              <w:contextualSpacing/>
              <w:jc w:val="center"/>
              <w:rPr>
                <w:rFonts w:ascii="宋体" w:hAnsi="宋体"/>
                <w:szCs w:val="21"/>
              </w:rPr>
            </w:pPr>
            <w:r>
              <w:rPr>
                <w:rFonts w:hint="eastAsia" w:ascii="宋体" w:hAnsi="宋体"/>
                <w:szCs w:val="21"/>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3</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平台</w:t>
            </w:r>
            <w:r>
              <w:rPr>
                <w:rFonts w:ascii="宋体" w:hAnsi="宋体" w:cs="宋体"/>
                <w:szCs w:val="21"/>
              </w:rPr>
              <w:t>对接承诺</w:t>
            </w:r>
          </w:p>
        </w:tc>
        <w:tc>
          <w:tcPr>
            <w:tcW w:w="7087" w:type="dxa"/>
            <w:tcBorders>
              <w:bottom w:val="single" w:color="auto" w:sz="4" w:space="0"/>
            </w:tcBorders>
            <w:vAlign w:val="center"/>
          </w:tcPr>
          <w:p>
            <w:pPr>
              <w:pStyle w:val="66"/>
              <w:widowControl/>
              <w:spacing w:line="240" w:lineRule="auto"/>
              <w:ind w:firstLine="210" w:firstLineChars="100"/>
              <w:contextualSpacing/>
              <w:rPr>
                <w:rFonts w:ascii="宋体" w:hAnsi="宋体"/>
                <w:kern w:val="0"/>
                <w:sz w:val="21"/>
                <w:szCs w:val="21"/>
              </w:rPr>
            </w:pPr>
            <w:r>
              <w:rPr>
                <w:rFonts w:hint="eastAsia" w:ascii="宋体" w:hAnsi="宋体"/>
                <w:kern w:val="0"/>
                <w:sz w:val="21"/>
                <w:szCs w:val="21"/>
              </w:rPr>
              <w:t>本次项目要求新建的车库无人值车辆管理及视频监控系统能够与学校现有的综合安防管理平台无缝对接，实现集中管控，方便安保人员统一管理；投标人需提供所投主要产品生产厂家出具“能与现有综合安防管理平台协议及软接口匹配且能无缝对接”的承诺函（无法成功无缝对接，将视为项目验收未通过），并加盖生产厂家公章，满足得5分，否则不得分；</w:t>
            </w:r>
          </w:p>
        </w:tc>
        <w:tc>
          <w:tcPr>
            <w:tcW w:w="834" w:type="dxa"/>
            <w:vAlign w:val="center"/>
          </w:tcPr>
          <w:p>
            <w:pPr>
              <w:widowControl/>
              <w:contextualSpacing/>
              <w:jc w:val="center"/>
              <w:rPr>
                <w:rFonts w:ascii="宋体" w:hAnsi="宋体" w:cs="宋体"/>
                <w:szCs w:val="21"/>
              </w:rPr>
            </w:pPr>
            <w:r>
              <w:rPr>
                <w:rFonts w:hint="eastAsia" w:ascii="宋体" w:hAnsi="宋体" w:cs="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4</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投标设备品牌类型</w:t>
            </w:r>
          </w:p>
        </w:tc>
        <w:tc>
          <w:tcPr>
            <w:tcW w:w="7087" w:type="dxa"/>
            <w:tcBorders>
              <w:top w:val="single" w:color="auto" w:sz="4" w:space="0"/>
            </w:tcBorders>
            <w:vAlign w:val="center"/>
          </w:tcPr>
          <w:p>
            <w:pPr>
              <w:pStyle w:val="66"/>
              <w:widowControl/>
              <w:spacing w:line="240" w:lineRule="auto"/>
              <w:ind w:firstLine="210" w:firstLineChars="100"/>
              <w:contextualSpacing/>
              <w:rPr>
                <w:rFonts w:ascii="宋体" w:hAnsi="宋体"/>
                <w:kern w:val="0"/>
                <w:sz w:val="21"/>
                <w:szCs w:val="21"/>
              </w:rPr>
            </w:pPr>
            <w:r>
              <w:rPr>
                <w:rFonts w:hint="eastAsia" w:ascii="宋体" w:hAnsi="宋体"/>
                <w:kern w:val="0"/>
                <w:sz w:val="21"/>
                <w:szCs w:val="21"/>
              </w:rPr>
              <w:t>为保证系统的稳定性和兼容性，投标的专用车位智能锁、智能一体化道闸、出入口控制终端、网络高清星光筒机、存储主机应为同一品牌产品，满足得2分，否则不得分；</w:t>
            </w:r>
          </w:p>
        </w:tc>
        <w:tc>
          <w:tcPr>
            <w:tcW w:w="834" w:type="dxa"/>
            <w:vAlign w:val="center"/>
          </w:tcPr>
          <w:p>
            <w:pPr>
              <w:widowControl/>
              <w:contextualSpacing/>
              <w:jc w:val="center"/>
              <w:rPr>
                <w:rFonts w:ascii="宋体" w:hAnsi="宋体" w:cs="宋体"/>
                <w:szCs w:val="21"/>
              </w:rPr>
            </w:pPr>
            <w:r>
              <w:rPr>
                <w:rFonts w:hint="eastAsia" w:ascii="宋体" w:hAnsi="宋体" w:cs="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5</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投标人售后承诺</w:t>
            </w:r>
          </w:p>
        </w:tc>
        <w:tc>
          <w:tcPr>
            <w:tcW w:w="7087" w:type="dxa"/>
            <w:vAlign w:val="center"/>
          </w:tcPr>
          <w:p>
            <w:pPr>
              <w:pStyle w:val="66"/>
              <w:widowControl/>
              <w:spacing w:line="240" w:lineRule="auto"/>
              <w:ind w:firstLine="210" w:firstLineChars="100"/>
              <w:contextualSpacing/>
              <w:rPr>
                <w:rFonts w:ascii="宋体" w:hAnsi="宋体"/>
                <w:kern w:val="0"/>
                <w:sz w:val="21"/>
                <w:szCs w:val="21"/>
              </w:rPr>
            </w:pPr>
            <w:r>
              <w:rPr>
                <w:rFonts w:hint="eastAsia" w:ascii="宋体" w:hAnsi="宋体"/>
                <w:kern w:val="0"/>
                <w:sz w:val="21"/>
                <w:szCs w:val="21"/>
              </w:rPr>
              <w:t>投标人针对本项目做出承诺：内容包括免费质保时间（最高两年）、响应及故障排除时间、售后人员配置情况、售后人员经验情况、售后内容编制全面/合理程度等内容得2分，否则不得分；</w:t>
            </w:r>
          </w:p>
        </w:tc>
        <w:tc>
          <w:tcPr>
            <w:tcW w:w="834" w:type="dxa"/>
            <w:vAlign w:val="center"/>
          </w:tcPr>
          <w:p>
            <w:pPr>
              <w:widowControl/>
              <w:contextualSpacing/>
              <w:jc w:val="center"/>
              <w:rPr>
                <w:rFonts w:ascii="宋体" w:hAnsi="宋体"/>
                <w:szCs w:val="21"/>
              </w:rPr>
            </w:pPr>
            <w:r>
              <w:rPr>
                <w:rFonts w:hint="eastAsia" w:ascii="宋体" w:hAnsi="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6</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设计施工图纸</w:t>
            </w:r>
          </w:p>
        </w:tc>
        <w:tc>
          <w:tcPr>
            <w:tcW w:w="7087" w:type="dxa"/>
            <w:vAlign w:val="center"/>
          </w:tcPr>
          <w:p>
            <w:pPr>
              <w:pStyle w:val="66"/>
              <w:widowControl/>
              <w:spacing w:line="240" w:lineRule="auto"/>
              <w:ind w:firstLine="210" w:firstLineChars="100"/>
              <w:contextualSpacing/>
              <w:rPr>
                <w:rFonts w:ascii="宋体" w:hAnsi="宋体"/>
                <w:kern w:val="0"/>
                <w:sz w:val="21"/>
                <w:szCs w:val="21"/>
              </w:rPr>
            </w:pPr>
            <w:r>
              <w:rPr>
                <w:rFonts w:hint="eastAsia" w:ascii="宋体" w:hAnsi="宋体"/>
                <w:kern w:val="0"/>
                <w:sz w:val="21"/>
                <w:szCs w:val="21"/>
              </w:rPr>
              <w:t>提供本次车库视频监控点位图、无人值守车辆管理系统原理图，提供CAD图纸，内容全面、详尽合理，设计图纸布局科学、数据准确、设计可行有效得3分，否则得1分或不得分；</w:t>
            </w:r>
            <w:r>
              <w:rPr>
                <w:rFonts w:ascii="宋体" w:hAnsi="宋体"/>
                <w:kern w:val="0"/>
                <w:sz w:val="21"/>
                <w:szCs w:val="21"/>
              </w:rPr>
              <w:t xml:space="preserve"> </w:t>
            </w:r>
          </w:p>
        </w:tc>
        <w:tc>
          <w:tcPr>
            <w:tcW w:w="834" w:type="dxa"/>
            <w:vAlign w:val="center"/>
          </w:tcPr>
          <w:p>
            <w:pPr>
              <w:widowControl/>
              <w:contextualSpacing/>
              <w:jc w:val="center"/>
              <w:rPr>
                <w:rFonts w:ascii="宋体" w:hAnsi="宋体"/>
                <w:szCs w:val="21"/>
              </w:rPr>
            </w:pPr>
            <w:r>
              <w:rPr>
                <w:rFonts w:hint="eastAsia" w:ascii="宋体" w:hAnsi="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508" w:type="dxa"/>
            <w:vAlign w:val="center"/>
          </w:tcPr>
          <w:p>
            <w:pPr>
              <w:widowControl/>
              <w:contextualSpacing/>
              <w:jc w:val="center"/>
              <w:rPr>
                <w:rFonts w:ascii="宋体" w:hAnsi="宋体"/>
                <w:szCs w:val="21"/>
              </w:rPr>
            </w:pPr>
            <w:r>
              <w:rPr>
                <w:rFonts w:hint="eastAsia" w:ascii="宋体" w:hAnsi="宋体"/>
                <w:szCs w:val="21"/>
              </w:rPr>
              <w:t>7</w:t>
            </w:r>
          </w:p>
        </w:tc>
        <w:tc>
          <w:tcPr>
            <w:tcW w:w="1220" w:type="dxa"/>
            <w:vAlign w:val="center"/>
          </w:tcPr>
          <w:p>
            <w:pPr>
              <w:widowControl/>
              <w:contextualSpacing/>
              <w:jc w:val="center"/>
              <w:rPr>
                <w:rFonts w:ascii="宋体" w:hAnsi="宋体" w:cs="宋体"/>
                <w:szCs w:val="21"/>
              </w:rPr>
            </w:pPr>
            <w:r>
              <w:rPr>
                <w:rFonts w:hint="eastAsia" w:ascii="宋体" w:hAnsi="宋体" w:cs="宋体"/>
                <w:szCs w:val="21"/>
              </w:rPr>
              <w:t>方案及培训计划</w:t>
            </w:r>
          </w:p>
        </w:tc>
        <w:tc>
          <w:tcPr>
            <w:tcW w:w="7087" w:type="dxa"/>
            <w:vAlign w:val="center"/>
          </w:tcPr>
          <w:p>
            <w:pPr>
              <w:pStyle w:val="66"/>
              <w:widowControl/>
              <w:spacing w:line="240" w:lineRule="auto"/>
              <w:ind w:firstLine="210" w:firstLineChars="100"/>
              <w:contextualSpacing/>
              <w:rPr>
                <w:rFonts w:hint="eastAsia" w:ascii="宋体" w:hAnsi="宋体"/>
                <w:kern w:val="0"/>
                <w:sz w:val="21"/>
                <w:szCs w:val="21"/>
              </w:rPr>
            </w:pPr>
            <w:r>
              <w:rPr>
                <w:rFonts w:hint="eastAsia" w:ascii="宋体" w:hAnsi="宋体"/>
                <w:kern w:val="0"/>
                <w:sz w:val="21"/>
                <w:szCs w:val="21"/>
              </w:rPr>
              <w:t>设计方案编制的全面、详细、合理、有针对性，以及施工工艺、质量措施、环保措施、工期保证等方面进行描述得1分，否则不得分；</w:t>
            </w:r>
          </w:p>
          <w:p>
            <w:pPr>
              <w:pStyle w:val="66"/>
              <w:widowControl/>
              <w:spacing w:line="240" w:lineRule="auto"/>
              <w:ind w:firstLine="210" w:firstLineChars="100"/>
              <w:contextualSpacing/>
              <w:rPr>
                <w:rFonts w:ascii="宋体" w:hAnsi="宋体"/>
                <w:kern w:val="0"/>
                <w:sz w:val="21"/>
                <w:szCs w:val="21"/>
              </w:rPr>
            </w:pPr>
            <w:r>
              <w:rPr>
                <w:rFonts w:hint="eastAsia" w:ascii="宋体" w:hAnsi="宋体"/>
                <w:kern w:val="0"/>
                <w:sz w:val="21"/>
                <w:szCs w:val="21"/>
              </w:rPr>
              <w:t>培训内容编制的全面、详细、合理、有针对性得1分，否则不得分。</w:t>
            </w:r>
          </w:p>
        </w:tc>
        <w:tc>
          <w:tcPr>
            <w:tcW w:w="834" w:type="dxa"/>
            <w:vAlign w:val="center"/>
          </w:tcPr>
          <w:p>
            <w:pPr>
              <w:widowControl/>
              <w:contextualSpacing/>
              <w:jc w:val="center"/>
              <w:rPr>
                <w:rFonts w:ascii="宋体" w:hAnsi="宋体"/>
                <w:szCs w:val="21"/>
              </w:rPr>
            </w:pPr>
            <w:r>
              <w:rPr>
                <w:rFonts w:hint="eastAsia" w:ascii="宋体" w:hAnsi="宋体"/>
                <w:szCs w:val="21"/>
              </w:rPr>
              <w:t>2分</w:t>
            </w:r>
          </w:p>
        </w:tc>
      </w:tr>
    </w:tbl>
    <w:p>
      <w:pPr>
        <w:pStyle w:val="3"/>
        <w:ind w:firstLine="482" w:firstLineChars="200"/>
        <w:jc w:val="both"/>
        <w:rPr>
          <w:rFonts w:ascii="宋体" w:hAnsi="宋体" w:cs="宋体"/>
          <w:bCs w:val="0"/>
          <w:sz w:val="24"/>
          <w:szCs w:val="24"/>
        </w:rPr>
      </w:pPr>
      <w:bookmarkStart w:id="50" w:name="_Toc240772113"/>
      <w:r>
        <w:rPr>
          <w:rFonts w:hint="eastAsia" w:ascii="宋体" w:hAnsi="宋体" w:cs="宋体"/>
          <w:bCs w:val="0"/>
          <w:sz w:val="24"/>
          <w:szCs w:val="24"/>
        </w:rPr>
        <w:t>4.4</w:t>
      </w:r>
      <w:r>
        <w:rPr>
          <w:rFonts w:hint="eastAsia" w:ascii="宋体" w:hAnsi="宋体" w:cs="宋体"/>
          <w:bCs w:val="0"/>
          <w:sz w:val="24"/>
          <w:szCs w:val="24"/>
          <w:lang w:val="zh-CN"/>
        </w:rPr>
        <w:t>磋商的形式、程序及方法</w:t>
      </w:r>
      <w:bookmarkEnd w:id="50"/>
    </w:p>
    <w:p>
      <w:pPr>
        <w:pStyle w:val="4"/>
        <w:rPr>
          <w:bCs/>
          <w:szCs w:val="24"/>
        </w:rPr>
      </w:pPr>
      <w:bookmarkStart w:id="51" w:name="_Toc240772114"/>
      <w:r>
        <w:rPr>
          <w:rFonts w:hint="eastAsia"/>
          <w:szCs w:val="24"/>
          <w:lang w:val="en-US"/>
        </w:rPr>
        <w:t>4</w:t>
      </w:r>
      <w:r>
        <w:rPr>
          <w:rFonts w:hint="eastAsia"/>
          <w:szCs w:val="24"/>
        </w:rPr>
        <w:t xml:space="preserve">.4.1 </w:t>
      </w:r>
      <w:r>
        <w:rPr>
          <w:rFonts w:hint="eastAsia"/>
          <w:bCs/>
          <w:szCs w:val="24"/>
        </w:rPr>
        <w:t>磋商形式</w:t>
      </w:r>
      <w:bookmarkEnd w:id="51"/>
    </w:p>
    <w:p>
      <w:pPr>
        <w:spacing w:line="500" w:lineRule="exact"/>
        <w:ind w:firstLine="360" w:firstLineChars="150"/>
        <w:rPr>
          <w:rFonts w:ascii="宋体" w:hAnsi="宋体" w:cs="宋体"/>
          <w:sz w:val="24"/>
          <w:szCs w:val="24"/>
        </w:rPr>
      </w:pPr>
      <w:r>
        <w:rPr>
          <w:rFonts w:hint="eastAsia" w:ascii="宋体" w:hAnsi="宋体" w:cs="宋体"/>
          <w:sz w:val="24"/>
          <w:szCs w:val="24"/>
        </w:rPr>
        <w:t>合格进入最终报价的供应商，磋商小组所有成员集中与各供应商分别进行磋商，采取背对背方式现场统一报价，现场宣布磋商结果磋商小组不得让供应商逐一报价。</w:t>
      </w:r>
    </w:p>
    <w:p>
      <w:pPr>
        <w:pStyle w:val="4"/>
        <w:rPr>
          <w:bCs/>
          <w:szCs w:val="24"/>
        </w:rPr>
      </w:pPr>
      <w:bookmarkStart w:id="52" w:name="_Toc240772115"/>
      <w:r>
        <w:rPr>
          <w:rFonts w:hint="eastAsia"/>
          <w:szCs w:val="24"/>
          <w:lang w:val="en-US"/>
        </w:rPr>
        <w:t>4</w:t>
      </w:r>
      <w:r>
        <w:rPr>
          <w:rFonts w:hint="eastAsia"/>
          <w:szCs w:val="24"/>
        </w:rPr>
        <w:t>.4.2 磋商</w:t>
      </w:r>
      <w:r>
        <w:rPr>
          <w:rFonts w:hint="eastAsia"/>
          <w:bCs/>
          <w:szCs w:val="24"/>
        </w:rPr>
        <w:t>程序</w:t>
      </w:r>
      <w:bookmarkEnd w:id="52"/>
    </w:p>
    <w:p>
      <w:pPr>
        <w:spacing w:line="500" w:lineRule="exact"/>
        <w:ind w:firstLine="360" w:firstLineChars="150"/>
        <w:rPr>
          <w:rFonts w:ascii="宋体" w:hAnsi="宋体" w:cs="宋体"/>
          <w:sz w:val="24"/>
          <w:szCs w:val="24"/>
        </w:rPr>
      </w:pPr>
      <w:r>
        <w:rPr>
          <w:rFonts w:hint="eastAsia" w:ascii="宋体" w:hAnsi="宋体" w:cs="宋体"/>
          <w:sz w:val="24"/>
          <w:szCs w:val="24"/>
        </w:rPr>
        <w:t>（1）资格、技术审查：磋商小组先对资质证明文件部分、技术参数和服务部分进行审查。</w:t>
      </w:r>
    </w:p>
    <w:p>
      <w:pPr>
        <w:spacing w:line="500" w:lineRule="exact"/>
        <w:ind w:firstLine="360" w:firstLineChars="150"/>
        <w:rPr>
          <w:rFonts w:ascii="宋体" w:hAnsi="宋体" w:cs="宋体"/>
          <w:sz w:val="24"/>
          <w:szCs w:val="24"/>
        </w:rPr>
      </w:pPr>
      <w:r>
        <w:rPr>
          <w:rFonts w:hint="eastAsia" w:ascii="宋体" w:hAnsi="宋体" w:cs="宋体"/>
          <w:sz w:val="24"/>
          <w:szCs w:val="24"/>
        </w:rPr>
        <w:t>（2）确定被磋商的供应商名单。磋商小组根据采购需求，从符合相应资格条件的供应商名单中确定不少于三家的供应商，</w:t>
      </w:r>
      <w:r>
        <w:rPr>
          <w:rFonts w:hint="eastAsia" w:ascii="宋体" w:hAnsi="宋体" w:cs="宋体"/>
          <w:b/>
          <w:bCs/>
          <w:sz w:val="24"/>
          <w:szCs w:val="24"/>
        </w:rPr>
        <w:t>并让其报出一次不得更改的价格，价格必须以书面形式确定。</w:t>
      </w:r>
    </w:p>
    <w:p>
      <w:pPr>
        <w:pStyle w:val="4"/>
        <w:rPr>
          <w:szCs w:val="24"/>
        </w:rPr>
      </w:pPr>
      <w:bookmarkStart w:id="53" w:name="_Toc240772116"/>
      <w:r>
        <w:rPr>
          <w:rFonts w:hint="eastAsia"/>
          <w:szCs w:val="24"/>
          <w:lang w:val="en-US"/>
        </w:rPr>
        <w:t>4</w:t>
      </w:r>
      <w:r>
        <w:rPr>
          <w:rFonts w:hint="eastAsia"/>
          <w:szCs w:val="24"/>
        </w:rPr>
        <w:t xml:space="preserve">.4.3 </w:t>
      </w:r>
      <w:bookmarkEnd w:id="53"/>
      <w:r>
        <w:rPr>
          <w:rFonts w:hint="eastAsia"/>
          <w:szCs w:val="24"/>
        </w:rPr>
        <w:t>拟成交供应商确定的原则</w:t>
      </w:r>
    </w:p>
    <w:p>
      <w:pPr>
        <w:spacing w:line="360" w:lineRule="auto"/>
        <w:ind w:firstLine="480" w:firstLineChars="200"/>
        <w:rPr>
          <w:rFonts w:ascii="宋体" w:hAnsi="宋体" w:cs="宋体"/>
          <w:sz w:val="24"/>
          <w:szCs w:val="24"/>
        </w:rPr>
      </w:pPr>
      <w:r>
        <w:rPr>
          <w:rFonts w:hint="eastAsia" w:ascii="宋体" w:hAnsi="宋体" w:cs="宋体"/>
          <w:sz w:val="24"/>
          <w:szCs w:val="24"/>
        </w:rPr>
        <w:t>磋商小组根据采购要求，</w:t>
      </w:r>
      <w:r>
        <w:rPr>
          <w:rFonts w:hint="eastAsia" w:ascii="宋体" w:hAnsi="宋体" w:cs="宋体"/>
          <w:sz w:val="24"/>
          <w:szCs w:val="24"/>
          <w:lang w:val="zh-CN"/>
        </w:rPr>
        <w:t>在全部满足</w:t>
      </w:r>
      <w:r>
        <w:rPr>
          <w:rFonts w:hint="eastAsia" w:ascii="宋体" w:hAnsi="宋体" w:cs="宋体"/>
          <w:sz w:val="24"/>
          <w:szCs w:val="24"/>
        </w:rPr>
        <w:t>磋商通知书</w:t>
      </w:r>
      <w:r>
        <w:rPr>
          <w:rFonts w:hint="eastAsia" w:ascii="宋体" w:hAnsi="宋体" w:cs="宋体"/>
          <w:sz w:val="24"/>
          <w:szCs w:val="24"/>
          <w:lang w:val="zh-CN"/>
        </w:rPr>
        <w:t>实质性要求</w:t>
      </w:r>
      <w:r>
        <w:rPr>
          <w:rFonts w:hint="eastAsia" w:ascii="宋体" w:hAnsi="宋体" w:cs="宋体"/>
          <w:sz w:val="24"/>
          <w:szCs w:val="24"/>
        </w:rPr>
        <w:t>且质量、服务等相等的前提下,以价格最低的原则确定成交供应商。</w:t>
      </w:r>
    </w:p>
    <w:p>
      <w:pPr>
        <w:pStyle w:val="3"/>
        <w:ind w:firstLine="482" w:firstLineChars="200"/>
        <w:jc w:val="both"/>
        <w:rPr>
          <w:rFonts w:ascii="宋体" w:hAnsi="宋体" w:cs="宋体"/>
          <w:sz w:val="24"/>
          <w:szCs w:val="24"/>
        </w:rPr>
      </w:pPr>
      <w:bookmarkStart w:id="54" w:name="_Toc240772117"/>
      <w:r>
        <w:rPr>
          <w:rFonts w:hint="eastAsia" w:ascii="宋体" w:hAnsi="宋体" w:cs="宋体"/>
          <w:sz w:val="24"/>
          <w:szCs w:val="24"/>
        </w:rPr>
        <w:t>4.5 拟成交供应商的确定</w:t>
      </w:r>
      <w:bookmarkEnd w:id="54"/>
    </w:p>
    <w:p>
      <w:pPr>
        <w:spacing w:line="360" w:lineRule="auto"/>
        <w:ind w:firstLine="480" w:firstLineChars="200"/>
        <w:rPr>
          <w:rFonts w:ascii="宋体" w:hAnsi="宋体" w:cs="宋体"/>
          <w:sz w:val="24"/>
          <w:szCs w:val="24"/>
        </w:rPr>
      </w:pPr>
      <w:r>
        <w:rPr>
          <w:rFonts w:hint="eastAsia" w:ascii="宋体" w:hAnsi="宋体" w:cs="宋体"/>
          <w:sz w:val="24"/>
          <w:szCs w:val="24"/>
        </w:rPr>
        <w:t>需方</w:t>
      </w:r>
      <w:r>
        <w:rPr>
          <w:rFonts w:hint="eastAsia" w:ascii="宋体" w:hAnsi="宋体"/>
          <w:sz w:val="24"/>
        </w:rPr>
        <w:t>授权</w:t>
      </w:r>
      <w:r>
        <w:rPr>
          <w:rFonts w:hint="eastAsia" w:ascii="宋体" w:hAnsi="宋体" w:cs="宋体"/>
          <w:sz w:val="24"/>
          <w:szCs w:val="24"/>
        </w:rPr>
        <w:t>磋商小组</w:t>
      </w:r>
      <w:r>
        <w:rPr>
          <w:rFonts w:hint="eastAsia" w:ascii="宋体" w:hAnsi="宋体"/>
          <w:sz w:val="24"/>
        </w:rPr>
        <w:t>直接确定</w:t>
      </w:r>
      <w:r>
        <w:rPr>
          <w:rFonts w:hint="eastAsia" w:ascii="宋体" w:hAnsi="宋体" w:cs="宋体"/>
          <w:sz w:val="24"/>
          <w:szCs w:val="24"/>
        </w:rPr>
        <w:t>成交供应商</w:t>
      </w:r>
      <w:r>
        <w:rPr>
          <w:rFonts w:hint="eastAsia" w:ascii="宋体" w:hAnsi="宋体"/>
          <w:sz w:val="24"/>
        </w:rPr>
        <w:t>。</w:t>
      </w:r>
    </w:p>
    <w:p>
      <w:pPr>
        <w:spacing w:line="360" w:lineRule="auto"/>
        <w:ind w:firstLine="360" w:firstLineChars="150"/>
        <w:rPr>
          <w:rFonts w:ascii="宋体" w:hAnsi="宋体" w:cs="宋体"/>
          <w:sz w:val="24"/>
          <w:szCs w:val="24"/>
        </w:rPr>
      </w:pPr>
      <w:r>
        <w:rPr>
          <w:rFonts w:hint="eastAsia" w:ascii="宋体" w:hAnsi="宋体" w:cs="宋体"/>
          <w:sz w:val="24"/>
          <w:szCs w:val="24"/>
        </w:rPr>
        <w:t>原则上在确定最低报价报价的前提下，确定拟成交供应商。磋商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sz w:val="24"/>
          <w:szCs w:val="24"/>
        </w:rPr>
      </w:pPr>
      <w:r>
        <w:rPr>
          <w:rFonts w:hint="eastAsia" w:ascii="宋体" w:hAnsi="宋体" w:cs="宋体"/>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sz w:val="24"/>
          <w:szCs w:val="24"/>
        </w:rPr>
      </w:pPr>
      <w:bookmarkStart w:id="55" w:name="_Toc128372077"/>
      <w:bookmarkStart w:id="56" w:name="_Toc128372755"/>
      <w:bookmarkStart w:id="57" w:name="_Toc139965350"/>
      <w:bookmarkStart w:id="58" w:name="_Toc240772118"/>
      <w:r>
        <w:rPr>
          <w:rFonts w:hint="eastAsia" w:ascii="宋体" w:hAnsi="宋体" w:cs="宋体"/>
          <w:sz w:val="24"/>
          <w:szCs w:val="24"/>
        </w:rPr>
        <w:t>4.6 合同</w:t>
      </w:r>
      <w:bookmarkEnd w:id="55"/>
      <w:bookmarkEnd w:id="56"/>
      <w:bookmarkEnd w:id="57"/>
      <w:r>
        <w:rPr>
          <w:rFonts w:hint="eastAsia" w:ascii="宋体" w:hAnsi="宋体" w:cs="宋体"/>
          <w:sz w:val="24"/>
          <w:szCs w:val="24"/>
        </w:rPr>
        <w:t>的授予</w:t>
      </w:r>
      <w:bookmarkEnd w:id="58"/>
    </w:p>
    <w:p>
      <w:pPr>
        <w:pStyle w:val="4"/>
        <w:rPr>
          <w:szCs w:val="24"/>
        </w:rPr>
      </w:pPr>
      <w:bookmarkStart w:id="59" w:name="_Toc139965352"/>
      <w:bookmarkStart w:id="60" w:name="_Toc128372757"/>
      <w:bookmarkStart w:id="61" w:name="_Toc240772119"/>
      <w:bookmarkStart w:id="62" w:name="_Toc128372079"/>
      <w:bookmarkStart w:id="63" w:name="_Toc128372078"/>
      <w:bookmarkStart w:id="64" w:name="_Toc139965351"/>
      <w:bookmarkStart w:id="65" w:name="_Toc128372756"/>
      <w:r>
        <w:rPr>
          <w:rFonts w:hint="eastAsia"/>
          <w:szCs w:val="24"/>
          <w:lang w:val="en-US"/>
        </w:rPr>
        <w:t>4</w:t>
      </w:r>
      <w:r>
        <w:rPr>
          <w:rFonts w:hint="eastAsia"/>
          <w:szCs w:val="24"/>
        </w:rPr>
        <w:t>.6.1 成交通知书</w:t>
      </w:r>
      <w:bookmarkEnd w:id="59"/>
      <w:bookmarkEnd w:id="60"/>
      <w:bookmarkEnd w:id="61"/>
      <w:bookmarkEnd w:id="62"/>
    </w:p>
    <w:p>
      <w:pPr>
        <w:spacing w:line="360" w:lineRule="auto"/>
        <w:ind w:firstLine="480" w:firstLineChars="200"/>
        <w:rPr>
          <w:rFonts w:ascii="宋体" w:hAnsi="宋体" w:cs="宋体"/>
          <w:sz w:val="24"/>
          <w:szCs w:val="24"/>
        </w:rPr>
      </w:pPr>
      <w:r>
        <w:rPr>
          <w:rFonts w:hint="eastAsia" w:ascii="宋体" w:hAnsi="宋体" w:cs="宋体"/>
          <w:sz w:val="24"/>
          <w:szCs w:val="24"/>
        </w:rPr>
        <w:t>需方根据磋商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sz w:val="24"/>
          <w:szCs w:val="24"/>
        </w:rPr>
      </w:pPr>
      <w:r>
        <w:rPr>
          <w:rFonts w:hint="eastAsia" w:ascii="宋体" w:hAnsi="宋体" w:cs="宋体"/>
          <w:sz w:val="24"/>
          <w:szCs w:val="24"/>
        </w:rPr>
        <w:t>成交通知书将成为合同的组成部分。</w:t>
      </w:r>
    </w:p>
    <w:p>
      <w:pPr>
        <w:pStyle w:val="4"/>
      </w:pPr>
      <w:bookmarkStart w:id="66" w:name="_Toc240772120"/>
      <w:r>
        <w:rPr>
          <w:rFonts w:hint="eastAsia"/>
          <w:szCs w:val="24"/>
          <w:lang w:val="en-US"/>
        </w:rPr>
        <w:t>4</w:t>
      </w:r>
      <w:r>
        <w:rPr>
          <w:rFonts w:hint="eastAsia"/>
          <w:szCs w:val="24"/>
        </w:rPr>
        <w:t>.6.2 合同授予</w:t>
      </w:r>
      <w:bookmarkEnd w:id="63"/>
      <w:bookmarkEnd w:id="64"/>
      <w:bookmarkEnd w:id="65"/>
      <w:r>
        <w:rPr>
          <w:rFonts w:hint="eastAsia"/>
          <w:szCs w:val="24"/>
        </w:rPr>
        <w:t>原则</w:t>
      </w:r>
      <w:bookmarkEnd w:id="66"/>
    </w:p>
    <w:p>
      <w:pPr>
        <w:spacing w:line="360" w:lineRule="auto"/>
        <w:ind w:firstLine="480" w:firstLineChars="200"/>
        <w:rPr>
          <w:rFonts w:ascii="宋体" w:hAnsi="宋体" w:cs="宋体"/>
          <w:sz w:val="24"/>
          <w:szCs w:val="24"/>
        </w:rPr>
      </w:pPr>
      <w:r>
        <w:rPr>
          <w:rFonts w:hint="eastAsia" w:ascii="宋体" w:hAnsi="宋体" w:cs="宋体"/>
          <w:sz w:val="24"/>
          <w:szCs w:val="24"/>
        </w:rPr>
        <w:t>需方将把合同授予经磋商小组评审推荐，在法定公示时间后，收到成交通知书的供应商。</w:t>
      </w:r>
    </w:p>
    <w:p>
      <w:pPr>
        <w:pStyle w:val="4"/>
        <w:rPr>
          <w:szCs w:val="24"/>
        </w:rPr>
      </w:pPr>
      <w:bookmarkStart w:id="67" w:name="_Toc128372080"/>
      <w:bookmarkStart w:id="68" w:name="_Toc128372758"/>
      <w:bookmarkStart w:id="69" w:name="_Toc139965353"/>
      <w:bookmarkStart w:id="70" w:name="_Toc240772121"/>
      <w:r>
        <w:rPr>
          <w:rFonts w:hint="eastAsia"/>
          <w:szCs w:val="24"/>
          <w:lang w:val="en-US"/>
        </w:rPr>
        <w:t>4</w:t>
      </w:r>
      <w:r>
        <w:rPr>
          <w:rFonts w:hint="eastAsia"/>
          <w:szCs w:val="24"/>
        </w:rPr>
        <w:t>.6.3 合同的签署</w:t>
      </w:r>
      <w:bookmarkEnd w:id="67"/>
      <w:bookmarkEnd w:id="68"/>
      <w:bookmarkEnd w:id="69"/>
      <w:bookmarkEnd w:id="70"/>
    </w:p>
    <w:p>
      <w:pPr>
        <w:spacing w:line="360" w:lineRule="auto"/>
        <w:ind w:firstLine="480" w:firstLineChars="200"/>
        <w:rPr>
          <w:rFonts w:ascii="宋体" w:hAnsi="宋体" w:cs="宋体"/>
          <w:sz w:val="24"/>
          <w:szCs w:val="24"/>
        </w:rPr>
      </w:pPr>
      <w:r>
        <w:rPr>
          <w:rFonts w:hint="eastAsia" w:ascii="宋体" w:hAnsi="宋体" w:cs="宋体"/>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sz w:val="24"/>
          <w:szCs w:val="24"/>
        </w:rPr>
      </w:pPr>
      <w:r>
        <w:rPr>
          <w:rFonts w:hint="eastAsia" w:ascii="宋体" w:hAnsi="宋体" w:cs="宋体"/>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sz w:val="24"/>
          <w:szCs w:val="24"/>
        </w:rPr>
      </w:pPr>
      <w:bookmarkStart w:id="71" w:name="_Toc240772122"/>
      <w:r>
        <w:rPr>
          <w:rFonts w:hint="eastAsia" w:ascii="宋体" w:hAnsi="宋体" w:cs="宋体"/>
          <w:sz w:val="24"/>
          <w:szCs w:val="24"/>
        </w:rPr>
        <w:t>4.7 成交未果</w:t>
      </w:r>
      <w:bookmarkEnd w:id="71"/>
    </w:p>
    <w:p>
      <w:pPr>
        <w:pStyle w:val="7"/>
        <w:spacing w:line="360" w:lineRule="auto"/>
        <w:ind w:left="359" w:leftChars="171" w:firstLine="120" w:firstLineChars="50"/>
        <w:rPr>
          <w:rFonts w:ascii="宋体" w:hAnsi="宋体" w:cs="宋体"/>
          <w:b w:val="0"/>
          <w:bCs w:val="0"/>
          <w:sz w:val="24"/>
          <w:szCs w:val="24"/>
        </w:rPr>
      </w:pPr>
      <w:r>
        <w:rPr>
          <w:rFonts w:hint="eastAsia" w:ascii="宋体" w:hAnsi="宋体" w:cs="宋体"/>
          <w:b w:val="0"/>
          <w:bCs w:val="0"/>
          <w:sz w:val="24"/>
          <w:szCs w:val="24"/>
        </w:rPr>
        <w:t>在磋商采购中，出现下列情形之一的，宣布成交未果：</w:t>
      </w:r>
    </w:p>
    <w:p>
      <w:pPr>
        <w:pStyle w:val="7"/>
        <w:spacing w:line="360" w:lineRule="auto"/>
        <w:rPr>
          <w:rFonts w:ascii="宋体" w:hAnsi="宋体" w:cs="宋体"/>
          <w:b w:val="0"/>
          <w:bCs w:val="0"/>
          <w:sz w:val="24"/>
          <w:szCs w:val="24"/>
        </w:rPr>
      </w:pPr>
      <w:r>
        <w:rPr>
          <w:rFonts w:hint="eastAsia" w:ascii="宋体" w:hAnsi="宋体" w:cs="宋体"/>
          <w:b w:val="0"/>
          <w:bCs w:val="0"/>
          <w:sz w:val="24"/>
          <w:szCs w:val="24"/>
        </w:rPr>
        <w:t>1）符合专业条件的或者对磋商作实质响应的供应商不足三家的；</w:t>
      </w:r>
      <w:r>
        <w:rPr>
          <w:rFonts w:hint="eastAsia" w:ascii="宋体" w:hAnsi="宋体" w:cs="宋体"/>
          <w:b w:val="0"/>
          <w:bCs w:val="0"/>
          <w:sz w:val="24"/>
          <w:szCs w:val="24"/>
        </w:rPr>
        <w:br w:type="textWrapping"/>
      </w:r>
      <w:r>
        <w:rPr>
          <w:rFonts w:hint="eastAsia" w:ascii="宋体" w:hAnsi="宋体" w:cs="宋体"/>
          <w:b w:val="0"/>
          <w:bCs w:val="0"/>
          <w:sz w:val="24"/>
          <w:szCs w:val="24"/>
        </w:rPr>
        <w:t xml:space="preserve">     2）出现影响采购公正的违法、违规行为的；</w:t>
      </w:r>
    </w:p>
    <w:p>
      <w:pPr>
        <w:pStyle w:val="7"/>
        <w:spacing w:line="360" w:lineRule="auto"/>
        <w:ind w:left="479" w:leftChars="228" w:firstLine="0"/>
        <w:rPr>
          <w:rFonts w:ascii="宋体" w:hAnsi="宋体" w:cs="宋体"/>
          <w:b w:val="0"/>
          <w:bCs w:val="0"/>
          <w:sz w:val="24"/>
          <w:szCs w:val="24"/>
        </w:rPr>
      </w:pPr>
      <w:r>
        <w:rPr>
          <w:rFonts w:hint="eastAsia" w:ascii="宋体" w:hAnsi="宋体" w:cs="宋体"/>
          <w:b w:val="0"/>
          <w:bCs w:val="0"/>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sz w:val="24"/>
          <w:szCs w:val="24"/>
        </w:rPr>
      </w:pPr>
      <w:r>
        <w:rPr>
          <w:rFonts w:hint="eastAsia" w:ascii="宋体" w:hAnsi="宋体" w:cs="宋体"/>
          <w:b w:val="0"/>
          <w:bCs w:val="0"/>
          <w:sz w:val="24"/>
          <w:szCs w:val="24"/>
        </w:rPr>
        <w:t xml:space="preserve"> 4）因情况变化，不再符合规定的磋商采购方式适用情形的。</w:t>
      </w:r>
      <w:r>
        <w:rPr>
          <w:rFonts w:hint="eastAsia" w:ascii="宋体" w:hAnsi="宋体" w:cs="宋体"/>
          <w:b w:val="0"/>
          <w:bCs w:val="0"/>
          <w:sz w:val="24"/>
          <w:szCs w:val="24"/>
        </w:rPr>
        <w:br w:type="textWrapping"/>
      </w:r>
      <w:r>
        <w:rPr>
          <w:rFonts w:hint="eastAsia" w:ascii="宋体" w:hAnsi="宋体" w:cs="宋体"/>
          <w:b w:val="0"/>
          <w:bCs w:val="0"/>
          <w:sz w:val="24"/>
          <w:szCs w:val="24"/>
        </w:rPr>
        <w:t>宣布成交未果后，需方应当将成交未果理由通知所有采购当事人。</w:t>
      </w:r>
    </w:p>
    <w:p>
      <w:pPr>
        <w:pStyle w:val="3"/>
        <w:ind w:firstLine="482" w:firstLineChars="200"/>
        <w:jc w:val="both"/>
        <w:rPr>
          <w:rFonts w:ascii="宋体" w:hAnsi="宋体" w:cs="宋体"/>
          <w:sz w:val="24"/>
          <w:szCs w:val="24"/>
        </w:rPr>
      </w:pPr>
      <w:bookmarkStart w:id="72" w:name="_Toc240772123"/>
      <w:r>
        <w:rPr>
          <w:rFonts w:hint="eastAsia" w:ascii="宋体" w:hAnsi="宋体" w:cs="宋体"/>
          <w:sz w:val="24"/>
          <w:szCs w:val="24"/>
        </w:rPr>
        <w:t>4.8 磋商无效响应</w:t>
      </w:r>
      <w:bookmarkEnd w:id="72"/>
    </w:p>
    <w:p>
      <w:pPr>
        <w:spacing w:line="360" w:lineRule="auto"/>
        <w:ind w:firstLine="480" w:firstLineChars="200"/>
        <w:rPr>
          <w:rFonts w:ascii="宋体" w:hAnsi="宋体" w:cs="宋体"/>
          <w:sz w:val="24"/>
          <w:szCs w:val="24"/>
        </w:rPr>
      </w:pPr>
      <w:r>
        <w:rPr>
          <w:rFonts w:hint="eastAsia" w:ascii="宋体" w:hAnsi="宋体" w:cs="宋体"/>
          <w:sz w:val="24"/>
          <w:szCs w:val="24"/>
        </w:rPr>
        <w:t>遇到下列情况之一时,供应商递交的磋商响应性文件将被视为无效响应:</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 xml:space="preserve">1) 磋商响应性文件未按规定编制、标注、密封、封装的； </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2) 超出供应商经营范围参与磋商的；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3）磋商响应性文件无供应商公章和法人或者法人授权代理人的印章或签字的；</w:t>
      </w:r>
    </w:p>
    <w:p>
      <w:pPr>
        <w:pStyle w:val="6"/>
        <w:snapToGrid/>
        <w:spacing w:line="360" w:lineRule="auto"/>
        <w:ind w:firstLine="496" w:firstLineChars="200"/>
        <w:rPr>
          <w:rFonts w:cs="宋体"/>
          <w:szCs w:val="24"/>
        </w:rPr>
      </w:pPr>
      <w:r>
        <w:rPr>
          <w:rFonts w:hint="eastAsia" w:cs="宋体"/>
          <w:szCs w:val="24"/>
        </w:rPr>
        <w:t>4）投标函、法人授权函、生产厂家授权函、磋商报价表及投标货物偏离表未按规定格式填报的；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6) 投标文件未按照磋商通知书规定的格式填写，或者填写的内容不全，或者辨认不清产生歧义，或者涂改处未加盖投标人公章及法人或法人授权的代理人的印章或签字的；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7）磋商响应性文件中每包以两个及两个以上的方案参与磋商的（磋商通知书另有规定的除外）；</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8）磋商响应性文件未能对磋商通知书提出的要求和条件作出实质性响应的；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9）供应商资格条件不符合国家有关规定和磋商通知书要求的，或者拒不按照要求对磋商响应性文件进行澄清、说明或者补正的；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10）磋商响应性文件附有需方不能接受的条件的；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11）参与磋商的产品（同一品牌、型号），在同一地区同一时间段内成交供应商不能保证其实际成交价格低于其他任何非采购价格的；其中：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① 磋商阶段应视为无效响应；</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② 已成交而无供货的视为成交无效；</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③ 已供货者，成交供应商应承担由此给需方造成的损失。</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12）经磋商小组认定，认为生产制造企业通过控制授权函等方式，恶意抬高其产品价格。降低服务质量，价格明显高于在同一地区同一时间段内任何采购价格的；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13）磋商有效期不足90天的；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14）供应商以他人名义参加谈判、串通参加磋商、以行贿手段谋取成交或者以弄虚作假等方式谋取成交的；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15）经核实两个或两个以上供应商的磋商响应性文件有雷同或有抄袭行为的；</w:t>
      </w:r>
    </w:p>
    <w:p>
      <w:pPr>
        <w:spacing w:line="360" w:lineRule="auto"/>
        <w:ind w:firstLine="480" w:firstLineChars="200"/>
        <w:rPr>
          <w:rFonts w:ascii="宋体" w:hAnsi="宋体" w:cs="宋体"/>
          <w:sz w:val="24"/>
          <w:szCs w:val="24"/>
        </w:rPr>
      </w:pPr>
      <w:r>
        <w:rPr>
          <w:rFonts w:hint="eastAsia" w:ascii="宋体" w:hAnsi="宋体" w:cs="宋体"/>
          <w:sz w:val="24"/>
          <w:szCs w:val="24"/>
        </w:rPr>
        <w:t>16）违反《中华人民共和国政府采购法》及相关规定的；</w:t>
      </w:r>
    </w:p>
    <w:p>
      <w:pPr>
        <w:tabs>
          <w:tab w:val="left" w:pos="-540"/>
        </w:tabs>
        <w:spacing w:line="360" w:lineRule="auto"/>
        <w:ind w:firstLine="480" w:firstLineChars="200"/>
        <w:rPr>
          <w:rFonts w:ascii="宋体" w:hAnsi="宋体" w:cs="宋体"/>
          <w:sz w:val="24"/>
          <w:szCs w:val="24"/>
        </w:rPr>
      </w:pPr>
      <w:r>
        <w:rPr>
          <w:rFonts w:hint="eastAsia" w:ascii="宋体" w:hAnsi="宋体" w:cs="宋体"/>
          <w:sz w:val="24"/>
          <w:szCs w:val="24"/>
        </w:rPr>
        <w:t>17）磋商通知书规定的其它无效响应条件。</w:t>
      </w:r>
    </w:p>
    <w:p>
      <w:pPr>
        <w:spacing w:line="360" w:lineRule="auto"/>
        <w:ind w:firstLine="480" w:firstLineChars="200"/>
        <w:rPr>
          <w:rFonts w:ascii="宋体" w:hAnsi="宋体" w:cs="宋体"/>
          <w:sz w:val="24"/>
          <w:szCs w:val="24"/>
        </w:rPr>
      </w:pPr>
      <w:r>
        <w:rPr>
          <w:rFonts w:hint="eastAsia" w:ascii="宋体" w:hAnsi="宋体" w:cs="宋体"/>
          <w:sz w:val="24"/>
          <w:szCs w:val="24"/>
        </w:rPr>
        <w:t>本磋商通知书由需方负责解释，未尽事宜另行商定。</w:t>
      </w:r>
    </w:p>
    <w:p>
      <w:pPr>
        <w:adjustRightInd w:val="0"/>
        <w:spacing w:line="360" w:lineRule="auto"/>
        <w:jc w:val="center"/>
        <w:rPr>
          <w:rFonts w:ascii="宋体" w:hAnsi="宋体" w:cs="宋体"/>
          <w:b/>
          <w:sz w:val="32"/>
          <w:szCs w:val="32"/>
        </w:rPr>
      </w:pPr>
      <w:r>
        <w:rPr>
          <w:rFonts w:hint="eastAsia" w:ascii="宋体" w:hAnsi="宋体" w:cs="宋体"/>
          <w:b/>
          <w:sz w:val="32"/>
          <w:szCs w:val="32"/>
        </w:rPr>
        <w:t>5、技术参数及售后服务</w:t>
      </w:r>
    </w:p>
    <w:p>
      <w:pPr>
        <w:pStyle w:val="3"/>
        <w:ind w:firstLine="482" w:firstLineChars="200"/>
        <w:jc w:val="both"/>
        <w:rPr>
          <w:rFonts w:ascii="宋体" w:hAnsi="宋体" w:cs="宋体"/>
          <w:sz w:val="24"/>
          <w:szCs w:val="24"/>
        </w:rPr>
      </w:pPr>
      <w:r>
        <w:rPr>
          <w:rFonts w:hint="eastAsia" w:ascii="宋体" w:hAnsi="宋体" w:cs="宋体"/>
          <w:sz w:val="24"/>
          <w:szCs w:val="24"/>
        </w:rPr>
        <w:t>5.1技术参数附后</w:t>
      </w:r>
    </w:p>
    <w:p>
      <w:pPr>
        <w:pStyle w:val="3"/>
        <w:ind w:firstLine="482" w:firstLineChars="200"/>
        <w:jc w:val="both"/>
        <w:rPr>
          <w:rFonts w:ascii="宋体" w:hAnsi="宋体" w:cs="宋体"/>
          <w:sz w:val="24"/>
          <w:szCs w:val="24"/>
        </w:rPr>
      </w:pPr>
      <w:r>
        <w:rPr>
          <w:rFonts w:hint="eastAsia" w:ascii="宋体" w:hAnsi="宋体" w:cs="宋体"/>
          <w:sz w:val="24"/>
          <w:szCs w:val="24"/>
        </w:rPr>
        <w:t>5.2售后服务双方合同约定</w:t>
      </w:r>
    </w:p>
    <w:p>
      <w:pPr>
        <w:adjustRightInd w:val="0"/>
        <w:spacing w:line="360" w:lineRule="auto"/>
        <w:jc w:val="center"/>
        <w:rPr>
          <w:rFonts w:ascii="仿宋" w:hAnsi="仿宋" w:eastAsia="仿宋" w:cs="仿宋"/>
          <w:b/>
          <w:sz w:val="32"/>
          <w:szCs w:val="32"/>
        </w:rPr>
      </w:pPr>
      <w:r>
        <w:rPr>
          <w:rFonts w:hint="eastAsia" w:ascii="仿宋" w:hAnsi="仿宋" w:eastAsia="仿宋" w:cs="仿宋"/>
          <w:b/>
          <w:sz w:val="32"/>
          <w:szCs w:val="32"/>
        </w:rPr>
        <w:t>6、附件</w:t>
      </w:r>
    </w:p>
    <w:p>
      <w:pPr>
        <w:spacing w:line="360" w:lineRule="auto"/>
        <w:ind w:firstLine="480" w:firstLineChars="200"/>
        <w:rPr>
          <w:rFonts w:ascii="宋体" w:hAnsi="宋体" w:cs="宋体"/>
          <w:sz w:val="24"/>
          <w:szCs w:val="24"/>
        </w:rPr>
      </w:pPr>
      <w:r>
        <w:rPr>
          <w:rFonts w:hint="eastAsia" w:ascii="宋体" w:hAnsi="宋体" w:cs="宋体"/>
          <w:sz w:val="24"/>
          <w:szCs w:val="24"/>
        </w:rPr>
        <w:t>附件1：磋商响应函</w:t>
      </w:r>
    </w:p>
    <w:p>
      <w:pPr>
        <w:spacing w:line="360" w:lineRule="auto"/>
        <w:ind w:firstLine="480" w:firstLineChars="200"/>
        <w:rPr>
          <w:rFonts w:ascii="宋体" w:hAnsi="宋体" w:cs="宋体"/>
          <w:sz w:val="24"/>
          <w:szCs w:val="24"/>
        </w:rPr>
      </w:pPr>
      <w:r>
        <w:rPr>
          <w:rFonts w:hint="eastAsia" w:ascii="宋体" w:hAnsi="宋体" w:cs="宋体"/>
          <w:sz w:val="24"/>
          <w:szCs w:val="24"/>
        </w:rPr>
        <w:t>附件2：法人授权函</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附件3：数量明细表</w:t>
      </w:r>
    </w:p>
    <w:p>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附件</w:t>
      </w:r>
      <w:r>
        <w:rPr>
          <w:rFonts w:hint="eastAsia" w:ascii="宋体" w:hAnsi="宋体" w:cs="宋体"/>
          <w:sz w:val="24"/>
          <w:szCs w:val="24"/>
          <w:lang w:val="en-US" w:eastAsia="zh-CN"/>
        </w:rPr>
        <w:t>4</w:t>
      </w:r>
      <w:r>
        <w:rPr>
          <w:rFonts w:hint="eastAsia" w:ascii="宋体" w:hAnsi="宋体" w:cs="宋体"/>
          <w:sz w:val="24"/>
          <w:szCs w:val="24"/>
        </w:rPr>
        <w:t>：</w:t>
      </w:r>
      <w:r>
        <w:rPr>
          <w:rFonts w:hint="eastAsia" w:ascii="宋体" w:hAnsi="宋体" w:cs="宋体"/>
          <w:sz w:val="24"/>
          <w:szCs w:val="24"/>
          <w:lang w:eastAsia="zh-CN"/>
        </w:rPr>
        <w:t>竞争性磋商报价单（一次）</w:t>
      </w:r>
    </w:p>
    <w:p>
      <w:pPr>
        <w:spacing w:line="360" w:lineRule="auto"/>
        <w:ind w:firstLine="480" w:firstLineChars="200"/>
        <w:rPr>
          <w:rFonts w:hint="eastAsia" w:ascii="宋体" w:hAnsi="宋体" w:cs="宋体"/>
          <w:sz w:val="24"/>
          <w:szCs w:val="24"/>
        </w:rPr>
      </w:pPr>
    </w:p>
    <w:p>
      <w:pPr>
        <w:pStyle w:val="6"/>
        <w:snapToGrid/>
        <w:spacing w:line="360" w:lineRule="auto"/>
        <w:ind w:firstLine="496" w:firstLineChars="200"/>
        <w:rPr>
          <w:rFonts w:cs="宋体"/>
          <w:szCs w:val="24"/>
        </w:rPr>
      </w:pPr>
      <w:r>
        <w:rPr>
          <w:rFonts w:hint="eastAsia" w:cs="宋体"/>
          <w:szCs w:val="24"/>
        </w:rPr>
        <w:t xml:space="preserve"> (以上附件内容详见后附件)</w:t>
      </w:r>
    </w:p>
    <w:p>
      <w:pPr>
        <w:pStyle w:val="6"/>
        <w:snapToGrid/>
        <w:spacing w:line="360" w:lineRule="auto"/>
        <w:ind w:firstLine="496" w:firstLineChars="200"/>
        <w:rPr>
          <w:rFonts w:cs="宋体"/>
          <w:szCs w:val="24"/>
        </w:rPr>
      </w:pPr>
      <w:r>
        <w:rPr>
          <w:rFonts w:hint="eastAsia" w:cs="宋体"/>
          <w:szCs w:val="24"/>
        </w:rPr>
        <w:t>注：未给出的表格请按自身行业特点自行编制</w:t>
      </w:r>
    </w:p>
    <w:p>
      <w:pPr>
        <w:spacing w:line="360" w:lineRule="auto"/>
        <w:rPr>
          <w:rFonts w:ascii="宋体" w:hAnsi="宋体" w:cs="宋体"/>
          <w:b/>
          <w:sz w:val="24"/>
        </w:rPr>
      </w:pPr>
      <w:r>
        <w:rPr>
          <w:rFonts w:hint="eastAsia" w:ascii="宋体" w:hAnsi="宋体" w:cs="宋体"/>
          <w:b/>
          <w:sz w:val="24"/>
        </w:rPr>
        <w:t>附件1：</w:t>
      </w:r>
      <w:bookmarkStart w:id="73" w:name="_Toc139965361"/>
    </w:p>
    <w:p>
      <w:pPr>
        <w:pStyle w:val="3"/>
        <w:spacing w:before="0" w:after="0"/>
        <w:rPr>
          <w:rFonts w:ascii="宋体" w:hAnsi="宋体" w:cs="宋体"/>
          <w:sz w:val="36"/>
          <w:szCs w:val="36"/>
        </w:rPr>
      </w:pPr>
      <w:bookmarkStart w:id="74" w:name="_Toc240772126"/>
      <w:r>
        <w:rPr>
          <w:rFonts w:hint="eastAsia" w:ascii="宋体" w:hAnsi="宋体" w:cs="宋体"/>
          <w:sz w:val="32"/>
          <w:lang w:eastAsia="zh-CN"/>
        </w:rPr>
        <w:t>竞争性磋商</w:t>
      </w:r>
      <w:r>
        <w:rPr>
          <w:rFonts w:hint="eastAsia" w:ascii="宋体" w:hAnsi="宋体" w:cs="宋体"/>
          <w:sz w:val="32"/>
        </w:rPr>
        <w:t>响应函</w:t>
      </w:r>
      <w:bookmarkEnd w:id="73"/>
      <w:bookmarkEnd w:id="74"/>
    </w:p>
    <w:p>
      <w:pPr>
        <w:spacing w:line="360" w:lineRule="auto"/>
        <w:rPr>
          <w:rFonts w:ascii="宋体" w:hAnsi="宋体" w:cs="宋体"/>
          <w:sz w:val="24"/>
        </w:rPr>
      </w:pPr>
      <w:r>
        <w:rPr>
          <w:rFonts w:hint="eastAsia" w:ascii="宋体" w:hAnsi="宋体" w:cs="宋体"/>
          <w:sz w:val="24"/>
        </w:rPr>
        <w:t>致：兰州职业技术学院</w:t>
      </w:r>
    </w:p>
    <w:p>
      <w:pPr>
        <w:spacing w:line="360" w:lineRule="auto"/>
        <w:ind w:firstLine="480" w:firstLineChars="200"/>
        <w:rPr>
          <w:rFonts w:ascii="宋体" w:hAnsi="宋体" w:cs="宋体"/>
          <w:sz w:val="24"/>
        </w:rPr>
      </w:pPr>
      <w:r>
        <w:rPr>
          <w:rFonts w:hint="eastAsia" w:ascii="宋体" w:hAnsi="宋体" w:cs="宋体"/>
          <w:sz w:val="24"/>
        </w:rPr>
        <w:t>我单位经认真研究上述</w:t>
      </w:r>
      <w:r>
        <w:rPr>
          <w:rFonts w:hint="eastAsia" w:ascii="宋体" w:hAnsi="宋体" w:cs="宋体"/>
          <w:sz w:val="24"/>
          <w:szCs w:val="24"/>
        </w:rPr>
        <w:t>磋商通知书</w:t>
      </w:r>
      <w:r>
        <w:rPr>
          <w:rFonts w:hint="eastAsia" w:ascii="宋体" w:hAnsi="宋体" w:cs="宋体"/>
          <w:sz w:val="24"/>
        </w:rPr>
        <w:t>，决定参加本次磋商。我方提交磋商响应性文件并保证其真实性。我方愿承担该项目的实施和保修任务，履行</w:t>
      </w:r>
      <w:r>
        <w:rPr>
          <w:rFonts w:hint="eastAsia" w:ascii="宋体" w:hAnsi="宋体" w:cs="宋体"/>
          <w:sz w:val="24"/>
          <w:szCs w:val="24"/>
        </w:rPr>
        <w:t>磋商通知书</w:t>
      </w:r>
      <w:r>
        <w:rPr>
          <w:rFonts w:hint="eastAsia" w:ascii="宋体" w:hAnsi="宋体" w:cs="宋体"/>
          <w:sz w:val="24"/>
        </w:rPr>
        <w:t>中对成交单位的要求和应承担的责任和义务。同时我方郑重做出如下声明：</w:t>
      </w:r>
    </w:p>
    <w:p>
      <w:pPr>
        <w:spacing w:line="360" w:lineRule="auto"/>
        <w:ind w:firstLine="480" w:firstLineChars="200"/>
        <w:rPr>
          <w:rFonts w:ascii="宋体" w:hAnsi="宋体" w:cs="宋体"/>
          <w:sz w:val="24"/>
        </w:rPr>
      </w:pPr>
      <w:r>
        <w:rPr>
          <w:rFonts w:hint="eastAsia" w:ascii="宋体" w:hAnsi="宋体" w:cs="宋体"/>
          <w:sz w:val="24"/>
        </w:rPr>
        <w:t>1、我方完全接受</w:t>
      </w:r>
      <w:r>
        <w:rPr>
          <w:rFonts w:hint="eastAsia" w:ascii="宋体" w:hAnsi="宋体" w:cs="宋体"/>
          <w:sz w:val="24"/>
          <w:szCs w:val="24"/>
        </w:rPr>
        <w:t>磋商通知书</w:t>
      </w:r>
      <w:r>
        <w:rPr>
          <w:rFonts w:hint="eastAsia" w:ascii="宋体" w:hAnsi="宋体" w:cs="宋体"/>
          <w:sz w:val="24"/>
        </w:rPr>
        <w:t>中的内容，并将按</w:t>
      </w:r>
      <w:r>
        <w:rPr>
          <w:rFonts w:hint="eastAsia" w:ascii="宋体" w:hAnsi="宋体" w:cs="宋体"/>
          <w:sz w:val="24"/>
          <w:szCs w:val="24"/>
        </w:rPr>
        <w:t>磋商通知书</w:t>
      </w:r>
      <w:r>
        <w:rPr>
          <w:rFonts w:hint="eastAsia" w:ascii="宋体" w:hAnsi="宋体" w:cs="宋体"/>
          <w:sz w:val="24"/>
        </w:rPr>
        <w:t>的规定履行责任、义务。</w:t>
      </w:r>
    </w:p>
    <w:p>
      <w:pPr>
        <w:spacing w:line="360" w:lineRule="auto"/>
        <w:ind w:firstLine="480" w:firstLineChars="200"/>
        <w:rPr>
          <w:rFonts w:ascii="宋体" w:hAnsi="宋体" w:cs="宋体"/>
          <w:sz w:val="24"/>
        </w:rPr>
      </w:pPr>
      <w:r>
        <w:rPr>
          <w:rFonts w:hint="eastAsia" w:ascii="宋体" w:hAnsi="宋体" w:cs="宋体"/>
          <w:sz w:val="24"/>
        </w:rPr>
        <w:t>2、我方已详细审查全部</w:t>
      </w:r>
      <w:r>
        <w:rPr>
          <w:rFonts w:hint="eastAsia" w:ascii="宋体" w:hAnsi="宋体" w:cs="宋体"/>
          <w:sz w:val="24"/>
          <w:szCs w:val="24"/>
        </w:rPr>
        <w:t>磋商通知书</w:t>
      </w:r>
      <w:r>
        <w:rPr>
          <w:rFonts w:hint="eastAsia" w:ascii="宋体" w:hAnsi="宋体" w:cs="宋体"/>
          <w:sz w:val="24"/>
        </w:rPr>
        <w:t>，包括修改文件、参考资料及有关附件，无其他不明事项。</w:t>
      </w:r>
    </w:p>
    <w:p>
      <w:pPr>
        <w:spacing w:line="360" w:lineRule="auto"/>
        <w:ind w:firstLine="480" w:firstLineChars="200"/>
        <w:rPr>
          <w:rFonts w:ascii="宋体" w:hAnsi="宋体" w:cs="宋体"/>
          <w:sz w:val="24"/>
        </w:rPr>
      </w:pPr>
      <w:r>
        <w:rPr>
          <w:rFonts w:hint="eastAsia" w:ascii="宋体" w:hAnsi="宋体" w:cs="宋体"/>
          <w:sz w:val="24"/>
        </w:rPr>
        <w:t>3、我方同意提供贵方可能要求的与磋商有关的任何证据或资料。</w:t>
      </w:r>
    </w:p>
    <w:p>
      <w:pPr>
        <w:spacing w:line="360" w:lineRule="auto"/>
        <w:ind w:firstLine="480" w:firstLineChars="200"/>
        <w:rPr>
          <w:rFonts w:ascii="宋体" w:hAnsi="宋体" w:cs="宋体"/>
          <w:sz w:val="24"/>
        </w:rPr>
      </w:pPr>
      <w:r>
        <w:rPr>
          <w:rFonts w:hint="eastAsia" w:ascii="宋体" w:hAnsi="宋体" w:cs="宋体"/>
          <w:sz w:val="24"/>
        </w:rPr>
        <w:t>4、如果我方成交，我方将按《成交通知书》要求签订、履行合同，承担责任、义务。</w:t>
      </w:r>
    </w:p>
    <w:p>
      <w:pPr>
        <w:spacing w:line="360" w:lineRule="auto"/>
        <w:ind w:firstLine="480" w:firstLineChars="200"/>
        <w:rPr>
          <w:rFonts w:ascii="宋体" w:hAnsi="宋体" w:cs="宋体"/>
          <w:sz w:val="24"/>
        </w:rPr>
      </w:pPr>
      <w:r>
        <w:rPr>
          <w:rFonts w:hint="eastAsia" w:ascii="宋体" w:hAnsi="宋体" w:cs="宋体"/>
          <w:sz w:val="24"/>
        </w:rPr>
        <w:t>5、我方同意所递交的磋商响应性文件在90天的磋商有效期内有效，在此期间我方将受此约束。</w:t>
      </w:r>
    </w:p>
    <w:p>
      <w:pPr>
        <w:spacing w:line="360" w:lineRule="auto"/>
        <w:ind w:firstLine="480" w:firstLineChars="200"/>
        <w:rPr>
          <w:rFonts w:ascii="宋体" w:hAnsi="宋体" w:cs="宋体"/>
          <w:sz w:val="24"/>
        </w:rPr>
      </w:pPr>
      <w:r>
        <w:rPr>
          <w:rFonts w:hint="eastAsia" w:ascii="宋体" w:hAnsi="宋体" w:cs="宋体"/>
          <w:sz w:val="24"/>
        </w:rPr>
        <w:t>6、与磋商有关的一切正式信函请使用以下地址：</w:t>
      </w:r>
    </w:p>
    <w:p>
      <w:pPr>
        <w:spacing w:line="360" w:lineRule="auto"/>
        <w:ind w:firstLine="900" w:firstLineChars="375"/>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pPr>
        <w:spacing w:line="360" w:lineRule="auto"/>
        <w:ind w:firstLine="900" w:firstLineChars="375"/>
        <w:rPr>
          <w:rFonts w:ascii="宋体" w:hAnsi="宋体" w:cs="宋体"/>
          <w:sz w:val="24"/>
        </w:rPr>
      </w:pPr>
      <w:r>
        <w:rPr>
          <w:rFonts w:hint="eastAsia" w:ascii="宋体" w:hAnsi="宋体" w:cs="宋体"/>
          <w:sz w:val="24"/>
        </w:rPr>
        <w:t>邮    编：</w:t>
      </w:r>
      <w:r>
        <w:rPr>
          <w:rFonts w:hint="eastAsia" w:ascii="宋体" w:hAnsi="宋体" w:cs="宋体"/>
          <w:sz w:val="24"/>
          <w:u w:val="single"/>
        </w:rPr>
        <w:t xml:space="preserve">                      </w:t>
      </w:r>
    </w:p>
    <w:p>
      <w:pPr>
        <w:spacing w:line="360" w:lineRule="auto"/>
        <w:ind w:firstLine="900" w:firstLineChars="375"/>
        <w:rPr>
          <w:rFonts w:ascii="宋体" w:hAnsi="宋体" w:cs="宋体"/>
          <w:sz w:val="24"/>
        </w:rPr>
      </w:pPr>
      <w:r>
        <w:rPr>
          <w:rFonts w:hint="eastAsia" w:ascii="宋体" w:hAnsi="宋体" w:cs="宋体"/>
          <w:sz w:val="24"/>
        </w:rPr>
        <w:t>电    话：</w:t>
      </w:r>
      <w:r>
        <w:rPr>
          <w:rFonts w:hint="eastAsia" w:ascii="宋体" w:hAnsi="宋体" w:cs="宋体"/>
          <w:sz w:val="24"/>
          <w:u w:val="single"/>
        </w:rPr>
        <w:t xml:space="preserve">                      </w:t>
      </w:r>
    </w:p>
    <w:p>
      <w:pPr>
        <w:spacing w:line="360" w:lineRule="auto"/>
        <w:ind w:firstLine="900" w:firstLineChars="375"/>
        <w:rPr>
          <w:rFonts w:ascii="宋体" w:hAnsi="宋体" w:cs="宋体"/>
          <w:sz w:val="24"/>
        </w:rPr>
      </w:pPr>
      <w:r>
        <w:rPr>
          <w:rFonts w:hint="eastAsia" w:ascii="宋体" w:hAnsi="宋体" w:cs="宋体"/>
          <w:sz w:val="24"/>
        </w:rPr>
        <w:t>传    真：</w:t>
      </w:r>
      <w:r>
        <w:rPr>
          <w:rFonts w:hint="eastAsia" w:ascii="宋体" w:hAnsi="宋体" w:cs="宋体"/>
          <w:sz w:val="24"/>
          <w:u w:val="single"/>
        </w:rPr>
        <w:t xml:space="preserve">                      </w:t>
      </w:r>
    </w:p>
    <w:p>
      <w:pPr>
        <w:spacing w:line="360" w:lineRule="auto"/>
        <w:ind w:firstLine="900" w:firstLineChars="375"/>
        <w:rPr>
          <w:rFonts w:ascii="宋体" w:hAnsi="宋体" w:cs="宋体"/>
          <w:sz w:val="24"/>
          <w:u w:val="single"/>
        </w:rPr>
      </w:pPr>
      <w:r>
        <w:rPr>
          <w:rFonts w:hint="eastAsia" w:ascii="宋体" w:hAnsi="宋体" w:cs="宋体"/>
          <w:sz w:val="24"/>
        </w:rPr>
        <w:t>单位公章：</w:t>
      </w:r>
      <w:r>
        <w:rPr>
          <w:rFonts w:hint="eastAsia" w:ascii="宋体" w:hAnsi="宋体" w:cs="宋体"/>
          <w:sz w:val="24"/>
          <w:u w:val="single"/>
        </w:rPr>
        <w:t xml:space="preserve">                        </w:t>
      </w:r>
    </w:p>
    <w:p>
      <w:pPr>
        <w:spacing w:line="360" w:lineRule="auto"/>
        <w:ind w:firstLine="900" w:firstLineChars="375"/>
        <w:rPr>
          <w:rFonts w:ascii="宋体" w:hAnsi="宋体" w:cs="宋体"/>
          <w:sz w:val="24"/>
        </w:rPr>
      </w:pPr>
      <w:r>
        <w:rPr>
          <w:rFonts w:hint="eastAsia" w:ascii="宋体" w:hAnsi="宋体" w:cs="宋体"/>
          <w:sz w:val="24"/>
        </w:rPr>
        <w:t>法定代表人或授权代表人签字：</w:t>
      </w:r>
      <w:r>
        <w:rPr>
          <w:rFonts w:hint="eastAsia" w:ascii="宋体" w:hAnsi="宋体" w:cs="宋体"/>
          <w:sz w:val="24"/>
          <w:u w:val="single"/>
        </w:rPr>
        <w:t xml:space="preserve">                      </w:t>
      </w:r>
      <w:r>
        <w:rPr>
          <w:rFonts w:hint="eastAsia" w:ascii="宋体" w:hAnsi="宋体" w:cs="宋体"/>
          <w:sz w:val="24"/>
        </w:rPr>
        <w:t xml:space="preserve">   </w:t>
      </w:r>
    </w:p>
    <w:p>
      <w:pPr>
        <w:pStyle w:val="10"/>
        <w:spacing w:line="360" w:lineRule="auto"/>
        <w:ind w:left="99" w:leftChars="47" w:firstLine="560" w:firstLineChars="200"/>
        <w:jc w:val="right"/>
        <w:rPr>
          <w:rFonts w:ascii="宋体" w:hAnsi="宋体" w:cs="宋体"/>
        </w:rPr>
      </w:pPr>
      <w:r>
        <w:rPr>
          <w:rFonts w:hint="eastAsia" w:ascii="宋体" w:hAnsi="宋体" w:cs="宋体"/>
        </w:rPr>
        <w:t xml:space="preserve">        年    月   日</w:t>
      </w:r>
    </w:p>
    <w:p>
      <w:pPr>
        <w:rPr>
          <w:rFonts w:ascii="宋体" w:hAnsi="宋体" w:cs="宋体"/>
          <w:b/>
          <w:sz w:val="24"/>
        </w:rPr>
      </w:pPr>
    </w:p>
    <w:p>
      <w:pPr>
        <w:rPr>
          <w:rFonts w:ascii="宋体" w:hAnsi="宋体" w:cs="宋体"/>
          <w:b/>
          <w:sz w:val="24"/>
        </w:rPr>
      </w:pPr>
      <w:r>
        <w:rPr>
          <w:rFonts w:hint="eastAsia" w:ascii="宋体" w:hAnsi="宋体" w:cs="宋体"/>
          <w:b/>
          <w:sz w:val="24"/>
        </w:rPr>
        <w:t>附件2</w:t>
      </w:r>
    </w:p>
    <w:p>
      <w:pPr>
        <w:pStyle w:val="3"/>
        <w:spacing w:before="0" w:after="0"/>
        <w:rPr>
          <w:rFonts w:ascii="仿宋" w:hAnsi="仿宋" w:eastAsia="仿宋" w:cs="仿宋"/>
          <w:sz w:val="32"/>
        </w:rPr>
      </w:pPr>
      <w:bookmarkStart w:id="75" w:name="_Toc240772127"/>
      <w:r>
        <w:rPr>
          <w:rFonts w:hint="eastAsia" w:ascii="宋体" w:hAnsi="宋体" w:cs="宋体"/>
          <w:sz w:val="32"/>
        </w:rPr>
        <w:t>法人授权函</w:t>
      </w:r>
      <w:bookmarkEnd w:id="75"/>
    </w:p>
    <w:p>
      <w:pPr>
        <w:spacing w:line="300" w:lineRule="auto"/>
        <w:rPr>
          <w:rFonts w:ascii="仿宋" w:hAnsi="仿宋" w:eastAsia="仿宋" w:cs="仿宋"/>
          <w:sz w:val="24"/>
          <w:szCs w:val="24"/>
        </w:rPr>
      </w:pPr>
    </w:p>
    <w:p>
      <w:pPr>
        <w:spacing w:line="480" w:lineRule="auto"/>
        <w:rPr>
          <w:rFonts w:ascii="宋体" w:hAnsi="宋体" w:cs="宋体"/>
          <w:sz w:val="24"/>
          <w:szCs w:val="24"/>
        </w:rPr>
      </w:pPr>
      <w:r>
        <w:rPr>
          <w:rFonts w:hint="eastAsia" w:ascii="宋体" w:hAnsi="宋体" w:cs="宋体"/>
          <w:sz w:val="24"/>
          <w:szCs w:val="24"/>
        </w:rPr>
        <w:t>致 ：兰州职业技术学院</w:t>
      </w:r>
    </w:p>
    <w:p>
      <w:pPr>
        <w:spacing w:line="480" w:lineRule="auto"/>
        <w:ind w:firstLine="480" w:firstLineChars="200"/>
        <w:rPr>
          <w:rFonts w:ascii="宋体" w:hAnsi="宋体" w:cs="宋体"/>
          <w:sz w:val="24"/>
          <w:szCs w:val="24"/>
        </w:rPr>
      </w:pPr>
      <w:r>
        <w:rPr>
          <w:rFonts w:hint="eastAsia" w:ascii="宋体" w:hAnsi="宋体" w:cs="宋体"/>
          <w:sz w:val="24"/>
          <w:szCs w:val="24"/>
        </w:rPr>
        <w:t>本授权函声明：</w:t>
      </w:r>
      <w:r>
        <w:rPr>
          <w:rFonts w:hint="eastAsia" w:ascii="宋体" w:hAnsi="宋体" w:cs="宋体"/>
          <w:sz w:val="24"/>
          <w:szCs w:val="24"/>
          <w:u w:val="single"/>
        </w:rPr>
        <w:t xml:space="preserve">            （供应商全称）         </w:t>
      </w:r>
      <w:r>
        <w:rPr>
          <w:rFonts w:hint="eastAsia" w:ascii="宋体" w:hAnsi="宋体" w:cs="宋体"/>
          <w:sz w:val="24"/>
          <w:szCs w:val="24"/>
        </w:rPr>
        <w:t>任命</w:t>
      </w:r>
      <w:r>
        <w:rPr>
          <w:rFonts w:hint="eastAsia" w:ascii="宋体" w:hAnsi="宋体" w:cs="宋体"/>
          <w:sz w:val="24"/>
          <w:szCs w:val="24"/>
          <w:u w:val="single"/>
        </w:rPr>
        <w:t xml:space="preserve"> （被授权人姓名、职务）   </w:t>
      </w:r>
      <w:r>
        <w:rPr>
          <w:rFonts w:hint="eastAsia" w:ascii="宋体" w:hAnsi="宋体" w:cs="宋体"/>
          <w:sz w:val="24"/>
          <w:szCs w:val="24"/>
        </w:rPr>
        <w:t>为我公司的授权代表人，参与项目为</w:t>
      </w:r>
      <w:r>
        <w:rPr>
          <w:rFonts w:hint="eastAsia" w:ascii="宋体" w:hAnsi="宋体" w:cs="宋体"/>
          <w:sz w:val="24"/>
          <w:szCs w:val="24"/>
          <w:u w:val="single"/>
        </w:rPr>
        <w:t xml:space="preserve">（项目名称）      </w:t>
      </w:r>
      <w:r>
        <w:rPr>
          <w:rFonts w:hint="eastAsia" w:ascii="宋体" w:hAnsi="宋体" w:cs="宋体"/>
          <w:sz w:val="24"/>
          <w:szCs w:val="24"/>
        </w:rPr>
        <w:t xml:space="preserve"> 的</w:t>
      </w:r>
      <w:r>
        <w:rPr>
          <w:rFonts w:hint="eastAsia" w:ascii="宋体" w:hAnsi="宋体" w:cs="宋体"/>
          <w:bCs/>
          <w:sz w:val="24"/>
          <w:szCs w:val="24"/>
        </w:rPr>
        <w:t>兰州职业技术学院所需的项目</w:t>
      </w:r>
      <w:r>
        <w:rPr>
          <w:rFonts w:hint="eastAsia" w:ascii="宋体" w:hAnsi="宋体" w:cs="宋体"/>
          <w:sz w:val="24"/>
          <w:szCs w:val="24"/>
        </w:rPr>
        <w:t>谈判活动，以供应商的名义签署磋商响应性文件、进行合同谈判、签署合同和全权处理与之有关的一切事务。</w:t>
      </w:r>
    </w:p>
    <w:p>
      <w:pPr>
        <w:spacing w:line="300" w:lineRule="auto"/>
        <w:ind w:firstLine="2246"/>
        <w:rPr>
          <w:rFonts w:ascii="宋体" w:hAnsi="宋体" w:cs="宋体"/>
          <w:sz w:val="24"/>
          <w:szCs w:val="24"/>
        </w:rPr>
      </w:pPr>
    </w:p>
    <w:p>
      <w:pPr>
        <w:spacing w:line="480" w:lineRule="auto"/>
        <w:ind w:firstLine="480" w:firstLineChars="200"/>
        <w:rPr>
          <w:rFonts w:ascii="宋体" w:hAnsi="宋体" w:cs="宋体"/>
          <w:sz w:val="24"/>
          <w:szCs w:val="24"/>
        </w:rPr>
      </w:pPr>
      <w:r>
        <w:rPr>
          <w:rFonts w:hint="eastAsia" w:ascii="宋体" w:hAnsi="宋体" w:cs="宋体"/>
          <w:sz w:val="24"/>
          <w:szCs w:val="24"/>
        </w:rPr>
        <w:t>特签字如下，以资证明。</w:t>
      </w:r>
    </w:p>
    <w:p>
      <w:pPr>
        <w:spacing w:line="480" w:lineRule="auto"/>
        <w:ind w:firstLine="480" w:firstLineChars="200"/>
        <w:rPr>
          <w:rFonts w:ascii="宋体" w:hAnsi="宋体" w:cs="宋体"/>
          <w:sz w:val="24"/>
          <w:szCs w:val="24"/>
        </w:rPr>
      </w:pPr>
    </w:p>
    <w:p>
      <w:pPr>
        <w:spacing w:line="480" w:lineRule="auto"/>
        <w:ind w:firstLine="480" w:firstLineChars="200"/>
        <w:rPr>
          <w:rFonts w:ascii="宋体" w:hAnsi="宋体" w:cs="宋体"/>
          <w:sz w:val="24"/>
          <w:szCs w:val="24"/>
        </w:rPr>
      </w:pPr>
    </w:p>
    <w:p>
      <w:pPr>
        <w:spacing w:line="480" w:lineRule="auto"/>
        <w:ind w:firstLine="480" w:firstLineChars="200"/>
        <w:rPr>
          <w:rFonts w:ascii="宋体" w:hAnsi="宋体" w:cs="宋体"/>
          <w:sz w:val="24"/>
          <w:szCs w:val="24"/>
          <w:u w:val="single"/>
        </w:rPr>
      </w:pPr>
      <w:r>
        <w:rPr>
          <w:rFonts w:hint="eastAsia" w:ascii="宋体" w:hAnsi="宋体" w:cs="宋体"/>
          <w:sz w:val="24"/>
          <w:szCs w:val="24"/>
        </w:rPr>
        <w:t>供应商名称：（公章）</w:t>
      </w:r>
      <w:r>
        <w:rPr>
          <w:rFonts w:hint="eastAsia" w:ascii="宋体" w:hAnsi="宋体" w:cs="宋体"/>
          <w:sz w:val="24"/>
          <w:szCs w:val="24"/>
          <w:u w:val="single"/>
        </w:rPr>
        <w:t xml:space="preserve">                                       </w:t>
      </w:r>
    </w:p>
    <w:p>
      <w:pPr>
        <w:spacing w:line="480" w:lineRule="auto"/>
        <w:ind w:firstLine="480" w:firstLineChars="200"/>
        <w:rPr>
          <w:rFonts w:ascii="宋体" w:hAnsi="宋体" w:cs="宋体"/>
          <w:sz w:val="24"/>
          <w:szCs w:val="24"/>
          <w:u w:val="single"/>
        </w:rPr>
      </w:pPr>
    </w:p>
    <w:p>
      <w:pPr>
        <w:spacing w:line="480" w:lineRule="auto"/>
        <w:ind w:firstLine="480" w:firstLineChars="200"/>
        <w:rPr>
          <w:rFonts w:ascii="宋体" w:hAnsi="宋体" w:cs="宋体"/>
          <w:sz w:val="24"/>
          <w:szCs w:val="24"/>
          <w:u w:val="single"/>
        </w:rPr>
      </w:pPr>
      <w:r>
        <w:rPr>
          <w:rFonts w:hint="eastAsia" w:ascii="宋体" w:hAnsi="宋体" w:cs="宋体"/>
          <w:sz w:val="24"/>
          <w:szCs w:val="24"/>
        </w:rPr>
        <w:t>供应商地址：</w:t>
      </w:r>
      <w:r>
        <w:rPr>
          <w:rFonts w:hint="eastAsia" w:ascii="宋体" w:hAnsi="宋体" w:cs="宋体"/>
          <w:sz w:val="24"/>
          <w:szCs w:val="24"/>
          <w:u w:val="single"/>
        </w:rPr>
        <w:t xml:space="preserve">                                              </w:t>
      </w:r>
    </w:p>
    <w:p>
      <w:pPr>
        <w:spacing w:line="480" w:lineRule="auto"/>
        <w:ind w:firstLine="480" w:firstLineChars="200"/>
        <w:rPr>
          <w:rFonts w:ascii="宋体" w:hAnsi="宋体" w:cs="宋体"/>
          <w:sz w:val="24"/>
          <w:szCs w:val="24"/>
          <w:u w:val="single"/>
        </w:rPr>
      </w:pPr>
      <w:r>
        <w:rPr>
          <w:rFonts w:hint="eastAsia" w:ascii="宋体" w:hAnsi="宋体" w:cs="宋体"/>
          <w:sz w:val="24"/>
          <w:szCs w:val="24"/>
        </w:rPr>
        <w:t>法定代表人：（签字或印章）</w:t>
      </w:r>
      <w:r>
        <w:rPr>
          <w:rFonts w:hint="eastAsia" w:ascii="宋体" w:hAnsi="宋体" w:cs="宋体"/>
          <w:sz w:val="24"/>
          <w:szCs w:val="24"/>
          <w:u w:val="single"/>
        </w:rPr>
        <w:t xml:space="preserve">                    </w:t>
      </w:r>
    </w:p>
    <w:p>
      <w:pPr>
        <w:spacing w:line="480" w:lineRule="auto"/>
        <w:ind w:firstLine="480" w:firstLineChars="200"/>
        <w:rPr>
          <w:rFonts w:ascii="宋体" w:hAnsi="宋体" w:cs="宋体"/>
          <w:sz w:val="24"/>
          <w:szCs w:val="24"/>
          <w:u w:val="single"/>
        </w:rPr>
      </w:pPr>
      <w:r>
        <w:rPr>
          <w:rFonts w:hint="eastAsia" w:ascii="宋体" w:hAnsi="宋体" w:cs="宋体"/>
          <w:sz w:val="24"/>
          <w:szCs w:val="24"/>
        </w:rPr>
        <w:t>被授权人：（签字或印章）：</w:t>
      </w:r>
      <w:r>
        <w:rPr>
          <w:rFonts w:hint="eastAsia" w:ascii="宋体" w:hAnsi="宋体" w:cs="宋体"/>
          <w:sz w:val="24"/>
          <w:szCs w:val="24"/>
          <w:u w:val="single"/>
        </w:rPr>
        <w:t xml:space="preserve">                     </w:t>
      </w:r>
    </w:p>
    <w:p>
      <w:pPr>
        <w:spacing w:line="480" w:lineRule="auto"/>
        <w:ind w:firstLine="480" w:firstLineChars="200"/>
        <w:rPr>
          <w:rFonts w:ascii="宋体" w:hAnsi="宋体" w:cs="宋体"/>
          <w:sz w:val="24"/>
          <w:szCs w:val="24"/>
          <w:u w:val="single"/>
        </w:rPr>
      </w:pPr>
      <w:r>
        <w:rPr>
          <w:rFonts w:hint="eastAsia" w:ascii="宋体" w:hAnsi="宋体" w:cs="宋体"/>
          <w:sz w:val="24"/>
          <w:szCs w:val="24"/>
        </w:rPr>
        <w:t>被授权人信息：性别：</w:t>
      </w:r>
      <w:r>
        <w:rPr>
          <w:rFonts w:hint="eastAsia" w:ascii="宋体" w:hAnsi="宋体" w:cs="宋体"/>
          <w:sz w:val="24"/>
          <w:szCs w:val="24"/>
          <w:u w:val="single"/>
        </w:rPr>
        <w:t xml:space="preserve">        </w:t>
      </w:r>
    </w:p>
    <w:p>
      <w:pPr>
        <w:spacing w:line="480" w:lineRule="auto"/>
        <w:ind w:firstLine="2160" w:firstLineChars="900"/>
        <w:rPr>
          <w:rFonts w:ascii="宋体" w:hAnsi="宋体" w:cs="宋体"/>
          <w:sz w:val="24"/>
          <w:szCs w:val="24"/>
          <w:u w:val="single"/>
        </w:rPr>
      </w:pPr>
      <w:r>
        <w:rPr>
          <w:rFonts w:hint="eastAsia" w:ascii="宋体" w:hAnsi="宋体" w:cs="宋体"/>
          <w:sz w:val="24"/>
          <w:szCs w:val="24"/>
        </w:rPr>
        <w:t>年龄：</w:t>
      </w:r>
      <w:r>
        <w:rPr>
          <w:rFonts w:hint="eastAsia" w:ascii="宋体" w:hAnsi="宋体" w:cs="宋体"/>
          <w:sz w:val="24"/>
          <w:szCs w:val="24"/>
          <w:u w:val="single"/>
        </w:rPr>
        <w:t xml:space="preserve">        </w:t>
      </w:r>
    </w:p>
    <w:p>
      <w:pPr>
        <w:spacing w:line="480" w:lineRule="auto"/>
        <w:ind w:firstLine="2160" w:firstLineChars="900"/>
        <w:rPr>
          <w:rFonts w:ascii="宋体" w:hAnsi="宋体" w:cs="宋体"/>
          <w:sz w:val="24"/>
          <w:szCs w:val="24"/>
          <w:u w:val="single"/>
        </w:rPr>
      </w:pP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cs="宋体"/>
          <w:sz w:val="24"/>
          <w:szCs w:val="24"/>
        </w:rPr>
        <w:t xml:space="preserve">         </w:t>
      </w:r>
    </w:p>
    <w:p>
      <w:pPr>
        <w:spacing w:line="300" w:lineRule="auto"/>
        <w:ind w:firstLine="570"/>
        <w:rPr>
          <w:rFonts w:ascii="宋体" w:hAnsi="宋体" w:cs="宋体"/>
          <w:sz w:val="24"/>
          <w:szCs w:val="24"/>
        </w:rPr>
      </w:pPr>
    </w:p>
    <w:p>
      <w:pPr>
        <w:spacing w:line="300" w:lineRule="auto"/>
        <w:ind w:firstLine="3360" w:firstLineChars="1400"/>
        <w:rPr>
          <w:rFonts w:ascii="宋体" w:hAnsi="宋体" w:cs="宋体"/>
          <w:sz w:val="24"/>
          <w:szCs w:val="24"/>
        </w:rPr>
      </w:pPr>
    </w:p>
    <w:p>
      <w:pPr>
        <w:spacing w:line="300" w:lineRule="auto"/>
        <w:ind w:firstLine="2280" w:firstLineChars="950"/>
        <w:rPr>
          <w:rFonts w:ascii="宋体" w:hAnsi="宋体" w:cs="宋体"/>
          <w:sz w:val="24"/>
          <w:szCs w:val="24"/>
        </w:rPr>
      </w:pPr>
      <w:r>
        <w:rPr>
          <w:rFonts w:hint="eastAsia" w:ascii="宋体" w:hAnsi="宋体" w:cs="宋体"/>
          <w:sz w:val="24"/>
          <w:szCs w:val="24"/>
        </w:rPr>
        <w:t>授权日期：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pStyle w:val="9"/>
        <w:jc w:val="center"/>
        <w:rPr>
          <w:rFonts w:hAnsi="宋体" w:cs="宋体"/>
          <w:b/>
          <w:bCs/>
          <w:sz w:val="32"/>
          <w:szCs w:val="32"/>
        </w:rPr>
      </w:pPr>
    </w:p>
    <w:p>
      <w:pPr>
        <w:pStyle w:val="9"/>
        <w:ind w:right="-489" w:rightChars="-233"/>
        <w:rPr>
          <w:rFonts w:hAnsi="宋体" w:cs="宋体"/>
          <w:sz w:val="24"/>
          <w:szCs w:val="24"/>
        </w:rPr>
      </w:pPr>
    </w:p>
    <w:p>
      <w:pPr>
        <w:rPr>
          <w:rFonts w:ascii="宋体" w:hAnsi="宋体" w:cs="宋体"/>
          <w:b/>
          <w:sz w:val="24"/>
        </w:rPr>
      </w:pPr>
      <w:r>
        <w:rPr>
          <w:rFonts w:hint="eastAsia" w:ascii="宋体" w:hAnsi="宋体" w:cs="宋体"/>
          <w:b/>
          <w:sz w:val="24"/>
        </w:rPr>
        <w:t>附件3：</w:t>
      </w:r>
      <w:bookmarkStart w:id="76" w:name="_Toc139965362"/>
    </w:p>
    <w:bookmarkEnd w:id="76"/>
    <w:p>
      <w:pPr>
        <w:jc w:val="center"/>
        <w:rPr>
          <w:rFonts w:ascii="宋体" w:hAnsi="宋体" w:cs="宋体"/>
          <w:b/>
          <w:sz w:val="24"/>
        </w:rPr>
      </w:pPr>
      <w:r>
        <w:rPr>
          <w:rFonts w:hint="eastAsia" w:ascii="宋体" w:hAnsi="宋体" w:cs="宋体"/>
          <w:b/>
          <w:sz w:val="32"/>
          <w:szCs w:val="32"/>
        </w:rPr>
        <w:t>货物数量明细表</w:t>
      </w:r>
    </w:p>
    <w:tbl>
      <w:tblPr>
        <w:tblStyle w:val="17"/>
        <w:tblW w:w="0" w:type="auto"/>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rPr>
            </w:pPr>
            <w:r>
              <w:rPr>
                <w:rFonts w:hint="eastAsia" w:ascii="宋体" w:hAnsi="宋体"/>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rPr>
            </w:pPr>
            <w:r>
              <w:rPr>
                <w:rFonts w:hint="eastAsia" w:ascii="宋体" w:hAnsi="宋体"/>
              </w:rPr>
              <w:t>基本</w:t>
            </w:r>
          </w:p>
          <w:p>
            <w:pPr>
              <w:jc w:val="center"/>
              <w:rPr>
                <w:rFonts w:ascii="宋体" w:cs="Arial Unicode MS"/>
                <w:sz w:val="24"/>
              </w:rPr>
            </w:pPr>
            <w:r>
              <w:rPr>
                <w:rFonts w:hint="eastAsia" w:ascii="宋体" w:hAnsi="宋体"/>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rPr>
            </w:pPr>
            <w:r>
              <w:rPr>
                <w:rFonts w:hint="eastAsia" w:ascii="宋体" w:hAnsi="宋体"/>
              </w:rPr>
              <w:t>数</w:t>
            </w:r>
          </w:p>
          <w:p>
            <w:pPr>
              <w:jc w:val="center"/>
              <w:rPr>
                <w:rFonts w:ascii="宋体" w:cs="Arial Unicode MS"/>
                <w:sz w:val="24"/>
              </w:rPr>
            </w:pPr>
            <w:r>
              <w:rPr>
                <w:rFonts w:hint="eastAsia" w:ascii="宋体" w:hAnsi="宋体"/>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rPr>
            </w:pPr>
            <w:r>
              <w:rPr>
                <w:rFonts w:hint="eastAsia" w:ascii="宋体" w:hAnsi="宋体"/>
              </w:rPr>
              <w:t>数量</w:t>
            </w:r>
          </w:p>
          <w:p>
            <w:pPr>
              <w:jc w:val="center"/>
              <w:rPr>
                <w:rFonts w:ascii="宋体" w:cs="Arial Unicode MS"/>
                <w:sz w:val="24"/>
              </w:rPr>
            </w:pPr>
            <w:r>
              <w:rPr>
                <w:rFonts w:hint="eastAsia" w:ascii="宋体" w:hAnsi="宋体"/>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cs="Arial Unicode MS"/>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cs="Arial Unicode MS"/>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r>
              <w:rPr>
                <w:rFonts w:hint="eastAsia" w:ascii="宋体" w:hAnsi="宋体"/>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ascii="宋体" w:cs="Arial Unicode MS"/>
                <w:sz w:val="24"/>
              </w:rPr>
            </w:pPr>
          </w:p>
        </w:tc>
        <w:tc>
          <w:tcPr>
            <w:tcW w:w="2946" w:type="dxa"/>
            <w:tcMar>
              <w:top w:w="15" w:type="dxa"/>
              <w:left w:w="15" w:type="dxa"/>
              <w:bottom w:w="0" w:type="dxa"/>
              <w:right w:w="15" w:type="dxa"/>
            </w:tcMar>
            <w:vAlign w:val="center"/>
          </w:tcPr>
          <w:p>
            <w:pPr>
              <w:jc w:val="center"/>
              <w:rPr>
                <w:rFonts w:ascii="宋体" w:cs="Arial Unicode MS"/>
                <w:sz w:val="24"/>
              </w:rPr>
            </w:pPr>
          </w:p>
        </w:tc>
        <w:tc>
          <w:tcPr>
            <w:tcW w:w="1098" w:type="dxa"/>
            <w:tcMar>
              <w:top w:w="15" w:type="dxa"/>
              <w:left w:w="15" w:type="dxa"/>
              <w:bottom w:w="0" w:type="dxa"/>
              <w:right w:w="15" w:type="dxa"/>
            </w:tcMar>
            <w:vAlign w:val="center"/>
          </w:tcPr>
          <w:p>
            <w:pPr>
              <w:jc w:val="center"/>
              <w:rPr>
                <w:rFonts w:ascii="宋体" w:cs="Arial Unicode MS"/>
                <w:sz w:val="24"/>
              </w:rPr>
            </w:pPr>
          </w:p>
        </w:tc>
        <w:tc>
          <w:tcPr>
            <w:tcW w:w="915" w:type="dxa"/>
            <w:tcMar>
              <w:top w:w="15" w:type="dxa"/>
              <w:left w:w="15" w:type="dxa"/>
              <w:bottom w:w="0" w:type="dxa"/>
              <w:right w:w="15" w:type="dxa"/>
            </w:tcMar>
            <w:vAlign w:val="center"/>
          </w:tcPr>
          <w:p>
            <w:pPr>
              <w:jc w:val="center"/>
              <w:rPr>
                <w:rFonts w:ascii="宋体" w:cs="Arial Unicode MS"/>
                <w:sz w:val="24"/>
              </w:rPr>
            </w:pPr>
          </w:p>
        </w:tc>
        <w:tc>
          <w:tcPr>
            <w:tcW w:w="931" w:type="dxa"/>
            <w:tcMar>
              <w:top w:w="15" w:type="dxa"/>
              <w:left w:w="15" w:type="dxa"/>
              <w:bottom w:w="0" w:type="dxa"/>
              <w:right w:w="15" w:type="dxa"/>
            </w:tcMar>
            <w:vAlign w:val="center"/>
          </w:tcPr>
          <w:p>
            <w:pPr>
              <w:jc w:val="center"/>
              <w:rPr>
                <w:rFonts w:ascii="宋体" w:cs="Arial Unicode MS"/>
                <w:sz w:val="24"/>
              </w:rPr>
            </w:pPr>
          </w:p>
        </w:tc>
        <w:tc>
          <w:tcPr>
            <w:tcW w:w="1450" w:type="dxa"/>
            <w:gridSpan w:val="4"/>
            <w:tcMar>
              <w:top w:w="15" w:type="dxa"/>
              <w:left w:w="15" w:type="dxa"/>
              <w:bottom w:w="0" w:type="dxa"/>
              <w:right w:w="15" w:type="dxa"/>
            </w:tcMar>
            <w:vAlign w:val="center"/>
          </w:tcPr>
          <w:p>
            <w:pPr>
              <w:jc w:val="center"/>
              <w:rPr>
                <w:rFonts w:ascii="宋体" w:cs="Arial Unicode MS"/>
                <w:sz w:val="24"/>
              </w:rPr>
            </w:pPr>
          </w:p>
        </w:tc>
        <w:tc>
          <w:tcPr>
            <w:tcW w:w="1529" w:type="dxa"/>
            <w:tcMar>
              <w:top w:w="15" w:type="dxa"/>
              <w:left w:w="15" w:type="dxa"/>
              <w:bottom w:w="0" w:type="dxa"/>
              <w:right w:w="15" w:type="dxa"/>
            </w:tcMar>
            <w:vAlign w:val="center"/>
          </w:tcPr>
          <w:p>
            <w:pPr>
              <w:jc w:val="center"/>
              <w:rPr>
                <w:rFonts w:ascii="宋体" w:cs="Arial Unicode MS"/>
                <w:sz w:val="24"/>
              </w:rPr>
            </w:pPr>
          </w:p>
        </w:tc>
      </w:tr>
    </w:tbl>
    <w:p>
      <w:pPr>
        <w:jc w:val="both"/>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pPr>
        <w:spacing w:line="300" w:lineRule="auto"/>
        <w:rPr>
          <w:rFonts w:ascii="宋体" w:hAnsi="宋体" w:cs="宋体"/>
          <w:sz w:val="24"/>
          <w:szCs w:val="24"/>
        </w:rPr>
      </w:pPr>
    </w:p>
    <w:p>
      <w:pPr>
        <w:spacing w:line="300" w:lineRule="auto"/>
        <w:rPr>
          <w:rFonts w:ascii="宋体" w:hAnsi="宋体" w:cs="宋体"/>
          <w:sz w:val="24"/>
          <w:szCs w:val="24"/>
        </w:rPr>
      </w:pPr>
    </w:p>
    <w:p>
      <w:pPr>
        <w:spacing w:line="300" w:lineRule="auto"/>
        <w:rPr>
          <w:rFonts w:ascii="宋体" w:hAnsi="宋体" w:cs="宋体"/>
          <w:sz w:val="24"/>
          <w:szCs w:val="24"/>
        </w:rPr>
      </w:pPr>
    </w:p>
    <w:p>
      <w:pPr>
        <w:spacing w:line="300" w:lineRule="auto"/>
        <w:rPr>
          <w:rFonts w:ascii="宋体" w:hAnsi="宋体" w:cs="宋体"/>
          <w:sz w:val="24"/>
          <w:szCs w:val="24"/>
        </w:rPr>
      </w:pPr>
    </w:p>
    <w:p>
      <w:pPr>
        <w:spacing w:line="300" w:lineRule="auto"/>
        <w:rPr>
          <w:rFonts w:ascii="宋体" w:hAnsi="宋体" w:cs="宋体"/>
          <w:sz w:val="24"/>
          <w:szCs w:val="24"/>
        </w:rPr>
      </w:pPr>
    </w:p>
    <w:p>
      <w:pPr>
        <w:spacing w:line="300" w:lineRule="auto"/>
        <w:rPr>
          <w:rFonts w:ascii="宋体" w:hAnsi="宋体" w:cs="宋体"/>
          <w:sz w:val="24"/>
          <w:szCs w:val="24"/>
        </w:rPr>
      </w:pPr>
    </w:p>
    <w:p>
      <w:pPr>
        <w:spacing w:line="480" w:lineRule="auto"/>
        <w:rPr>
          <w:rFonts w:ascii="方正小标宋简体" w:eastAsia="方正小标宋简体"/>
          <w:sz w:val="32"/>
          <w:szCs w:val="32"/>
        </w:rPr>
      </w:pPr>
    </w:p>
    <w:p>
      <w:pPr>
        <w:spacing w:line="480" w:lineRule="auto"/>
        <w:rPr>
          <w:rFonts w:ascii="方正小标宋简体" w:eastAsia="方正小标宋简体"/>
          <w:sz w:val="32"/>
          <w:szCs w:val="32"/>
        </w:rPr>
      </w:pPr>
    </w:p>
    <w:p>
      <w:pPr>
        <w:spacing w:line="480" w:lineRule="auto"/>
        <w:rPr>
          <w:rFonts w:ascii="方正小标宋简体" w:eastAsia="方正小标宋简体"/>
          <w:sz w:val="32"/>
          <w:szCs w:val="32"/>
        </w:rPr>
      </w:pPr>
    </w:p>
    <w:p>
      <w:pPr>
        <w:spacing w:line="480" w:lineRule="auto"/>
        <w:rPr>
          <w:rFonts w:ascii="方正小标宋简体" w:eastAsia="方正小标宋简体"/>
          <w:sz w:val="32"/>
          <w:szCs w:val="32"/>
        </w:rPr>
      </w:pPr>
      <w:bookmarkStart w:id="77" w:name="_GoBack"/>
      <w:bookmarkEnd w:id="77"/>
    </w:p>
    <w:p>
      <w:pPr>
        <w:spacing w:line="480" w:lineRule="auto"/>
        <w:rPr>
          <w:rFonts w:hint="eastAsia" w:ascii="方正小标宋简体" w:eastAsia="方正小标宋简体"/>
          <w:b/>
          <w:bCs/>
          <w:sz w:val="21"/>
          <w:szCs w:val="21"/>
          <w:lang w:eastAsia="zh-CN"/>
        </w:rPr>
      </w:pPr>
      <w:r>
        <w:rPr>
          <w:rFonts w:hint="eastAsia" w:ascii="方正小标宋简体" w:eastAsia="方正小标宋简体"/>
          <w:b/>
          <w:bCs/>
          <w:sz w:val="21"/>
          <w:szCs w:val="21"/>
          <w:lang w:eastAsia="zh-CN"/>
        </w:rPr>
        <w:t>附件</w:t>
      </w:r>
      <w:r>
        <w:rPr>
          <w:rFonts w:hint="eastAsia" w:ascii="方正小标宋简体" w:eastAsia="方正小标宋简体"/>
          <w:b/>
          <w:bCs/>
          <w:sz w:val="21"/>
          <w:szCs w:val="21"/>
          <w:lang w:val="en-US" w:eastAsia="zh-CN"/>
        </w:rPr>
        <w:t>4</w:t>
      </w:r>
      <w:r>
        <w:rPr>
          <w:rFonts w:hint="eastAsia" w:ascii="方正小标宋简体" w:eastAsia="方正小标宋简体"/>
          <w:b/>
          <w:bCs/>
          <w:sz w:val="21"/>
          <w:szCs w:val="21"/>
          <w:lang w:eastAsia="zh-CN"/>
        </w:rPr>
        <w:t>：</w:t>
      </w:r>
    </w:p>
    <w:p>
      <w:pPr>
        <w:spacing w:line="480" w:lineRule="auto"/>
        <w:ind w:firstLine="320" w:firstLineChars="100"/>
        <w:rPr>
          <w:rFonts w:hint="eastAsia" w:ascii="方正小标宋简体" w:eastAsia="方正小标宋简体"/>
          <w:sz w:val="32"/>
          <w:szCs w:val="32"/>
          <w:u w:val="single"/>
          <w:lang w:val="en-US" w:eastAsia="zh-CN"/>
        </w:rPr>
      </w:pPr>
    </w:p>
    <w:p>
      <w:pPr>
        <w:spacing w:line="480" w:lineRule="auto"/>
        <w:ind w:firstLine="320" w:firstLineChars="100"/>
        <w:rPr>
          <w:rFonts w:hint="eastAsia" w:ascii="方正小标宋简体" w:eastAsia="方正小标宋简体"/>
          <w:sz w:val="32"/>
          <w:szCs w:val="32"/>
          <w:lang w:eastAsia="zh-CN"/>
        </w:rPr>
      </w:pPr>
      <w:r>
        <w:rPr>
          <w:rFonts w:hint="eastAsia" w:ascii="方正小标宋简体" w:eastAsia="方正小标宋简体"/>
          <w:sz w:val="32"/>
          <w:szCs w:val="32"/>
          <w:u w:val="single"/>
          <w:lang w:val="en-US" w:eastAsia="zh-CN"/>
        </w:rPr>
        <w:t xml:space="preserve">                     </w:t>
      </w:r>
      <w:r>
        <w:rPr>
          <w:rFonts w:hint="eastAsia" w:ascii="方正小标宋简体" w:eastAsia="方正小标宋简体"/>
          <w:sz w:val="32"/>
          <w:szCs w:val="32"/>
          <w:lang w:eastAsia="zh-CN"/>
        </w:rPr>
        <w:t>项目竞争性磋商报价单（一次）</w:t>
      </w:r>
    </w:p>
    <w:p>
      <w:pPr>
        <w:spacing w:line="480" w:lineRule="auto"/>
        <w:ind w:firstLine="320" w:firstLineChars="100"/>
        <w:rPr>
          <w:rFonts w:hint="eastAsia" w:ascii="方正小标宋简体" w:eastAsia="方正小标宋简体"/>
          <w:sz w:val="32"/>
          <w:szCs w:val="32"/>
          <w:lang w:eastAsia="zh-CN"/>
        </w:rPr>
      </w:pPr>
    </w:p>
    <w:p>
      <w:pPr>
        <w:spacing w:line="480" w:lineRule="auto"/>
        <w:rPr>
          <w:rFonts w:hint="eastAsia" w:ascii="方正小标宋简体" w:eastAsia="方正小标宋简体"/>
          <w:b/>
          <w:bCs/>
          <w:sz w:val="32"/>
          <w:szCs w:val="32"/>
          <w:lang w:val="en-US" w:eastAsia="zh-CN"/>
        </w:rPr>
      </w:pPr>
      <w:r>
        <w:rPr>
          <w:rFonts w:hint="eastAsia" w:ascii="方正小标宋简体" w:eastAsia="方正小标宋简体"/>
          <w:b/>
          <w:bCs/>
          <w:sz w:val="21"/>
          <w:szCs w:val="21"/>
          <w:lang w:eastAsia="zh-CN"/>
        </w:rPr>
        <w:t>单位名称：</w:t>
      </w:r>
      <w:r>
        <w:rPr>
          <w:rFonts w:hint="eastAsia" w:ascii="方正小标宋简体" w:eastAsia="方正小标宋简体"/>
          <w:b/>
          <w:bCs/>
          <w:sz w:val="21"/>
          <w:szCs w:val="21"/>
          <w:lang w:val="en-US" w:eastAsia="zh-CN"/>
        </w:rPr>
        <w:t xml:space="preserve">                                                         单位（元）</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4290"/>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Pr>
          <w:p>
            <w:pPr>
              <w:spacing w:line="480" w:lineRule="auto"/>
              <w:jc w:val="center"/>
              <w:rPr>
                <w:rFonts w:hint="default" w:ascii="方正小标宋简体" w:eastAsia="方正小标宋简体"/>
                <w:b/>
                <w:bCs/>
                <w:sz w:val="21"/>
                <w:szCs w:val="21"/>
                <w:vertAlign w:val="baseline"/>
                <w:lang w:val="en-US" w:eastAsia="zh-CN"/>
              </w:rPr>
            </w:pPr>
            <w:r>
              <w:rPr>
                <w:rFonts w:hint="eastAsia" w:ascii="方正小标宋简体" w:eastAsia="方正小标宋简体"/>
                <w:b/>
                <w:bCs/>
                <w:sz w:val="21"/>
                <w:szCs w:val="21"/>
                <w:vertAlign w:val="baseline"/>
                <w:lang w:val="en-US" w:eastAsia="zh-CN"/>
              </w:rPr>
              <w:t>序号</w:t>
            </w:r>
          </w:p>
        </w:tc>
        <w:tc>
          <w:tcPr>
            <w:tcW w:w="4290" w:type="dxa"/>
          </w:tcPr>
          <w:p>
            <w:pPr>
              <w:spacing w:line="480" w:lineRule="auto"/>
              <w:jc w:val="center"/>
              <w:rPr>
                <w:rFonts w:hint="default" w:ascii="方正小标宋简体" w:eastAsia="方正小标宋简体"/>
                <w:b/>
                <w:bCs/>
                <w:sz w:val="21"/>
                <w:szCs w:val="21"/>
                <w:vertAlign w:val="baseline"/>
                <w:lang w:val="en-US" w:eastAsia="zh-CN"/>
              </w:rPr>
            </w:pPr>
            <w:r>
              <w:rPr>
                <w:rFonts w:hint="eastAsia" w:ascii="方正小标宋简体" w:eastAsia="方正小标宋简体"/>
                <w:b/>
                <w:bCs/>
                <w:sz w:val="21"/>
                <w:szCs w:val="21"/>
                <w:vertAlign w:val="baseline"/>
                <w:lang w:val="en-US" w:eastAsia="zh-CN"/>
              </w:rPr>
              <w:t>项目名称</w:t>
            </w:r>
          </w:p>
        </w:tc>
        <w:tc>
          <w:tcPr>
            <w:tcW w:w="2843" w:type="dxa"/>
          </w:tcPr>
          <w:p>
            <w:pPr>
              <w:spacing w:line="480" w:lineRule="auto"/>
              <w:jc w:val="center"/>
              <w:rPr>
                <w:rFonts w:hint="default" w:ascii="方正小标宋简体" w:eastAsia="方正小标宋简体"/>
                <w:b/>
                <w:bCs/>
                <w:sz w:val="21"/>
                <w:szCs w:val="21"/>
                <w:vertAlign w:val="baseline"/>
                <w:lang w:val="en-US" w:eastAsia="zh-CN"/>
              </w:rPr>
            </w:pPr>
            <w:r>
              <w:rPr>
                <w:rFonts w:hint="eastAsia" w:ascii="方正小标宋简体" w:eastAsia="方正小标宋简体"/>
                <w:b/>
                <w:bCs/>
                <w:sz w:val="21"/>
                <w:szCs w:val="21"/>
                <w:vertAlign w:val="baseline"/>
                <w:lang w:val="en-US"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395" w:type="dxa"/>
          </w:tcPr>
          <w:p>
            <w:pPr>
              <w:spacing w:line="480" w:lineRule="auto"/>
              <w:jc w:val="center"/>
              <w:rPr>
                <w:rFonts w:hint="default" w:ascii="方正小标宋简体" w:eastAsia="方正小标宋简体"/>
                <w:b/>
                <w:bCs/>
                <w:sz w:val="21"/>
                <w:szCs w:val="21"/>
                <w:vertAlign w:val="baseline"/>
                <w:lang w:val="en-US" w:eastAsia="zh-CN"/>
              </w:rPr>
            </w:pPr>
          </w:p>
        </w:tc>
        <w:tc>
          <w:tcPr>
            <w:tcW w:w="4290" w:type="dxa"/>
          </w:tcPr>
          <w:p>
            <w:pPr>
              <w:spacing w:line="480" w:lineRule="auto"/>
              <w:jc w:val="center"/>
              <w:rPr>
                <w:rFonts w:hint="default" w:ascii="方正小标宋简体" w:eastAsia="方正小标宋简体"/>
                <w:b/>
                <w:bCs/>
                <w:sz w:val="21"/>
                <w:szCs w:val="21"/>
                <w:vertAlign w:val="baseline"/>
                <w:lang w:val="en-US" w:eastAsia="zh-CN"/>
              </w:rPr>
            </w:pPr>
          </w:p>
        </w:tc>
        <w:tc>
          <w:tcPr>
            <w:tcW w:w="2843" w:type="dxa"/>
          </w:tcPr>
          <w:p>
            <w:pPr>
              <w:spacing w:line="480" w:lineRule="auto"/>
              <w:jc w:val="center"/>
              <w:rPr>
                <w:rFonts w:hint="default" w:ascii="方正小标宋简体" w:eastAsia="方正小标宋简体"/>
                <w:b/>
                <w:bCs/>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3"/>
          </w:tcPr>
          <w:p>
            <w:pPr>
              <w:spacing w:line="480" w:lineRule="auto"/>
              <w:jc w:val="left"/>
              <w:rPr>
                <w:rFonts w:hint="default" w:ascii="方正小标宋简体" w:eastAsia="方正小标宋简体"/>
                <w:b/>
                <w:bCs/>
                <w:sz w:val="21"/>
                <w:szCs w:val="21"/>
                <w:vertAlign w:val="baseline"/>
                <w:lang w:val="en-US" w:eastAsia="zh-CN"/>
              </w:rPr>
            </w:pPr>
            <w:r>
              <w:rPr>
                <w:rFonts w:hint="eastAsia" w:ascii="方正小标宋简体" w:eastAsia="方正小标宋简体"/>
                <w:b/>
                <w:bCs/>
                <w:sz w:val="21"/>
                <w:szCs w:val="21"/>
                <w:vertAlign w:val="baseline"/>
                <w:lang w:val="en-US" w:eastAsia="zh-CN"/>
              </w:rPr>
              <w:t>合计报价（大写）：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395" w:type="dxa"/>
          </w:tcPr>
          <w:p>
            <w:pPr>
              <w:spacing w:line="480" w:lineRule="auto"/>
              <w:jc w:val="center"/>
              <w:rPr>
                <w:rFonts w:hint="default" w:ascii="方正小标宋简体" w:eastAsia="方正小标宋简体"/>
                <w:b/>
                <w:bCs/>
                <w:sz w:val="21"/>
                <w:szCs w:val="21"/>
                <w:vertAlign w:val="baseline"/>
                <w:lang w:val="en-US" w:eastAsia="zh-CN"/>
              </w:rPr>
            </w:pPr>
            <w:r>
              <w:rPr>
                <w:rFonts w:hint="eastAsia" w:ascii="方正小标宋简体" w:eastAsia="方正小标宋简体"/>
                <w:b/>
                <w:bCs/>
                <w:sz w:val="21"/>
                <w:szCs w:val="21"/>
                <w:vertAlign w:val="baseline"/>
                <w:lang w:val="en-US" w:eastAsia="zh-CN"/>
              </w:rPr>
              <w:t>报价说明</w:t>
            </w:r>
          </w:p>
        </w:tc>
        <w:tc>
          <w:tcPr>
            <w:tcW w:w="7133" w:type="dxa"/>
            <w:gridSpan w:val="2"/>
          </w:tcPr>
          <w:p>
            <w:pPr>
              <w:spacing w:line="480" w:lineRule="auto"/>
              <w:jc w:val="center"/>
              <w:rPr>
                <w:rFonts w:hint="default" w:ascii="方正小标宋简体" w:eastAsia="方正小标宋简体"/>
                <w:b/>
                <w:bCs/>
                <w:sz w:val="21"/>
                <w:szCs w:val="21"/>
                <w:vertAlign w:val="baseline"/>
                <w:lang w:val="en-US" w:eastAsia="zh-CN"/>
              </w:rPr>
            </w:pPr>
          </w:p>
        </w:tc>
      </w:tr>
    </w:tbl>
    <w:p>
      <w:pPr>
        <w:spacing w:line="480" w:lineRule="auto"/>
        <w:ind w:firstLine="210" w:firstLineChars="100"/>
        <w:rPr>
          <w:rFonts w:hint="eastAsia" w:ascii="方正小标宋简体" w:eastAsia="方正小标宋简体"/>
          <w:b/>
          <w:bCs/>
          <w:sz w:val="21"/>
          <w:szCs w:val="21"/>
          <w:lang w:val="en-US" w:eastAsia="zh-CN"/>
        </w:rPr>
      </w:pPr>
    </w:p>
    <w:p>
      <w:pPr>
        <w:spacing w:line="480" w:lineRule="auto"/>
        <w:ind w:firstLine="210" w:firstLineChars="100"/>
        <w:rPr>
          <w:rFonts w:hint="eastAsia" w:ascii="方正小标宋简体" w:eastAsia="方正小标宋简体"/>
          <w:b/>
          <w:bCs/>
          <w:sz w:val="21"/>
          <w:szCs w:val="21"/>
          <w:lang w:val="en-US" w:eastAsia="zh-CN"/>
        </w:rPr>
      </w:pPr>
      <w:r>
        <w:rPr>
          <w:rFonts w:hint="eastAsia" w:ascii="方正小标宋简体" w:eastAsia="方正小标宋简体"/>
          <w:b/>
          <w:bCs/>
          <w:sz w:val="21"/>
          <w:szCs w:val="21"/>
          <w:lang w:val="en-US" w:eastAsia="zh-CN"/>
        </w:rPr>
        <w:t>法定代表人（签字或盖章）：</w:t>
      </w:r>
    </w:p>
    <w:p>
      <w:pPr>
        <w:spacing w:line="480" w:lineRule="auto"/>
        <w:ind w:firstLine="210" w:firstLineChars="100"/>
        <w:rPr>
          <w:rFonts w:hint="eastAsia" w:ascii="方正小标宋简体" w:eastAsia="方正小标宋简体"/>
          <w:b/>
          <w:bCs/>
          <w:sz w:val="21"/>
          <w:szCs w:val="21"/>
          <w:lang w:val="en-US" w:eastAsia="zh-CN"/>
        </w:rPr>
      </w:pPr>
    </w:p>
    <w:p>
      <w:pPr>
        <w:spacing w:line="480" w:lineRule="auto"/>
        <w:ind w:firstLine="210" w:firstLineChars="100"/>
        <w:rPr>
          <w:rFonts w:hint="eastAsia" w:ascii="方正小标宋简体" w:eastAsia="方正小标宋简体"/>
          <w:b/>
          <w:bCs/>
          <w:sz w:val="21"/>
          <w:szCs w:val="21"/>
          <w:lang w:val="en-US" w:eastAsia="zh-CN"/>
        </w:rPr>
      </w:pPr>
      <w:r>
        <w:rPr>
          <w:rFonts w:hint="eastAsia" w:ascii="方正小标宋简体" w:eastAsia="方正小标宋简体"/>
          <w:b/>
          <w:bCs/>
          <w:sz w:val="21"/>
          <w:szCs w:val="21"/>
          <w:lang w:val="en-US" w:eastAsia="zh-CN"/>
        </w:rPr>
        <w:t>委托代理人(签字或盖章）：</w:t>
      </w:r>
    </w:p>
    <w:p>
      <w:pPr>
        <w:spacing w:line="480" w:lineRule="auto"/>
        <w:ind w:firstLine="210" w:firstLineChars="100"/>
        <w:rPr>
          <w:rFonts w:hint="eastAsia" w:ascii="方正小标宋简体" w:eastAsia="方正小标宋简体"/>
          <w:b/>
          <w:bCs/>
          <w:sz w:val="21"/>
          <w:szCs w:val="21"/>
          <w:lang w:val="en-US" w:eastAsia="zh-CN"/>
        </w:rPr>
      </w:pPr>
    </w:p>
    <w:p>
      <w:pPr>
        <w:jc w:val="both"/>
        <w:rPr>
          <w:sz w:val="24"/>
          <w:szCs w:val="24"/>
        </w:rPr>
      </w:pPr>
      <w:r>
        <w:rPr>
          <w:rFonts w:hint="eastAsia"/>
          <w:sz w:val="24"/>
          <w:szCs w:val="24"/>
        </w:rPr>
        <w:t>本表为样表，供应商可根据具体项目自行编制。</w:t>
      </w:r>
    </w:p>
    <w:p>
      <w:pPr>
        <w:spacing w:line="480" w:lineRule="auto"/>
        <w:ind w:firstLine="210" w:firstLineChars="100"/>
        <w:rPr>
          <w:rFonts w:hint="default" w:ascii="方正小标宋简体" w:eastAsia="方正小标宋简体"/>
          <w:b/>
          <w:bCs/>
          <w:sz w:val="21"/>
          <w:szCs w:val="21"/>
          <w:lang w:val="en-US" w:eastAsia="zh-CN"/>
        </w:rPr>
        <w:sectPr>
          <w:pgSz w:w="11906" w:h="16838"/>
          <w:pgMar w:top="1247" w:right="1797" w:bottom="1440" w:left="1797" w:header="851" w:footer="992" w:gutter="0"/>
          <w:cols w:space="720" w:num="1"/>
          <w:docGrid w:type="lines" w:linePitch="319" w:charSpace="0"/>
        </w:sectPr>
      </w:pPr>
    </w:p>
    <w:p>
      <w:pPr>
        <w:jc w:val="center"/>
        <w:rPr>
          <w:sz w:val="48"/>
          <w:szCs w:val="48"/>
        </w:rPr>
      </w:pPr>
      <w:r>
        <w:rPr>
          <w:rFonts w:hint="eastAsia"/>
          <w:sz w:val="48"/>
          <w:szCs w:val="48"/>
        </w:rPr>
        <w:t>兰州职业技术学院实训大楼地下车库车辆管理及治安视频监控系统</w:t>
      </w:r>
      <w:r>
        <w:rPr>
          <w:rFonts w:hint="eastAsia"/>
          <w:sz w:val="48"/>
          <w:szCs w:val="48"/>
          <w:lang w:val="en-US" w:eastAsia="zh-CN"/>
        </w:rPr>
        <w:t xml:space="preserve">      </w:t>
      </w:r>
      <w:r>
        <w:rPr>
          <w:rFonts w:hint="eastAsia"/>
          <w:sz w:val="48"/>
          <w:szCs w:val="48"/>
        </w:rPr>
        <w:t>项目设备明细表</w:t>
      </w:r>
    </w:p>
    <w:tbl>
      <w:tblPr>
        <w:tblStyle w:val="18"/>
        <w:tblW w:w="15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994"/>
        <w:gridCol w:w="6705"/>
        <w:gridCol w:w="1475"/>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080" w:type="dxa"/>
          </w:tcPr>
          <w:p>
            <w:pPr>
              <w:jc w:val="center"/>
              <w:rPr>
                <w:sz w:val="28"/>
                <w:szCs w:val="28"/>
              </w:rPr>
            </w:pPr>
            <w:r>
              <w:rPr>
                <w:rFonts w:hint="eastAsia"/>
                <w:sz w:val="28"/>
                <w:szCs w:val="28"/>
              </w:rPr>
              <w:t>序号</w:t>
            </w:r>
          </w:p>
        </w:tc>
        <w:tc>
          <w:tcPr>
            <w:tcW w:w="3994" w:type="dxa"/>
          </w:tcPr>
          <w:p>
            <w:pPr>
              <w:jc w:val="center"/>
              <w:rPr>
                <w:sz w:val="28"/>
                <w:szCs w:val="28"/>
              </w:rPr>
            </w:pPr>
            <w:r>
              <w:rPr>
                <w:rFonts w:hint="eastAsia" w:ascii="宋体" w:hAnsi="宋体" w:eastAsia="宋体" w:cs="宋体"/>
                <w:color w:val="000000"/>
                <w:sz w:val="18"/>
                <w:szCs w:val="18"/>
              </w:rPr>
              <w:t>设备名称</w:t>
            </w:r>
          </w:p>
        </w:tc>
        <w:tc>
          <w:tcPr>
            <w:tcW w:w="6705" w:type="dxa"/>
          </w:tcPr>
          <w:p>
            <w:pPr>
              <w:jc w:val="center"/>
              <w:rPr>
                <w:rFonts w:ascii="宋体" w:hAnsi="宋体" w:eastAsia="宋体" w:cs="宋体"/>
                <w:color w:val="000000"/>
                <w:sz w:val="18"/>
                <w:szCs w:val="18"/>
              </w:rPr>
            </w:pPr>
            <w:r>
              <w:rPr>
                <w:rFonts w:hint="eastAsia" w:ascii="宋体" w:hAnsi="宋体" w:eastAsia="宋体" w:cs="宋体"/>
                <w:color w:val="000000"/>
                <w:sz w:val="18"/>
                <w:szCs w:val="18"/>
              </w:rPr>
              <w:t>内容及要求</w:t>
            </w:r>
          </w:p>
        </w:tc>
        <w:tc>
          <w:tcPr>
            <w:tcW w:w="1475" w:type="dxa"/>
          </w:tcPr>
          <w:p>
            <w:pPr>
              <w:jc w:val="center"/>
              <w:rPr>
                <w:rFonts w:ascii="宋体" w:hAnsi="宋体" w:eastAsia="宋体" w:cs="宋体"/>
                <w:color w:val="000000"/>
                <w:sz w:val="18"/>
                <w:szCs w:val="18"/>
              </w:rPr>
            </w:pPr>
            <w:r>
              <w:rPr>
                <w:rFonts w:hint="eastAsia" w:ascii="宋体" w:hAnsi="宋体" w:eastAsia="宋体" w:cs="宋体"/>
                <w:color w:val="000000"/>
                <w:sz w:val="18"/>
                <w:szCs w:val="18"/>
              </w:rPr>
              <w:t>数量</w:t>
            </w:r>
          </w:p>
        </w:tc>
        <w:tc>
          <w:tcPr>
            <w:tcW w:w="1962" w:type="dxa"/>
          </w:tcPr>
          <w:p>
            <w:pPr>
              <w:jc w:val="center"/>
              <w:rPr>
                <w:rFonts w:ascii="宋体" w:hAnsi="宋体" w:eastAsia="宋体" w:cs="宋体"/>
                <w:color w:val="000000"/>
                <w:sz w:val="18"/>
                <w:szCs w:val="18"/>
              </w:rPr>
            </w:pPr>
            <w:r>
              <w:rPr>
                <w:rFonts w:hint="eastAsia" w:ascii="宋体" w:hAnsi="宋体" w:eastAsia="宋体" w:cs="宋体"/>
                <w:color w:val="000000"/>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1</w:t>
            </w:r>
          </w:p>
        </w:tc>
        <w:tc>
          <w:tcPr>
            <w:tcW w:w="3994" w:type="dxa"/>
            <w:vAlign w:val="center"/>
          </w:tcPr>
          <w:p>
            <w:pPr>
              <w:jc w:val="center"/>
              <w:rPr>
                <w:rFonts w:ascii="宋体" w:hAnsi="宋体" w:cs="宋体"/>
                <w:kern w:val="0"/>
                <w:sz w:val="18"/>
                <w:szCs w:val="18"/>
              </w:rPr>
            </w:pPr>
            <w:r>
              <w:rPr>
                <w:rFonts w:hint="eastAsia" w:ascii="宋体" w:hAnsi="宋体" w:cs="宋体"/>
                <w:bCs/>
                <w:kern w:val="0"/>
                <w:sz w:val="18"/>
                <w:szCs w:val="18"/>
              </w:rPr>
              <w:t>专用车位锁</w:t>
            </w:r>
          </w:p>
        </w:tc>
        <w:tc>
          <w:tcPr>
            <w:tcW w:w="6705" w:type="dxa"/>
            <w:vAlign w:val="center"/>
          </w:tcPr>
          <w:p>
            <w:pPr>
              <w:autoSpaceDE w:val="0"/>
              <w:autoSpaceDN w:val="0"/>
              <w:adjustRightInd w:val="0"/>
              <w:rPr>
                <w:rFonts w:ascii="宋体" w:hAnsi="宋体" w:cs="宋体"/>
                <w:bCs/>
                <w:kern w:val="0"/>
                <w:sz w:val="18"/>
                <w:szCs w:val="18"/>
              </w:rPr>
            </w:pPr>
            <w:r>
              <w:rPr>
                <w:rFonts w:hint="eastAsia" w:ascii="宋体" w:hAnsi="宋体" w:cs="宋体"/>
                <w:bCs/>
                <w:kern w:val="0"/>
                <w:sz w:val="18"/>
                <w:szCs w:val="18"/>
              </w:rPr>
              <w:t>1.车主固定车位挡车器/车位智能锁，可通过遥控器、蓝牙感应、网关等多种方式实现控制联动，低功耗电路设计，4节1号电池正常情况下可使用长达1年时间；.支持遇阻报警，全封闭式防水设计，室内外均可使用；整体抗压性能可达2000千克；电池断电，可通过手动方式控制车位锁。</w:t>
            </w:r>
          </w:p>
        </w:tc>
        <w:tc>
          <w:tcPr>
            <w:tcW w:w="1475" w:type="dxa"/>
            <w:vAlign w:val="center"/>
          </w:tcPr>
          <w:p>
            <w:pPr>
              <w:jc w:val="center"/>
              <w:rPr>
                <w:rFonts w:ascii="??" w:hAnsi="??"/>
                <w:color w:val="000000"/>
                <w:sz w:val="18"/>
                <w:szCs w:val="18"/>
              </w:rPr>
            </w:pPr>
            <w:r>
              <w:rPr>
                <w:rFonts w:hint="eastAsia" w:ascii="??" w:hAnsi="??"/>
                <w:color w:val="000000"/>
                <w:sz w:val="18"/>
                <w:szCs w:val="18"/>
              </w:rPr>
              <w:t>9</w:t>
            </w:r>
          </w:p>
        </w:tc>
        <w:tc>
          <w:tcPr>
            <w:tcW w:w="1962" w:type="dxa"/>
            <w:vAlign w:val="center"/>
          </w:tcPr>
          <w:p>
            <w:pPr>
              <w:jc w:val="center"/>
              <w:rPr>
                <w:rFonts w:ascii="??" w:hAnsi="??"/>
                <w:color w:val="000000"/>
                <w:sz w:val="18"/>
                <w:szCs w:val="18"/>
              </w:rPr>
            </w:pPr>
            <w:r>
              <w:rPr>
                <w:rFonts w:hint="eastAsia" w:ascii="??" w:hAnsi="??"/>
                <w:color w:val="00000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2</w:t>
            </w:r>
          </w:p>
        </w:tc>
        <w:tc>
          <w:tcPr>
            <w:tcW w:w="3994" w:type="dxa"/>
            <w:vAlign w:val="center"/>
          </w:tcPr>
          <w:p>
            <w:pPr>
              <w:jc w:val="center"/>
              <w:rPr>
                <w:rFonts w:ascii="仿宋" w:hAnsi="仿宋" w:eastAsia="仿宋"/>
                <w:sz w:val="28"/>
                <w:szCs w:val="28"/>
              </w:rPr>
            </w:pPr>
            <w:r>
              <w:rPr>
                <w:rFonts w:hint="eastAsia" w:ascii="宋体" w:hAnsi="宋体" w:cs="宋体"/>
                <w:kern w:val="0"/>
                <w:sz w:val="18"/>
                <w:szCs w:val="18"/>
              </w:rPr>
              <w:t>高强度汽车斜坡垫</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汽车专用交通门槛垫，高强度优质型，规格1000*300*15MM；</w:t>
            </w:r>
          </w:p>
        </w:tc>
        <w:tc>
          <w:tcPr>
            <w:tcW w:w="1475" w:type="dxa"/>
            <w:vAlign w:val="center"/>
          </w:tcPr>
          <w:p>
            <w:pPr>
              <w:jc w:val="center"/>
              <w:rPr>
                <w:rFonts w:ascii="仿宋" w:hAnsi="仿宋" w:eastAsia="仿宋"/>
                <w:sz w:val="28"/>
                <w:szCs w:val="28"/>
              </w:rPr>
            </w:pPr>
            <w:r>
              <w:rPr>
                <w:rFonts w:hint="eastAsia" w:ascii="??" w:hAnsi="??"/>
                <w:color w:val="000000"/>
                <w:sz w:val="18"/>
                <w:szCs w:val="18"/>
              </w:rPr>
              <w:t>60</w:t>
            </w:r>
          </w:p>
        </w:tc>
        <w:tc>
          <w:tcPr>
            <w:tcW w:w="1962" w:type="dxa"/>
            <w:vAlign w:val="center"/>
          </w:tcPr>
          <w:p>
            <w:pPr>
              <w:jc w:val="center"/>
              <w:rPr>
                <w:rFonts w:ascii="仿宋" w:hAnsi="仿宋" w:eastAsia="仿宋"/>
                <w:sz w:val="28"/>
                <w:szCs w:val="28"/>
              </w:rPr>
            </w:pPr>
            <w:r>
              <w:rPr>
                <w:rFonts w:hint="eastAsia" w:ascii="??" w:hAnsi="??"/>
                <w:color w:val="000000"/>
                <w:sz w:val="18"/>
                <w:szCs w:val="18"/>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3</w:t>
            </w:r>
          </w:p>
        </w:tc>
        <w:tc>
          <w:tcPr>
            <w:tcW w:w="3994" w:type="dxa"/>
            <w:vAlign w:val="center"/>
          </w:tcPr>
          <w:p>
            <w:pPr>
              <w:jc w:val="center"/>
              <w:rPr>
                <w:rFonts w:ascii="仿宋" w:hAnsi="仿宋" w:eastAsia="仿宋"/>
                <w:sz w:val="28"/>
                <w:szCs w:val="28"/>
              </w:rPr>
            </w:pPr>
            <w:r>
              <w:rPr>
                <w:rFonts w:hint="eastAsia" w:ascii="宋体" w:hAnsi="宋体" w:cs="宋体"/>
                <w:kern w:val="0"/>
                <w:sz w:val="18"/>
                <w:szCs w:val="18"/>
              </w:rPr>
              <w:t>高强度橡胶减速带</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波浪形超高强度橡塑减速带，适用于水泥地面，含配套膨胀螺丝，规格1000*350*50MM；</w:t>
            </w:r>
          </w:p>
        </w:tc>
        <w:tc>
          <w:tcPr>
            <w:tcW w:w="1475" w:type="dxa"/>
            <w:vAlign w:val="center"/>
          </w:tcPr>
          <w:p>
            <w:pPr>
              <w:jc w:val="center"/>
              <w:rPr>
                <w:rFonts w:ascii="仿宋" w:hAnsi="仿宋" w:eastAsia="仿宋"/>
                <w:sz w:val="28"/>
                <w:szCs w:val="28"/>
              </w:rPr>
            </w:pPr>
            <w:r>
              <w:rPr>
                <w:rFonts w:hint="eastAsia" w:ascii="??" w:hAnsi="??"/>
                <w:color w:val="000000"/>
                <w:sz w:val="18"/>
                <w:szCs w:val="18"/>
              </w:rPr>
              <w:t>80</w:t>
            </w:r>
          </w:p>
        </w:tc>
        <w:tc>
          <w:tcPr>
            <w:tcW w:w="1962" w:type="dxa"/>
            <w:vAlign w:val="center"/>
          </w:tcPr>
          <w:p>
            <w:pPr>
              <w:jc w:val="center"/>
              <w:rPr>
                <w:rFonts w:ascii="仿宋" w:hAnsi="仿宋" w:eastAsia="仿宋"/>
                <w:sz w:val="28"/>
                <w:szCs w:val="28"/>
              </w:rPr>
            </w:pPr>
            <w:r>
              <w:rPr>
                <w:rFonts w:hint="eastAsia" w:ascii="??" w:hAnsi="??"/>
                <w:color w:val="000000"/>
                <w:sz w:val="18"/>
                <w:szCs w:val="18"/>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4</w:t>
            </w:r>
          </w:p>
        </w:tc>
        <w:tc>
          <w:tcPr>
            <w:tcW w:w="3994" w:type="dxa"/>
            <w:vAlign w:val="center"/>
          </w:tcPr>
          <w:p>
            <w:pPr>
              <w:jc w:val="center"/>
              <w:rPr>
                <w:rFonts w:ascii="仿宋" w:hAnsi="仿宋" w:eastAsia="仿宋"/>
                <w:sz w:val="28"/>
                <w:szCs w:val="28"/>
              </w:rPr>
            </w:pPr>
            <w:r>
              <w:rPr>
                <w:rFonts w:hint="eastAsia" w:ascii="宋体" w:hAnsi="宋体" w:cs="宋体"/>
                <w:kern w:val="0"/>
                <w:sz w:val="18"/>
                <w:szCs w:val="18"/>
              </w:rPr>
              <w:t>车库配套其它设施</w:t>
            </w:r>
          </w:p>
        </w:tc>
        <w:tc>
          <w:tcPr>
            <w:tcW w:w="6705" w:type="dxa"/>
            <w:vAlign w:val="center"/>
          </w:tcPr>
          <w:p>
            <w:pPr>
              <w:wordWrap w:val="0"/>
              <w:rPr>
                <w:rFonts w:ascii="??" w:hAnsi="??" w:eastAsia="宋体"/>
                <w:color w:val="000000"/>
                <w:sz w:val="18"/>
                <w:szCs w:val="18"/>
              </w:rPr>
            </w:pPr>
            <w:r>
              <w:rPr>
                <w:rFonts w:hint="eastAsia" w:ascii="宋体" w:hAnsi="宋体" w:cs="宋体"/>
                <w:kern w:val="0"/>
                <w:sz w:val="18"/>
                <w:szCs w:val="18"/>
              </w:rPr>
              <w:t>包含三套交通专用引导牌，主通道标识牌，弯道反光镜，防水沙袋50袋，100个道路交通圆锥桶等配套设施；</w:t>
            </w:r>
          </w:p>
        </w:tc>
        <w:tc>
          <w:tcPr>
            <w:tcW w:w="1475" w:type="dxa"/>
            <w:vAlign w:val="center"/>
          </w:tcPr>
          <w:p>
            <w:pPr>
              <w:jc w:val="center"/>
              <w:rPr>
                <w:rFonts w:ascii="仿宋" w:hAnsi="仿宋" w:eastAsia="仿宋"/>
                <w:sz w:val="28"/>
                <w:szCs w:val="2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 w:hAnsi="??"/>
                <w:color w:val="00000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5</w:t>
            </w:r>
          </w:p>
        </w:tc>
        <w:tc>
          <w:tcPr>
            <w:tcW w:w="3994" w:type="dxa"/>
            <w:vAlign w:val="center"/>
          </w:tcPr>
          <w:p>
            <w:pPr>
              <w:jc w:val="center"/>
              <w:rPr>
                <w:rFonts w:ascii="仿宋" w:hAnsi="仿宋" w:eastAsia="仿宋"/>
                <w:sz w:val="28"/>
                <w:szCs w:val="28"/>
              </w:rPr>
            </w:pPr>
            <w:r>
              <w:rPr>
                <w:rFonts w:hint="eastAsia" w:ascii="宋体" w:hAnsi="宋体" w:cs="宋体"/>
                <w:kern w:val="0"/>
                <w:sz w:val="18"/>
                <w:szCs w:val="18"/>
              </w:rPr>
              <w:t>配套辅材及施工</w:t>
            </w:r>
          </w:p>
        </w:tc>
        <w:tc>
          <w:tcPr>
            <w:tcW w:w="6705" w:type="dxa"/>
            <w:vAlign w:val="center"/>
          </w:tcPr>
          <w:p>
            <w:pPr>
              <w:widowControl/>
              <w:jc w:val="left"/>
              <w:rPr>
                <w:rFonts w:ascii="仿宋" w:hAnsi="仿宋" w:eastAsia="宋体" w:cs="宋体"/>
                <w:kern w:val="0"/>
                <w:sz w:val="18"/>
                <w:szCs w:val="18"/>
              </w:rPr>
            </w:pPr>
            <w:r>
              <w:rPr>
                <w:rFonts w:hint="eastAsia" w:ascii="宋体" w:hAnsi="宋体" w:cs="宋体"/>
                <w:kern w:val="0"/>
                <w:sz w:val="18"/>
                <w:szCs w:val="18"/>
              </w:rPr>
              <w:t>车位锁安装施工调试，车库配套其它设备安装（减速带、斜坡垫、引导牌）等，含其它施工配套材料等，项目标准化施工；</w:t>
            </w:r>
          </w:p>
        </w:tc>
        <w:tc>
          <w:tcPr>
            <w:tcW w:w="1475" w:type="dxa"/>
            <w:vAlign w:val="center"/>
          </w:tcPr>
          <w:p>
            <w:pPr>
              <w:jc w:val="center"/>
              <w:rPr>
                <w:rFonts w:ascii="仿宋" w:hAnsi="仿宋" w:eastAsia="仿宋"/>
                <w:sz w:val="28"/>
                <w:szCs w:val="2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 w:hAnsi="??"/>
                <w:color w:val="000000"/>
                <w:sz w:val="18"/>
                <w:szCs w:val="18"/>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6</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智能一体化道闸</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1、一体化道闸，包含变频道闸、抓拍机、补光灯、LED屏、喇叭、1个车检器、1个防砸雷达、2个遥控器等；200万像素彩色逐行扫描CMOS高清智能抓拍摄像机；机箱采用2mm冷轧钢板精密数控加工，表面抗紫外线静电喷塑，不起皮，不褪色；外壳防护等级IP54；</w:t>
            </w:r>
          </w:p>
          <w:p>
            <w:pPr>
              <w:widowControl/>
              <w:jc w:val="left"/>
              <w:rPr>
                <w:rFonts w:ascii="宋体" w:hAnsi="宋体" w:cs="宋体"/>
                <w:kern w:val="0"/>
                <w:sz w:val="18"/>
                <w:szCs w:val="18"/>
              </w:rPr>
            </w:pPr>
            <w:r>
              <w:rPr>
                <w:rFonts w:hint="eastAsia" w:ascii="宋体" w:hAnsi="宋体" w:cs="宋体"/>
                <w:kern w:val="0"/>
                <w:sz w:val="18"/>
                <w:szCs w:val="18"/>
              </w:rPr>
              <w:t>2、车队模式：当连续过车的时候，档杆可以不落下来；起落速度调节：起落杆速度0.9-6S可调；支持快速起竿、慢速落杆功能；支持脱杆功能；</w:t>
            </w:r>
            <w:r>
              <w:rPr>
                <w:rFonts w:hint="eastAsia" w:ascii="宋体" w:hAnsi="宋体" w:cs="宋体"/>
                <w:kern w:val="0"/>
                <w:sz w:val="18"/>
                <w:szCs w:val="18"/>
              </w:rPr>
              <w:br w:type="textWrapping"/>
            </w:r>
            <w:r>
              <w:rPr>
                <w:rFonts w:hint="eastAsia" w:ascii="宋体" w:hAnsi="宋体" w:cs="宋体"/>
                <w:kern w:val="0"/>
                <w:sz w:val="18"/>
                <w:szCs w:val="18"/>
              </w:rPr>
              <w:t xml:space="preserve">3、支持左右向学习功能，杆子从右边换到左边，可通过调整弹簧方向重启重新学习限位；显示模组64*32，支持双行四字或4行4字显示；车辆捕获率≥99.9%；车牌识别率：白天≥99.5%，夜间≥99%；可识别出略微倾斜的机动车车牌号码； </w:t>
            </w:r>
          </w:p>
          <w:p>
            <w:pPr>
              <w:widowControl/>
              <w:jc w:val="left"/>
              <w:rPr>
                <w:rFonts w:ascii="宋体" w:hAnsi="宋体" w:cs="宋体"/>
                <w:kern w:val="0"/>
                <w:sz w:val="18"/>
                <w:szCs w:val="18"/>
              </w:rPr>
            </w:pPr>
            <w:r>
              <w:rPr>
                <w:rFonts w:hint="eastAsia" w:ascii="宋体" w:hAnsi="宋体" w:cs="宋体"/>
                <w:kern w:val="0"/>
                <w:sz w:val="18"/>
                <w:szCs w:val="18"/>
              </w:rPr>
              <w:t>4、具有防砸功能，且配有相关接口，可联接地感、红外、压力电波等设备；遇阻反弹功能：当闸杆下落时，遇到物体阻挡，将立即开闸(即遇到阻力自动返回)；过流保护功能：当系统工作电流超过15A，电机停止运行(可保护电机)；</w:t>
            </w:r>
            <w:r>
              <w:rPr>
                <w:rFonts w:hint="eastAsia" w:ascii="宋体" w:hAnsi="宋体" w:cs="宋体"/>
                <w:kern w:val="0"/>
                <w:sz w:val="18"/>
                <w:szCs w:val="18"/>
              </w:rPr>
              <w:br w:type="textWrapping"/>
            </w:r>
            <w:r>
              <w:rPr>
                <w:rFonts w:hint="eastAsia" w:ascii="宋体" w:hAnsi="宋体" w:cs="宋体"/>
                <w:kern w:val="0"/>
                <w:sz w:val="18"/>
                <w:szCs w:val="18"/>
              </w:rPr>
              <w:t>5、语音播报功能：过车可播报欢迎光临、车牌号码、收费金额等信息；</w:t>
            </w:r>
            <w:r>
              <w:rPr>
                <w:rFonts w:hint="eastAsia" w:ascii="宋体" w:hAnsi="宋体" w:cs="宋体"/>
                <w:kern w:val="0"/>
                <w:sz w:val="18"/>
                <w:szCs w:val="18"/>
              </w:rPr>
              <w:br w:type="textWrapping"/>
            </w:r>
            <w:r>
              <w:rPr>
                <w:rFonts w:hint="eastAsia" w:ascii="宋体" w:hAnsi="宋体" w:cs="宋体"/>
                <w:kern w:val="0"/>
                <w:sz w:val="18"/>
                <w:szCs w:val="18"/>
              </w:rPr>
              <w:t xml:space="preserve">6、SD卡存储功能：当网络断开时，可将抓拍图片相机内置SD卡内，支持自动识别自动格式化，并支持图片检索，自动覆盖，当网络恢复时，可继续上传图片； </w:t>
            </w:r>
          </w:p>
        </w:tc>
        <w:tc>
          <w:tcPr>
            <w:tcW w:w="1475" w:type="dxa"/>
            <w:vAlign w:val="center"/>
          </w:tcPr>
          <w:p>
            <w:pPr>
              <w:jc w:val="center"/>
              <w:rPr>
                <w:rFonts w:ascii="??" w:hAnsi="??"/>
                <w:color w:val="000000"/>
                <w:sz w:val="18"/>
                <w:szCs w:val="18"/>
              </w:rPr>
            </w:pPr>
            <w:r>
              <w:rPr>
                <w:rFonts w:hint="eastAsia" w:ascii="??" w:hAnsi="??"/>
                <w:color w:val="000000"/>
                <w:sz w:val="18"/>
                <w:szCs w:val="18"/>
              </w:rPr>
              <w:t>2</w:t>
            </w:r>
          </w:p>
        </w:tc>
        <w:tc>
          <w:tcPr>
            <w:tcW w:w="1962" w:type="dxa"/>
            <w:vAlign w:val="center"/>
          </w:tcPr>
          <w:p>
            <w:pPr>
              <w:jc w:val="center"/>
              <w:rPr>
                <w:rFonts w:ascii="仿宋" w:hAnsi="仿宋" w:eastAsia="仿宋"/>
                <w:szCs w:val="21"/>
              </w:rPr>
            </w:pPr>
            <w:r>
              <w:rPr>
                <w:rFonts w:hint="eastAsia" w:ascii="仿宋" w:hAnsi="仿宋" w:eastAsia="仿宋"/>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7</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触发雷达探测器</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1、触发雷达，采用现代微波技术，发射功率≤10mW，触发区域：6M；含雷达立杆；</w:t>
            </w:r>
          </w:p>
        </w:tc>
        <w:tc>
          <w:tcPr>
            <w:tcW w:w="1475" w:type="dxa"/>
            <w:vAlign w:val="center"/>
          </w:tcPr>
          <w:p>
            <w:pPr>
              <w:jc w:val="center"/>
              <w:rPr>
                <w:rFonts w:ascii="??" w:hAnsi="??"/>
                <w:color w:val="000000"/>
                <w:sz w:val="18"/>
                <w:szCs w:val="18"/>
              </w:rPr>
            </w:pPr>
            <w:r>
              <w:rPr>
                <w:rFonts w:hint="eastAsia" w:ascii="??" w:hAnsi="??"/>
                <w:color w:val="000000"/>
                <w:sz w:val="18"/>
                <w:szCs w:val="18"/>
              </w:rPr>
              <w:t>2</w:t>
            </w:r>
          </w:p>
        </w:tc>
        <w:tc>
          <w:tcPr>
            <w:tcW w:w="1962" w:type="dxa"/>
            <w:vAlign w:val="center"/>
          </w:tcPr>
          <w:p>
            <w:pPr>
              <w:jc w:val="center"/>
              <w:rPr>
                <w:rFonts w:ascii="仿宋" w:hAnsi="仿宋" w:eastAsia="仿宋"/>
                <w:sz w:val="28"/>
                <w:szCs w:val="28"/>
              </w:rPr>
            </w:pPr>
            <w:r>
              <w:rPr>
                <w:rFonts w:hint="eastAsia" w:ascii="仿宋" w:hAnsi="仿宋" w:eastAsia="仿宋"/>
                <w:sz w:val="28"/>
                <w:szCs w:val="2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8</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车辆管理平台软件</w:t>
            </w:r>
          </w:p>
        </w:tc>
        <w:tc>
          <w:tcPr>
            <w:tcW w:w="6705" w:type="dxa"/>
            <w:vAlign w:val="center"/>
          </w:tcPr>
          <w:p>
            <w:pPr>
              <w:widowControl/>
              <w:jc w:val="left"/>
              <w:rPr>
                <w:rFonts w:hint="eastAsia" w:ascii="宋体" w:hAnsi="宋体" w:cs="宋体"/>
                <w:kern w:val="0"/>
                <w:sz w:val="18"/>
                <w:szCs w:val="18"/>
              </w:rPr>
            </w:pPr>
            <w:r>
              <w:rPr>
                <w:rFonts w:hint="eastAsia" w:ascii="宋体" w:hAnsi="宋体" w:cs="宋体"/>
                <w:kern w:val="0"/>
                <w:sz w:val="18"/>
                <w:szCs w:val="18"/>
              </w:rPr>
              <w:t>1.硬件设备与引导系统的主机共用，增加无人值守收费系统软件模块；</w:t>
            </w:r>
          </w:p>
          <w:p>
            <w:pPr>
              <w:widowControl/>
              <w:jc w:val="left"/>
              <w:rPr>
                <w:rFonts w:ascii="宋体" w:hAnsi="宋体" w:cs="宋体"/>
                <w:kern w:val="0"/>
                <w:sz w:val="18"/>
                <w:szCs w:val="18"/>
              </w:rPr>
            </w:pPr>
            <w:r>
              <w:rPr>
                <w:rFonts w:hint="eastAsia" w:ascii="宋体" w:hAnsi="宋体" w:cs="宋体"/>
                <w:kern w:val="0"/>
                <w:sz w:val="18"/>
                <w:szCs w:val="18"/>
              </w:rPr>
              <w:t>2.要求支持纯车牌，车主卡辅，纯卡片，卡主车辅四种识别模式；支持新能源车牌识别；要求与原有校园安全管理平台无缝对接，并要求制造商出具无缝接入承诺证明；</w:t>
            </w:r>
          </w:p>
        </w:tc>
        <w:tc>
          <w:tcPr>
            <w:tcW w:w="1475" w:type="dxa"/>
            <w:vAlign w:val="center"/>
          </w:tcPr>
          <w:p>
            <w:pPr>
              <w:jc w:val="center"/>
              <w:rPr>
                <w:rFonts w:ascii="??" w:hAnsi="??"/>
                <w:color w:val="000000"/>
                <w:sz w:val="18"/>
                <w:szCs w:val="1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仿宋" w:hAnsi="仿宋" w:eastAsia="仿宋"/>
                <w:sz w:val="28"/>
                <w:szCs w:val="2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9</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出入口控制终端</w:t>
            </w:r>
          </w:p>
        </w:tc>
        <w:tc>
          <w:tcPr>
            <w:tcW w:w="6705" w:type="dxa"/>
            <w:vAlign w:val="center"/>
          </w:tcPr>
          <w:p>
            <w:pPr>
              <w:widowControl/>
              <w:jc w:val="left"/>
              <w:rPr>
                <w:rFonts w:hint="eastAsia" w:ascii="宋体" w:hAnsi="宋体" w:cs="宋体"/>
                <w:kern w:val="0"/>
                <w:sz w:val="18"/>
                <w:szCs w:val="18"/>
              </w:rPr>
            </w:pPr>
            <w:r>
              <w:rPr>
                <w:rFonts w:hint="eastAsia" w:ascii="宋体" w:hAnsi="宋体" w:cs="宋体"/>
                <w:kern w:val="0"/>
                <w:sz w:val="18"/>
                <w:szCs w:val="18"/>
              </w:rPr>
              <w:t xml:space="preserve">1.控制终端一体机，无风扇低功耗高效能嵌入式整机设计，配套21.5寸一体化显示； </w:t>
            </w:r>
          </w:p>
          <w:p>
            <w:pPr>
              <w:widowControl/>
              <w:jc w:val="left"/>
              <w:rPr>
                <w:rFonts w:ascii="宋体" w:hAnsi="宋体" w:cs="宋体"/>
                <w:kern w:val="0"/>
                <w:sz w:val="18"/>
                <w:szCs w:val="18"/>
              </w:rPr>
            </w:pPr>
            <w:r>
              <w:rPr>
                <w:rFonts w:hint="eastAsia" w:ascii="宋体" w:hAnsi="宋体" w:cs="宋体"/>
                <w:kern w:val="0"/>
                <w:sz w:val="18"/>
                <w:szCs w:val="18"/>
              </w:rPr>
              <w:t>2.网络接入功能：可直接接入网络，同时支持6路10M/100M/1000M网口、1路4G全网无线通信功能；VGA、HDMI输出功能：可通过VGA输出进行显示，可通过HDMI输出进行显示；</w:t>
            </w:r>
          </w:p>
          <w:p>
            <w:pPr>
              <w:widowControl/>
              <w:jc w:val="left"/>
              <w:rPr>
                <w:rFonts w:ascii="宋体" w:hAnsi="宋体" w:cs="宋体"/>
                <w:kern w:val="0"/>
                <w:sz w:val="18"/>
                <w:szCs w:val="18"/>
              </w:rPr>
            </w:pPr>
            <w:r>
              <w:rPr>
                <w:rFonts w:hint="eastAsia" w:ascii="宋体" w:hAnsi="宋体" w:cs="宋体"/>
                <w:kern w:val="0"/>
                <w:sz w:val="18"/>
                <w:szCs w:val="18"/>
              </w:rPr>
              <w:t>3.双IP及级联：可设置两个独立的IP地址；能够支持5个终端同时运行管理独立停车场，无需平台；内嵌停车场功能：支持一个大停车场嵌套四个同级内嵌子停车场；</w:t>
            </w:r>
            <w:r>
              <w:rPr>
                <w:rFonts w:hint="eastAsia" w:ascii="宋体" w:hAnsi="宋体" w:cs="宋体"/>
                <w:kern w:val="0"/>
                <w:sz w:val="18"/>
                <w:szCs w:val="18"/>
              </w:rPr>
              <w:br w:type="textWrapping"/>
            </w:r>
            <w:r>
              <w:rPr>
                <w:rFonts w:hint="eastAsia" w:ascii="宋体" w:hAnsi="宋体" w:cs="宋体"/>
                <w:kern w:val="0"/>
                <w:sz w:val="18"/>
                <w:szCs w:val="18"/>
              </w:rPr>
              <w:t>4、余位发布功能：根据过车自动计算当前停车场的余位数，自动将余位数发送到对应出入口下的LED显示屏上；</w:t>
            </w:r>
            <w:r>
              <w:rPr>
                <w:rFonts w:hint="eastAsia" w:ascii="宋体" w:hAnsi="宋体" w:cs="宋体"/>
                <w:kern w:val="0"/>
                <w:sz w:val="18"/>
                <w:szCs w:val="18"/>
              </w:rPr>
              <w:br w:type="textWrapping"/>
            </w:r>
            <w:r>
              <w:rPr>
                <w:rFonts w:hint="eastAsia" w:ascii="宋体" w:hAnsi="宋体" w:cs="宋体"/>
                <w:kern w:val="0"/>
                <w:sz w:val="18"/>
                <w:szCs w:val="18"/>
              </w:rPr>
              <w:t xml:space="preserve">5、卡片管理功能：支持近距离IC卡、900MHz/2.45GHz远距离RFID卡、蓝牙卡等卡片单独和批量发卡功能，支持卡片续期功能；数据统计功能检验：支持按月、日、年统计收费情况、车流量，支持按交接班统计收费情况；支付宝刷条形码支付：车辆出场后，收费员可使用扫码枪扫车主的支付宝条形码实现移动支付放行； </w:t>
            </w:r>
          </w:p>
        </w:tc>
        <w:tc>
          <w:tcPr>
            <w:tcW w:w="1475" w:type="dxa"/>
            <w:vAlign w:val="center"/>
          </w:tcPr>
          <w:p>
            <w:pPr>
              <w:jc w:val="center"/>
              <w:rPr>
                <w:rFonts w:ascii="??" w:hAnsi="??"/>
                <w:color w:val="000000"/>
                <w:sz w:val="18"/>
                <w:szCs w:val="1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仿宋" w:hAnsi="仿宋" w:eastAsia="仿宋"/>
                <w:sz w:val="28"/>
                <w:szCs w:val="2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10</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配套辅材及施工</w:t>
            </w:r>
          </w:p>
        </w:tc>
        <w:tc>
          <w:tcPr>
            <w:tcW w:w="6705" w:type="dxa"/>
            <w:vAlign w:val="center"/>
          </w:tcPr>
          <w:p>
            <w:pPr>
              <w:widowControl/>
              <w:jc w:val="left"/>
              <w:rPr>
                <w:rFonts w:ascii="??" w:hAnsi="??"/>
                <w:color w:val="000000"/>
                <w:sz w:val="18"/>
                <w:szCs w:val="18"/>
              </w:rPr>
            </w:pPr>
            <w:r>
              <w:rPr>
                <w:rFonts w:hint="eastAsia" w:ascii="宋体" w:hAnsi="宋体" w:cs="宋体"/>
                <w:kern w:val="0"/>
                <w:sz w:val="18"/>
                <w:szCs w:val="18"/>
              </w:rPr>
              <w:t>标准化弱电施工，含各类施工辅材及项目税金；</w:t>
            </w:r>
          </w:p>
        </w:tc>
        <w:tc>
          <w:tcPr>
            <w:tcW w:w="1475" w:type="dxa"/>
            <w:vAlign w:val="center"/>
          </w:tcPr>
          <w:p>
            <w:pPr>
              <w:jc w:val="center"/>
              <w:rPr>
                <w:rFonts w:ascii="??" w:hAnsi="??"/>
                <w:color w:val="000000"/>
                <w:sz w:val="18"/>
                <w:szCs w:val="1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仿宋" w:hAnsi="仿宋" w:eastAsia="仿宋"/>
                <w:sz w:val="28"/>
                <w:szCs w:val="28"/>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11</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网络高清星光筒机</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1、400万网络高清筒机（星光级），有效红外距离50米，最高分辨率可达4M(2560×1440)，120dB超宽动态；含红外夜视功能，含原装支架及电源适配器；</w:t>
            </w:r>
            <w:r>
              <w:rPr>
                <w:rFonts w:hint="eastAsia" w:ascii="宋体" w:hAnsi="宋体" w:cs="宋体"/>
                <w:kern w:val="0"/>
                <w:sz w:val="18"/>
                <w:szCs w:val="18"/>
              </w:rPr>
              <w:br w:type="textWrapping"/>
            </w:r>
            <w:r>
              <w:rPr>
                <w:rFonts w:hint="eastAsia" w:ascii="宋体" w:hAnsi="宋体" w:cs="宋体"/>
                <w:kern w:val="0"/>
                <w:sz w:val="18"/>
                <w:szCs w:val="18"/>
              </w:rPr>
              <w:t>2、具有20路取流路数能力，以满足更多用户同时在线访问摄像机视频；支持区域遮盖功能，并能支持8块区域；同一静止场景相同图像质量下，设备在H.265编码方式时，开启智能编码功能和不开启智能编码相比，码率节约1/2；</w:t>
            </w:r>
            <w:r>
              <w:rPr>
                <w:rFonts w:hint="eastAsia" w:ascii="宋体" w:hAnsi="宋体" w:cs="宋体"/>
                <w:kern w:val="0"/>
                <w:sz w:val="18"/>
                <w:szCs w:val="18"/>
              </w:rPr>
              <w:br w:type="textWrapping"/>
            </w:r>
            <w:r>
              <w:rPr>
                <w:rFonts w:hint="eastAsia" w:ascii="宋体" w:hAnsi="宋体" w:cs="宋体"/>
                <w:kern w:val="0"/>
                <w:sz w:val="18"/>
                <w:szCs w:val="18"/>
              </w:rPr>
              <w:t>3、具备人脸检测、区域入侵检测、越界检测、虚焦检测、进入区域、离开区域、徘徊、人员聚集、逆行、场景变更等功能；</w:t>
            </w:r>
          </w:p>
        </w:tc>
        <w:tc>
          <w:tcPr>
            <w:tcW w:w="1475" w:type="dxa"/>
            <w:vAlign w:val="center"/>
          </w:tcPr>
          <w:p>
            <w:pPr>
              <w:jc w:val="center"/>
              <w:rPr>
                <w:rFonts w:ascii="??" w:hAnsi="??"/>
                <w:color w:val="000000"/>
                <w:sz w:val="18"/>
                <w:szCs w:val="18"/>
              </w:rPr>
            </w:pPr>
            <w:r>
              <w:rPr>
                <w:rFonts w:hint="eastAsia" w:ascii="??" w:hAnsi="??"/>
                <w:color w:val="000000"/>
                <w:sz w:val="18"/>
                <w:szCs w:val="18"/>
              </w:rPr>
              <w:t>12</w:t>
            </w:r>
          </w:p>
        </w:tc>
        <w:tc>
          <w:tcPr>
            <w:tcW w:w="1962" w:type="dxa"/>
            <w:vAlign w:val="center"/>
          </w:tcPr>
          <w:p>
            <w:pPr>
              <w:jc w:val="center"/>
              <w:rPr>
                <w:rFonts w:ascii="仿宋" w:hAnsi="仿宋" w:eastAsia="仿宋"/>
                <w:sz w:val="28"/>
                <w:szCs w:val="28"/>
              </w:rPr>
            </w:pPr>
            <w:r>
              <w:rPr>
                <w:rFonts w:hint="eastAsia" w:ascii="仿宋" w:hAnsi="仿宋" w:eastAsia="仿宋"/>
                <w:sz w:val="28"/>
                <w:szCs w:val="2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12</w:t>
            </w:r>
          </w:p>
        </w:tc>
        <w:tc>
          <w:tcPr>
            <w:tcW w:w="3994" w:type="dxa"/>
            <w:vAlign w:val="center"/>
          </w:tcPr>
          <w:p>
            <w:pPr>
              <w:tabs>
                <w:tab w:val="left" w:pos="2400"/>
              </w:tabs>
              <w:ind w:firstLine="1620" w:firstLineChars="900"/>
              <w:jc w:val="center"/>
              <w:rPr>
                <w:rFonts w:ascii="宋体" w:hAnsi="宋体" w:eastAsia="宋体" w:cs="宋体"/>
                <w:color w:val="000000"/>
                <w:sz w:val="18"/>
                <w:szCs w:val="18"/>
              </w:rPr>
            </w:pPr>
            <w:r>
              <w:rPr>
                <w:rFonts w:hint="eastAsia" w:ascii="宋体" w:hAnsi="宋体" w:cs="宋体"/>
                <w:kern w:val="0"/>
                <w:sz w:val="18"/>
                <w:szCs w:val="18"/>
              </w:rPr>
              <w:t>分控中心存储主机</w:t>
            </w:r>
          </w:p>
        </w:tc>
        <w:tc>
          <w:tcPr>
            <w:tcW w:w="6705" w:type="dxa"/>
            <w:vAlign w:val="center"/>
          </w:tcPr>
          <w:p>
            <w:pPr>
              <w:widowControl/>
              <w:jc w:val="left"/>
              <w:rPr>
                <w:rFonts w:hint="eastAsia" w:ascii="宋体" w:hAnsi="宋体" w:cs="宋体"/>
                <w:kern w:val="0"/>
                <w:sz w:val="18"/>
                <w:szCs w:val="18"/>
              </w:rPr>
            </w:pPr>
            <w:r>
              <w:rPr>
                <w:rFonts w:hint="eastAsia" w:ascii="宋体" w:hAnsi="宋体" w:cs="宋体"/>
                <w:kern w:val="0"/>
                <w:sz w:val="18"/>
                <w:szCs w:val="18"/>
              </w:rPr>
              <w:t>1．2U标准机架式IP存储，支持32路高清；支持8个SATA盘位，2个千兆以太网口；</w:t>
            </w:r>
          </w:p>
          <w:p>
            <w:pPr>
              <w:widowControl/>
              <w:jc w:val="left"/>
              <w:rPr>
                <w:rFonts w:ascii="宋体" w:hAnsi="宋体" w:cs="宋体"/>
                <w:kern w:val="0"/>
                <w:sz w:val="18"/>
                <w:szCs w:val="18"/>
              </w:rPr>
            </w:pPr>
            <w:r>
              <w:rPr>
                <w:rFonts w:hint="eastAsia" w:ascii="宋体" w:hAnsi="宋体" w:cs="宋体"/>
                <w:kern w:val="0"/>
                <w:sz w:val="18"/>
                <w:szCs w:val="18"/>
              </w:rPr>
              <w:t>2.支持接入双目、三目、800w、1600w球型鹰眼、2400w环型鹰眼相机，3200w摄像机，并可将视频画面以多画面分割方式显示，可自定义画面布局；</w:t>
            </w:r>
            <w:r>
              <w:rPr>
                <w:rFonts w:hint="eastAsia" w:ascii="宋体" w:hAnsi="宋体" w:cs="宋体"/>
                <w:kern w:val="0"/>
                <w:sz w:val="18"/>
                <w:szCs w:val="18"/>
              </w:rPr>
              <w:br w:type="textWrapping"/>
            </w:r>
            <w:r>
              <w:rPr>
                <w:rFonts w:hint="eastAsia" w:ascii="宋体" w:hAnsi="宋体" w:cs="宋体"/>
                <w:kern w:val="0"/>
                <w:sz w:val="18"/>
                <w:szCs w:val="18"/>
              </w:rPr>
              <w:t>3、支持组合报警模式，可设置将NVR的报警输入口关联IPC的报警事件，只有当两个报警事件同时触发才能产生报警，组合报警模式支持遮挡报警、移动侦测、人脸抓拍、人脸侦测、车辆检测、越界侦测、区域入侵侦测、进入/离开区域侦测、人员聚集侦测、快速移动侦测、物品遗留侦测、物品拿取侦测、停车侦测、徘徊侦测、场景变更侦测、虚焦侦测、音频异常侦测报警事件；</w:t>
            </w:r>
            <w:r>
              <w:rPr>
                <w:rFonts w:hint="eastAsia" w:ascii="宋体" w:hAnsi="宋体" w:cs="宋体"/>
                <w:kern w:val="0"/>
                <w:sz w:val="18"/>
                <w:szCs w:val="18"/>
              </w:rPr>
              <w:br w:type="textWrapping"/>
            </w:r>
            <w:r>
              <w:rPr>
                <w:rFonts w:hint="eastAsia" w:ascii="宋体" w:hAnsi="宋体" w:cs="宋体"/>
                <w:kern w:val="0"/>
                <w:sz w:val="18"/>
                <w:szCs w:val="18"/>
              </w:rPr>
              <w:t>4、支持远程预览加密，只有输入密钥才能解开视频。并支持码流加密；WEB界面远程登录设备，30分钟无操作，设备自动退出登录；可设置远程访问IP地址和MAC地址黑白名单；WEB端可设置开启HTTPS安全链接、SSH；</w:t>
            </w:r>
            <w:r>
              <w:rPr>
                <w:rFonts w:hint="eastAsia" w:ascii="宋体" w:hAnsi="宋体" w:cs="宋体"/>
                <w:kern w:val="0"/>
                <w:sz w:val="18"/>
                <w:szCs w:val="18"/>
              </w:rPr>
              <w:br w:type="textWrapping"/>
            </w:r>
            <w:r>
              <w:rPr>
                <w:rFonts w:hint="eastAsia" w:ascii="宋体" w:hAnsi="宋体" w:cs="宋体"/>
                <w:kern w:val="0"/>
                <w:sz w:val="18"/>
                <w:szCs w:val="18"/>
              </w:rPr>
              <w:t>5、支持报警事件、异常事件实时计数提醒，并以图标形式在监控界面上提醒用户。用户可以点击报警图标，查看报警详情列表，可在列表中快速查看报警关联的录像；当有新事件发生时计数自动累加，当用户查看后计数自动清零；</w:t>
            </w:r>
          </w:p>
        </w:tc>
        <w:tc>
          <w:tcPr>
            <w:tcW w:w="1475" w:type="dxa"/>
            <w:vAlign w:val="center"/>
          </w:tcPr>
          <w:p>
            <w:pPr>
              <w:jc w:val="center"/>
              <w:rPr>
                <w:rFonts w:ascii="??" w:hAnsi="??"/>
                <w:color w:val="000000"/>
                <w:sz w:val="18"/>
                <w:szCs w:val="1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 w:hAnsi="??"/>
                <w:color w:val="000000"/>
                <w:sz w:val="18"/>
                <w:szCs w:val="1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13</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大容量企业级硬盘</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1、3.5英寸企业级（非监控级）存储专用硬盘，容量4000G；</w:t>
            </w:r>
          </w:p>
        </w:tc>
        <w:tc>
          <w:tcPr>
            <w:tcW w:w="1475" w:type="dxa"/>
            <w:vAlign w:val="center"/>
          </w:tcPr>
          <w:p>
            <w:pPr>
              <w:jc w:val="center"/>
              <w:rPr>
                <w:rFonts w:ascii="??" w:hAnsi="??"/>
                <w:color w:val="000000"/>
                <w:sz w:val="18"/>
                <w:szCs w:val="18"/>
              </w:rPr>
            </w:pPr>
            <w:r>
              <w:rPr>
                <w:rFonts w:hint="eastAsia" w:ascii="??" w:hAnsi="??"/>
                <w:color w:val="000000"/>
                <w:sz w:val="18"/>
                <w:szCs w:val="18"/>
              </w:rPr>
              <w:t>4</w:t>
            </w:r>
          </w:p>
        </w:tc>
        <w:tc>
          <w:tcPr>
            <w:tcW w:w="1962" w:type="dxa"/>
            <w:vAlign w:val="center"/>
          </w:tcPr>
          <w:p>
            <w:pPr>
              <w:jc w:val="center"/>
              <w:rPr>
                <w:rFonts w:ascii="仿宋" w:hAnsi="仿宋" w:eastAsia="仿宋"/>
                <w:sz w:val="28"/>
                <w:szCs w:val="28"/>
              </w:rPr>
            </w:pPr>
            <w:r>
              <w:rPr>
                <w:rFonts w:hint="eastAsia" w:ascii="宋体" w:hAnsi="宋体" w:eastAsia="宋体" w:cs="宋体"/>
                <w:color w:val="000000"/>
                <w:sz w:val="18"/>
                <w:szCs w:val="18"/>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14</w:t>
            </w:r>
          </w:p>
        </w:tc>
        <w:tc>
          <w:tcPr>
            <w:tcW w:w="3994" w:type="dxa"/>
            <w:vAlign w:val="center"/>
          </w:tcPr>
          <w:p>
            <w:pPr>
              <w:jc w:val="center"/>
              <w:rPr>
                <w:rFonts w:ascii="宋体" w:hAnsi="宋体" w:eastAsia="宋体" w:cs="宋体"/>
                <w:color w:val="000000"/>
                <w:sz w:val="18"/>
                <w:szCs w:val="18"/>
              </w:rPr>
            </w:pPr>
            <w:r>
              <w:rPr>
                <w:rFonts w:hint="eastAsia" w:ascii="宋体" w:hAnsi="宋体" w:cs="宋体"/>
                <w:kern w:val="0"/>
                <w:sz w:val="18"/>
                <w:szCs w:val="18"/>
              </w:rPr>
              <w:t>分控中心监视器</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监控专用液晶监视器，LED背光，屏幕尺寸42.5inch，高清分辨率1920x1080@60Hz，HDMI、DVI高清输出接口；采用Mstar ACE-5 自动彩色及图像增强引擎，改善图像的对比度，细节，肤色，边缘等；采用3-D 数字梳状滤波器，采用3-D 降噪技术；</w:t>
            </w:r>
          </w:p>
        </w:tc>
        <w:tc>
          <w:tcPr>
            <w:tcW w:w="1475" w:type="dxa"/>
            <w:vAlign w:val="center"/>
          </w:tcPr>
          <w:p>
            <w:pPr>
              <w:jc w:val="center"/>
              <w:rPr>
                <w:rFonts w:ascii="??" w:hAnsi="??"/>
                <w:color w:val="000000"/>
                <w:sz w:val="18"/>
                <w:szCs w:val="1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宋体" w:hAnsi="宋体" w:eastAsia="宋体" w:cs="宋体"/>
                <w:color w:val="000000"/>
                <w:sz w:val="18"/>
                <w:szCs w:val="1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jc w:val="center"/>
              <w:rPr>
                <w:rFonts w:ascii="仿宋" w:hAnsi="仿宋" w:eastAsia="仿宋"/>
                <w:sz w:val="28"/>
                <w:szCs w:val="28"/>
              </w:rPr>
            </w:pPr>
            <w:r>
              <w:rPr>
                <w:rFonts w:hint="eastAsia" w:ascii="仿宋" w:hAnsi="仿宋" w:eastAsia="仿宋"/>
                <w:sz w:val="28"/>
                <w:szCs w:val="28"/>
              </w:rPr>
              <w:t>15</w:t>
            </w:r>
          </w:p>
        </w:tc>
        <w:tc>
          <w:tcPr>
            <w:tcW w:w="3994" w:type="dxa"/>
            <w:vAlign w:val="center"/>
          </w:tcPr>
          <w:p>
            <w:pPr>
              <w:tabs>
                <w:tab w:val="left" w:pos="2685"/>
              </w:tabs>
              <w:ind w:firstLine="720" w:firstLineChars="400"/>
              <w:jc w:val="center"/>
              <w:rPr>
                <w:rFonts w:ascii="宋体" w:hAnsi="宋体" w:eastAsia="宋体" w:cs="宋体"/>
                <w:color w:val="000000"/>
                <w:sz w:val="18"/>
                <w:szCs w:val="18"/>
              </w:rPr>
            </w:pPr>
            <w:r>
              <w:rPr>
                <w:rFonts w:hint="eastAsia" w:ascii="宋体" w:hAnsi="宋体" w:cs="宋体"/>
                <w:kern w:val="0"/>
                <w:sz w:val="18"/>
                <w:szCs w:val="18"/>
              </w:rPr>
              <w:t>配套辅材及施工</w:t>
            </w:r>
          </w:p>
        </w:tc>
        <w:tc>
          <w:tcPr>
            <w:tcW w:w="6705" w:type="dxa"/>
            <w:vAlign w:val="center"/>
          </w:tcPr>
          <w:p>
            <w:pPr>
              <w:widowControl/>
              <w:jc w:val="left"/>
              <w:rPr>
                <w:rFonts w:ascii="宋体" w:hAnsi="宋体" w:cs="宋体"/>
                <w:kern w:val="0"/>
                <w:sz w:val="18"/>
                <w:szCs w:val="18"/>
              </w:rPr>
            </w:pPr>
            <w:r>
              <w:rPr>
                <w:rFonts w:hint="eastAsia" w:ascii="宋体" w:hAnsi="宋体" w:cs="宋体"/>
                <w:kern w:val="0"/>
                <w:sz w:val="18"/>
                <w:szCs w:val="18"/>
              </w:rPr>
              <w:t>含KBG穿线管及固定配件、含电源线、六类网线、控制线等；含与监控中心联网费用，标准化弱电施工；</w:t>
            </w:r>
          </w:p>
        </w:tc>
        <w:tc>
          <w:tcPr>
            <w:tcW w:w="1475" w:type="dxa"/>
            <w:vAlign w:val="center"/>
          </w:tcPr>
          <w:p>
            <w:pPr>
              <w:jc w:val="center"/>
              <w:rPr>
                <w:rFonts w:ascii="??" w:hAnsi="??"/>
                <w:color w:val="000000"/>
                <w:sz w:val="18"/>
                <w:szCs w:val="18"/>
              </w:rPr>
            </w:pPr>
            <w:r>
              <w:rPr>
                <w:rFonts w:hint="eastAsia" w:ascii="??" w:hAnsi="??"/>
                <w:color w:val="000000"/>
                <w:sz w:val="18"/>
                <w:szCs w:val="18"/>
              </w:rPr>
              <w:t>1</w:t>
            </w:r>
          </w:p>
        </w:tc>
        <w:tc>
          <w:tcPr>
            <w:tcW w:w="1962" w:type="dxa"/>
            <w:vAlign w:val="center"/>
          </w:tcPr>
          <w:p>
            <w:pPr>
              <w:jc w:val="center"/>
              <w:rPr>
                <w:rFonts w:ascii="仿宋" w:hAnsi="仿宋" w:eastAsia="仿宋"/>
                <w:sz w:val="28"/>
                <w:szCs w:val="28"/>
              </w:rPr>
            </w:pPr>
            <w:r>
              <w:rPr>
                <w:rFonts w:hint="eastAsia" w:ascii="宋体" w:hAnsi="宋体" w:eastAsia="宋体" w:cs="宋体"/>
                <w:color w:val="000000"/>
                <w:sz w:val="18"/>
                <w:szCs w:val="18"/>
              </w:rPr>
              <w:t>批</w:t>
            </w:r>
          </w:p>
        </w:tc>
      </w:tr>
    </w:tbl>
    <w:p>
      <w:pPr>
        <w:rPr>
          <w:sz w:val="48"/>
          <w:szCs w:val="48"/>
        </w:rPr>
      </w:pPr>
    </w:p>
    <w:sectPr>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auto"/>
    <w:pitch w:val="default"/>
    <w:sig w:usb0="00000000" w:usb1="00000000" w:usb2="00000010" w:usb3="00000000" w:csb0="00040000" w:csb1="00000000"/>
  </w:font>
  <w:font w:name="??">
    <w:altName w:val="Calibri"/>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3</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5</w:t>
    </w:r>
    <w: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1">
    <w:nsid w:val="5858D6EC"/>
    <w:multiLevelType w:val="singleLevel"/>
    <w:tmpl w:val="5858D6EC"/>
    <w:lvl w:ilvl="0" w:tentative="0">
      <w:start w:val="1"/>
      <w:numFmt w:val="decimal"/>
      <w:suff w:val="nothing"/>
      <w:lvlText w:val="（%1）"/>
      <w:lvlJc w:val="left"/>
    </w:lvl>
  </w:abstractNum>
  <w:abstractNum w:abstractNumId="2">
    <w:nsid w:val="58D234BA"/>
    <w:multiLevelType w:val="singleLevel"/>
    <w:tmpl w:val="58D234BA"/>
    <w:lvl w:ilvl="0" w:tentative="0">
      <w:start w:val="1"/>
      <w:numFmt w:val="decimal"/>
      <w:suff w:val="nothing"/>
      <w:lvlText w:val="%1、"/>
      <w:lvlJc w:val="left"/>
    </w:lvl>
  </w:abstractNum>
  <w:abstractNum w:abstractNumId="3">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37098"/>
    <w:rsid w:val="00054321"/>
    <w:rsid w:val="00071D47"/>
    <w:rsid w:val="001A3A21"/>
    <w:rsid w:val="001C444C"/>
    <w:rsid w:val="001C601E"/>
    <w:rsid w:val="001D0E82"/>
    <w:rsid w:val="001E4054"/>
    <w:rsid w:val="0025203D"/>
    <w:rsid w:val="00295396"/>
    <w:rsid w:val="00305469"/>
    <w:rsid w:val="0032502E"/>
    <w:rsid w:val="00337F34"/>
    <w:rsid w:val="003D163E"/>
    <w:rsid w:val="0043298E"/>
    <w:rsid w:val="0048099F"/>
    <w:rsid w:val="004A3FE8"/>
    <w:rsid w:val="00510AA8"/>
    <w:rsid w:val="00523AAF"/>
    <w:rsid w:val="005837F5"/>
    <w:rsid w:val="005F7574"/>
    <w:rsid w:val="006C27CB"/>
    <w:rsid w:val="006D7FBB"/>
    <w:rsid w:val="006E51CD"/>
    <w:rsid w:val="00715A1A"/>
    <w:rsid w:val="00721DA2"/>
    <w:rsid w:val="0072587F"/>
    <w:rsid w:val="007421E3"/>
    <w:rsid w:val="0075427C"/>
    <w:rsid w:val="007614EF"/>
    <w:rsid w:val="00767047"/>
    <w:rsid w:val="007F5FE1"/>
    <w:rsid w:val="008027CF"/>
    <w:rsid w:val="00864D14"/>
    <w:rsid w:val="0086646E"/>
    <w:rsid w:val="008B0F4C"/>
    <w:rsid w:val="008C7974"/>
    <w:rsid w:val="008F1E9F"/>
    <w:rsid w:val="0092330A"/>
    <w:rsid w:val="009633D0"/>
    <w:rsid w:val="009B09A2"/>
    <w:rsid w:val="009E280C"/>
    <w:rsid w:val="00A052A0"/>
    <w:rsid w:val="00A149CC"/>
    <w:rsid w:val="00A54EAF"/>
    <w:rsid w:val="00A72662"/>
    <w:rsid w:val="00B46E98"/>
    <w:rsid w:val="00B9697A"/>
    <w:rsid w:val="00BD2D86"/>
    <w:rsid w:val="00C340B7"/>
    <w:rsid w:val="00CD716A"/>
    <w:rsid w:val="00D010EA"/>
    <w:rsid w:val="00D02AAB"/>
    <w:rsid w:val="00D10798"/>
    <w:rsid w:val="00D22807"/>
    <w:rsid w:val="00D53350"/>
    <w:rsid w:val="00F11D07"/>
    <w:rsid w:val="00F831AA"/>
    <w:rsid w:val="00F94799"/>
    <w:rsid w:val="00FC04AA"/>
    <w:rsid w:val="10276DE3"/>
    <w:rsid w:val="3A425F2A"/>
    <w:rsid w:val="41BF6AC5"/>
    <w:rsid w:val="532E41B3"/>
    <w:rsid w:val="5CF81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Message Header"/>
    <w:basedOn w:val="1"/>
    <w:link w:val="65"/>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15">
    <w:name w:val="HTML Preformatted"/>
    <w:basedOn w:val="1"/>
    <w:link w:val="54"/>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8">
    <w:name w:val="Table Grid"/>
    <w:basedOn w:val="17"/>
    <w:qFormat/>
    <w:uiPriority w:val="5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color w:val="CC0000"/>
    </w:rPr>
  </w:style>
  <w:style w:type="character" w:styleId="23">
    <w:name w:val="Hyperlink"/>
    <w:basedOn w:val="19"/>
    <w:qFormat/>
    <w:uiPriority w:val="0"/>
    <w:rPr>
      <w:color w:val="0000FF"/>
      <w:u w:val="single"/>
    </w:rPr>
  </w:style>
  <w:style w:type="character" w:styleId="24">
    <w:name w:val="HTML Cite"/>
    <w:basedOn w:val="19"/>
    <w:qFormat/>
    <w:uiPriority w:val="0"/>
    <w:rPr>
      <w:color w:val="008000"/>
    </w:rPr>
  </w:style>
  <w:style w:type="character" w:customStyle="1" w:styleId="25">
    <w:name w:val="页眉 Char"/>
    <w:basedOn w:val="19"/>
    <w:link w:val="13"/>
    <w:qFormat/>
    <w:uiPriority w:val="99"/>
    <w:rPr>
      <w:sz w:val="18"/>
      <w:szCs w:val="18"/>
    </w:rPr>
  </w:style>
  <w:style w:type="character" w:customStyle="1" w:styleId="26">
    <w:name w:val="页脚 Char"/>
    <w:basedOn w:val="19"/>
    <w:link w:val="12"/>
    <w:qFormat/>
    <w:uiPriority w:val="99"/>
    <w:rPr>
      <w:sz w:val="18"/>
      <w:szCs w:val="18"/>
    </w:rPr>
  </w:style>
  <w:style w:type="character" w:customStyle="1" w:styleId="27">
    <w:name w:val="标题 1 Char"/>
    <w:basedOn w:val="19"/>
    <w:link w:val="2"/>
    <w:qFormat/>
    <w:uiPriority w:val="0"/>
    <w:rPr>
      <w:rFonts w:ascii="宋体" w:hAnsi="宋体" w:eastAsia="宋体" w:cs="Times New Roman"/>
      <w:bCs/>
      <w:kern w:val="44"/>
      <w:sz w:val="32"/>
      <w:szCs w:val="32"/>
    </w:rPr>
  </w:style>
  <w:style w:type="character" w:customStyle="1" w:styleId="28">
    <w:name w:val="标题 2 Char"/>
    <w:basedOn w:val="19"/>
    <w:link w:val="3"/>
    <w:qFormat/>
    <w:uiPriority w:val="0"/>
    <w:rPr>
      <w:rFonts w:ascii="Arial" w:hAnsi="Arial" w:eastAsia="宋体" w:cs="Times New Roman"/>
      <w:b/>
      <w:bCs/>
      <w:sz w:val="48"/>
      <w:szCs w:val="32"/>
    </w:rPr>
  </w:style>
  <w:style w:type="character" w:customStyle="1" w:styleId="29">
    <w:name w:val="标题 3 Char"/>
    <w:basedOn w:val="19"/>
    <w:link w:val="4"/>
    <w:qFormat/>
    <w:uiPriority w:val="0"/>
    <w:rPr>
      <w:rFonts w:ascii="宋体" w:hAnsi="宋体" w:eastAsia="宋体" w:cs="宋体"/>
      <w:b/>
      <w:sz w:val="24"/>
      <w:szCs w:val="20"/>
      <w:lang w:val="zh-CN"/>
    </w:rPr>
  </w:style>
  <w:style w:type="character" w:customStyle="1" w:styleId="30">
    <w:name w:val="font141"/>
    <w:basedOn w:val="19"/>
    <w:qFormat/>
    <w:uiPriority w:val="0"/>
    <w:rPr>
      <w:rFonts w:hint="eastAsia" w:ascii="宋体" w:hAnsi="宋体" w:eastAsia="宋体" w:cs="宋体"/>
      <w:color w:val="FF0000"/>
      <w:sz w:val="24"/>
      <w:szCs w:val="24"/>
      <w:u w:val="none"/>
    </w:rPr>
  </w:style>
  <w:style w:type="character" w:customStyle="1" w:styleId="31">
    <w:name w:val="font131"/>
    <w:basedOn w:val="19"/>
    <w:qFormat/>
    <w:uiPriority w:val="0"/>
    <w:rPr>
      <w:rFonts w:hint="eastAsia" w:ascii="宋体" w:hAnsi="宋体" w:eastAsia="宋体" w:cs="宋体"/>
      <w:color w:val="000000"/>
      <w:sz w:val="24"/>
      <w:szCs w:val="24"/>
      <w:u w:val="none"/>
    </w:rPr>
  </w:style>
  <w:style w:type="character" w:customStyle="1" w:styleId="32">
    <w:name w:val="font121"/>
    <w:basedOn w:val="19"/>
    <w:qFormat/>
    <w:uiPriority w:val="0"/>
    <w:rPr>
      <w:rFonts w:hint="eastAsia" w:ascii="宋体" w:hAnsi="宋体" w:eastAsia="宋体" w:cs="宋体"/>
      <w:b/>
      <w:color w:val="000000"/>
      <w:sz w:val="48"/>
      <w:szCs w:val="48"/>
      <w:u w:val="none"/>
    </w:rPr>
  </w:style>
  <w:style w:type="character" w:customStyle="1" w:styleId="33">
    <w:name w:val="font91"/>
    <w:basedOn w:val="19"/>
    <w:qFormat/>
    <w:uiPriority w:val="0"/>
    <w:rPr>
      <w:rFonts w:hint="eastAsia" w:ascii="宋体" w:hAnsi="宋体" w:eastAsia="宋体" w:cs="宋体"/>
      <w:b/>
      <w:color w:val="000000"/>
      <w:sz w:val="20"/>
      <w:szCs w:val="20"/>
      <w:u w:val="none"/>
    </w:rPr>
  </w:style>
  <w:style w:type="character" w:customStyle="1" w:styleId="34">
    <w:name w:val="font01"/>
    <w:basedOn w:val="19"/>
    <w:qFormat/>
    <w:uiPriority w:val="0"/>
    <w:rPr>
      <w:rFonts w:hint="eastAsia" w:ascii="宋体" w:hAnsi="宋体" w:eastAsia="宋体" w:cs="宋体"/>
      <w:color w:val="000000"/>
      <w:sz w:val="20"/>
      <w:szCs w:val="20"/>
      <w:u w:val="none"/>
    </w:rPr>
  </w:style>
  <w:style w:type="character" w:customStyle="1" w:styleId="35">
    <w:name w:val="font71"/>
    <w:basedOn w:val="19"/>
    <w:uiPriority w:val="0"/>
    <w:rPr>
      <w:rFonts w:hint="default" w:ascii="Arial" w:hAnsi="Arial" w:cs="Arial"/>
      <w:b/>
      <w:color w:val="000000"/>
      <w:sz w:val="24"/>
      <w:szCs w:val="24"/>
      <w:u w:val="none"/>
    </w:rPr>
  </w:style>
  <w:style w:type="character" w:customStyle="1" w:styleId="36">
    <w:name w:val="font81"/>
    <w:basedOn w:val="19"/>
    <w:qFormat/>
    <w:uiPriority w:val="0"/>
    <w:rPr>
      <w:rFonts w:hint="eastAsia" w:ascii="宋体" w:hAnsi="宋体" w:eastAsia="宋体" w:cs="宋体"/>
      <w:b/>
      <w:color w:val="000000"/>
      <w:sz w:val="20"/>
      <w:szCs w:val="20"/>
      <w:u w:val="none"/>
    </w:rPr>
  </w:style>
  <w:style w:type="character" w:customStyle="1" w:styleId="37">
    <w:name w:val="font151"/>
    <w:basedOn w:val="19"/>
    <w:uiPriority w:val="0"/>
    <w:rPr>
      <w:rFonts w:hint="eastAsia" w:ascii="宋体" w:hAnsi="宋体" w:eastAsia="宋体" w:cs="宋体"/>
      <w:b/>
      <w:color w:val="000000"/>
      <w:sz w:val="40"/>
      <w:szCs w:val="40"/>
      <w:u w:val="none"/>
    </w:rPr>
  </w:style>
  <w:style w:type="character" w:customStyle="1" w:styleId="38">
    <w:name w:val="font31"/>
    <w:basedOn w:val="19"/>
    <w:qFormat/>
    <w:uiPriority w:val="0"/>
    <w:rPr>
      <w:rFonts w:hint="eastAsia" w:ascii="宋体" w:hAnsi="宋体" w:eastAsia="宋体" w:cs="宋体"/>
      <w:color w:val="000000"/>
      <w:sz w:val="22"/>
      <w:szCs w:val="22"/>
      <w:u w:val="none"/>
    </w:rPr>
  </w:style>
  <w:style w:type="character" w:customStyle="1" w:styleId="39">
    <w:name w:val="font61"/>
    <w:basedOn w:val="19"/>
    <w:qFormat/>
    <w:uiPriority w:val="0"/>
    <w:rPr>
      <w:rFonts w:hint="eastAsia" w:ascii="宋体" w:hAnsi="宋体" w:eastAsia="宋体" w:cs="宋体"/>
      <w:b/>
      <w:color w:val="000000"/>
      <w:sz w:val="24"/>
      <w:szCs w:val="24"/>
      <w:u w:val="none"/>
    </w:rPr>
  </w:style>
  <w:style w:type="character" w:customStyle="1" w:styleId="40">
    <w:name w:val="font101"/>
    <w:basedOn w:val="19"/>
    <w:qFormat/>
    <w:uiPriority w:val="0"/>
    <w:rPr>
      <w:rFonts w:hint="eastAsia" w:ascii="宋体" w:hAnsi="宋体" w:eastAsia="宋体" w:cs="宋体"/>
      <w:color w:val="0066CC"/>
      <w:sz w:val="24"/>
      <w:szCs w:val="24"/>
      <w:u w:val="none"/>
    </w:rPr>
  </w:style>
  <w:style w:type="character" w:customStyle="1" w:styleId="41">
    <w:name w:val="批注框文本 Char"/>
    <w:basedOn w:val="19"/>
    <w:link w:val="11"/>
    <w:qFormat/>
    <w:uiPriority w:val="0"/>
    <w:rPr>
      <w:sz w:val="18"/>
      <w:szCs w:val="18"/>
    </w:rPr>
  </w:style>
  <w:style w:type="character" w:customStyle="1" w:styleId="42">
    <w:name w:val="font11"/>
    <w:basedOn w:val="19"/>
    <w:qFormat/>
    <w:uiPriority w:val="0"/>
    <w:rPr>
      <w:rFonts w:hint="default" w:ascii="ËÎÌå" w:hAnsi="ËÎÌå" w:eastAsia="ËÎÌå" w:cs="ËÎÌå"/>
      <w:color w:val="000000"/>
      <w:sz w:val="20"/>
      <w:szCs w:val="20"/>
      <w:u w:val="none"/>
    </w:rPr>
  </w:style>
  <w:style w:type="character" w:customStyle="1" w:styleId="43">
    <w:name w:val="纯文本 Char"/>
    <w:basedOn w:val="19"/>
    <w:link w:val="9"/>
    <w:locked/>
    <w:uiPriority w:val="0"/>
    <w:rPr>
      <w:rFonts w:ascii="宋体" w:hAnsi="Courier New" w:cs="Courier New"/>
      <w:szCs w:val="21"/>
    </w:rPr>
  </w:style>
  <w:style w:type="character" w:customStyle="1" w:styleId="44">
    <w:name w:val="font41"/>
    <w:basedOn w:val="19"/>
    <w:qFormat/>
    <w:uiPriority w:val="0"/>
    <w:rPr>
      <w:rFonts w:hint="eastAsia" w:ascii="宋体" w:hAnsi="宋体" w:eastAsia="宋体" w:cs="宋体"/>
      <w:color w:val="000000"/>
      <w:sz w:val="20"/>
      <w:szCs w:val="20"/>
      <w:u w:val="none"/>
    </w:rPr>
  </w:style>
  <w:style w:type="character" w:customStyle="1" w:styleId="45">
    <w:name w:val="fontstyle21"/>
    <w:basedOn w:val="19"/>
    <w:qFormat/>
    <w:uiPriority w:val="0"/>
    <w:rPr>
      <w:rFonts w:hint="eastAsia" w:ascii="宋体" w:hAnsi="宋体" w:eastAsia="宋体" w:cs="宋体"/>
      <w:color w:val="000000"/>
      <w:sz w:val="32"/>
      <w:szCs w:val="32"/>
    </w:rPr>
  </w:style>
  <w:style w:type="character" w:customStyle="1" w:styleId="46">
    <w:name w:val="font111"/>
    <w:basedOn w:val="19"/>
    <w:qFormat/>
    <w:uiPriority w:val="0"/>
    <w:rPr>
      <w:rFonts w:hint="eastAsia" w:ascii="宋体" w:hAnsi="宋体" w:eastAsia="宋体" w:cs="宋体"/>
      <w:color w:val="000000"/>
      <w:sz w:val="24"/>
      <w:szCs w:val="24"/>
      <w:u w:val="none"/>
    </w:rPr>
  </w:style>
  <w:style w:type="character" w:customStyle="1" w:styleId="47">
    <w:name w:val="text2"/>
    <w:basedOn w:val="19"/>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9"/>
    <w:uiPriority w:val="0"/>
    <w:rPr>
      <w:rFonts w:hint="eastAsia" w:ascii="宋体" w:hAnsi="宋体" w:eastAsia="宋体" w:cs="宋体"/>
      <w:color w:val="000000"/>
      <w:sz w:val="20"/>
      <w:szCs w:val="20"/>
      <w:u w:val="none"/>
    </w:rPr>
  </w:style>
  <w:style w:type="character" w:customStyle="1" w:styleId="50">
    <w:name w:val="font51"/>
    <w:basedOn w:val="19"/>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9"/>
    <w:semiHidden/>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9"/>
    <w:link w:val="15"/>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kern w:val="0"/>
      <w:sz w:val="22"/>
      <w:szCs w:val="22"/>
      <w:lang w:val="en-US" w:eastAsia="zh-CN" w:bidi="ar-SA"/>
    </w:rPr>
  </w:style>
  <w:style w:type="character" w:customStyle="1" w:styleId="56">
    <w:name w:val="正文文本缩进 Char"/>
    <w:basedOn w:val="19"/>
    <w:link w:val="7"/>
    <w:qFormat/>
    <w:uiPriority w:val="0"/>
    <w:rPr>
      <w:rFonts w:ascii="Calibri" w:hAnsi="Calibri" w:eastAsia="宋体" w:cs="Times New Roman"/>
      <w:b/>
      <w:bCs/>
      <w:sz w:val="28"/>
      <w:szCs w:val="20"/>
    </w:rPr>
  </w:style>
  <w:style w:type="character" w:customStyle="1" w:styleId="57">
    <w:name w:val="批注框文本 Char1"/>
    <w:basedOn w:val="19"/>
    <w:semiHidden/>
    <w:qFormat/>
    <w:uiPriority w:val="99"/>
    <w:rPr>
      <w:rFonts w:ascii="Calibri" w:hAnsi="Calibri" w:eastAsia="宋体" w:cs="Times New Roman"/>
      <w:sz w:val="18"/>
      <w:szCs w:val="18"/>
    </w:rPr>
  </w:style>
  <w:style w:type="character" w:customStyle="1" w:styleId="58">
    <w:name w:val="日期 Char"/>
    <w:basedOn w:val="19"/>
    <w:link w:val="10"/>
    <w:qFormat/>
    <w:uiPriority w:val="0"/>
    <w:rPr>
      <w:rFonts w:ascii="Calibri" w:hAnsi="Calibri" w:eastAsia="宋体" w:cs="Times New Roman"/>
      <w:sz w:val="28"/>
      <w:szCs w:val="20"/>
    </w:rPr>
  </w:style>
  <w:style w:type="character" w:customStyle="1" w:styleId="59">
    <w:name w:val="正文文本 Char"/>
    <w:basedOn w:val="19"/>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paragraph" w:styleId="62">
    <w:name w:val="List Paragraph"/>
    <w:basedOn w:val="1"/>
    <w:qFormat/>
    <w:uiPriority w:val="99"/>
    <w:pPr>
      <w:widowControl/>
      <w:spacing w:before="100" w:beforeAutospacing="1" w:after="100" w:afterAutospacing="1"/>
      <w:jc w:val="left"/>
    </w:pPr>
    <w:rPr>
      <w:rFonts w:ascii="宋体" w:hAnsi="宋体" w:cs="宋体"/>
      <w:kern w:val="0"/>
      <w:sz w:val="24"/>
      <w:szCs w:val="24"/>
    </w:rPr>
  </w:style>
  <w:style w:type="table" w:customStyle="1" w:styleId="63">
    <w:name w:val="网格型1"/>
    <w:basedOn w:val="17"/>
    <w:qFormat/>
    <w:uiPriority w:val="5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4">
    <w:name w:val="Table Paragraph"/>
    <w:basedOn w:val="1"/>
    <w:qFormat/>
    <w:uiPriority w:val="1"/>
    <w:rPr>
      <w:szCs w:val="24"/>
    </w:rPr>
  </w:style>
  <w:style w:type="character" w:customStyle="1" w:styleId="65">
    <w:name w:val="信息标题 Char"/>
    <w:basedOn w:val="19"/>
    <w:link w:val="14"/>
    <w:qFormat/>
    <w:uiPriority w:val="99"/>
    <w:rPr>
      <w:rFonts w:ascii="Cambria" w:hAnsi="Cambria" w:eastAsia="宋体" w:cs="Times New Roman"/>
      <w:sz w:val="24"/>
      <w:szCs w:val="24"/>
      <w:shd w:val="pct20" w:color="auto" w:fill="auto"/>
    </w:rPr>
  </w:style>
  <w:style w:type="paragraph" w:customStyle="1" w:styleId="66">
    <w:name w:val="样式 首行缩进:  0 字符"/>
    <w:basedOn w:val="1"/>
    <w:qFormat/>
    <w:uiPriority w:val="0"/>
    <w:pPr>
      <w:spacing w:line="360" w:lineRule="auto"/>
      <w:ind w:firstLine="200" w:firstLineChars="200"/>
    </w:pPr>
    <w:rPr>
      <w:rFonts w:ascii="Arial" w:hAnsi="Arial" w:cs="宋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4BBEA6-EAF4-4529-9503-7F2634DB0F5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1687</Words>
  <Characters>9618</Characters>
  <Lines>80</Lines>
  <Paragraphs>22</Paragraphs>
  <TotalTime>21</TotalTime>
  <ScaleCrop>false</ScaleCrop>
  <LinksUpToDate>false</LinksUpToDate>
  <CharactersWithSpaces>11283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2019-12-03T04:01:00Z</dcterms:created>
  <dc:creator>王柏龙</dc:creator>
  <cp:lastModifiedBy>Administrator</cp:lastModifiedBy>
  <dcterms:modified xsi:type="dcterms:W3CDTF">2020-06-09T09:42:04Z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