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仿宋"/>
          <w:b/>
          <w:color w:val="auto"/>
          <w:sz w:val="32"/>
          <w:szCs w:val="32"/>
        </w:rPr>
      </w:pPr>
    </w:p>
    <w:p>
      <w:pPr>
        <w:jc w:val="center"/>
        <w:rPr>
          <w:rFonts w:hint="eastAsia" w:ascii="仿宋" w:hAnsi="仿宋" w:eastAsia="仿宋" w:cs="仿宋"/>
          <w:b/>
          <w:color w:val="auto"/>
          <w:w w:val="90"/>
          <w:sz w:val="44"/>
          <w:szCs w:val="44"/>
          <w:lang w:eastAsia="zh-CN"/>
        </w:rPr>
      </w:pPr>
      <w:r>
        <w:rPr>
          <w:rFonts w:hint="eastAsia" w:ascii="仿宋" w:hAnsi="仿宋" w:eastAsia="仿宋" w:cs="仿宋"/>
          <w:b/>
          <w:color w:val="auto"/>
          <w:w w:val="90"/>
          <w:sz w:val="44"/>
          <w:szCs w:val="44"/>
          <w:lang w:eastAsia="zh-CN"/>
        </w:rPr>
        <w:t>兰州职业技术学院</w:t>
      </w:r>
      <w:r>
        <w:rPr>
          <w:rFonts w:hint="eastAsia" w:ascii="仿宋" w:hAnsi="仿宋" w:eastAsia="仿宋" w:cs="仿宋"/>
          <w:b/>
          <w:color w:val="auto"/>
          <w:w w:val="90"/>
          <w:sz w:val="44"/>
          <w:szCs w:val="44"/>
          <w:lang w:val="en-US" w:eastAsia="zh-CN"/>
        </w:rPr>
        <w:t>数据中台对接平台建设</w:t>
      </w:r>
      <w:r>
        <w:rPr>
          <w:rFonts w:hint="eastAsia" w:ascii="仿宋" w:hAnsi="仿宋" w:eastAsia="仿宋" w:cs="仿宋"/>
          <w:b/>
          <w:color w:val="auto"/>
          <w:w w:val="90"/>
          <w:sz w:val="44"/>
          <w:szCs w:val="44"/>
          <w:lang w:eastAsia="zh-CN"/>
        </w:rPr>
        <w:t>项目</w:t>
      </w:r>
    </w:p>
    <w:p>
      <w:pPr>
        <w:spacing w:line="360" w:lineRule="auto"/>
        <w:rPr>
          <w:rFonts w:hint="eastAsia" w:ascii="仿宋" w:hAnsi="仿宋" w:eastAsia="仿宋" w:cs="仿宋"/>
          <w:b/>
          <w:color w:val="auto"/>
          <w:sz w:val="36"/>
          <w:szCs w:val="36"/>
        </w:rPr>
      </w:pPr>
    </w:p>
    <w:p>
      <w:pPr>
        <w:spacing w:line="360" w:lineRule="auto"/>
        <w:ind w:firstLine="1789" w:firstLineChars="495"/>
        <w:rPr>
          <w:rFonts w:hint="eastAsia" w:ascii="仿宋" w:hAnsi="仿宋" w:eastAsia="仿宋" w:cs="仿宋"/>
          <w:b/>
          <w:color w:val="auto"/>
          <w:sz w:val="36"/>
          <w:szCs w:val="36"/>
        </w:rPr>
      </w:pPr>
    </w:p>
    <w:p>
      <w:pPr>
        <w:spacing w:line="360" w:lineRule="auto"/>
        <w:rPr>
          <w:rFonts w:hint="eastAsia" w:ascii="仿宋" w:hAnsi="仿宋" w:eastAsia="仿宋" w:cs="仿宋"/>
          <w:color w:val="auto"/>
          <w:szCs w:val="21"/>
        </w:rPr>
      </w:pPr>
    </w:p>
    <w:p>
      <w:pPr>
        <w:pStyle w:val="4"/>
        <w:rPr>
          <w:rFonts w:hint="eastAsia" w:ascii="仿宋" w:hAnsi="仿宋" w:eastAsia="仿宋" w:cs="仿宋"/>
          <w:color w:val="auto"/>
          <w:szCs w:val="21"/>
        </w:rPr>
      </w:pPr>
    </w:p>
    <w:p>
      <w:pPr>
        <w:pStyle w:val="4"/>
        <w:rPr>
          <w:rFonts w:hint="eastAsia" w:ascii="仿宋" w:hAnsi="仿宋" w:eastAsia="仿宋" w:cs="仿宋"/>
          <w:color w:val="auto"/>
          <w:szCs w:val="21"/>
        </w:rPr>
      </w:pPr>
    </w:p>
    <w:p>
      <w:pPr>
        <w:pStyle w:val="4"/>
        <w:rPr>
          <w:rFonts w:hint="eastAsia" w:ascii="仿宋" w:hAnsi="仿宋" w:eastAsia="仿宋" w:cs="仿宋"/>
          <w:color w:val="auto"/>
          <w:szCs w:val="21"/>
        </w:rPr>
      </w:pPr>
    </w:p>
    <w:p>
      <w:pPr>
        <w:pStyle w:val="4"/>
        <w:rPr>
          <w:rFonts w:hint="eastAsia" w:ascii="仿宋" w:hAnsi="仿宋" w:eastAsia="仿宋" w:cs="仿宋"/>
          <w:color w:val="auto"/>
          <w:szCs w:val="21"/>
        </w:rPr>
      </w:pPr>
    </w:p>
    <w:p>
      <w:pPr>
        <w:pStyle w:val="4"/>
        <w:rPr>
          <w:rFonts w:hint="eastAsia" w:ascii="仿宋" w:hAnsi="仿宋" w:eastAsia="仿宋" w:cs="仿宋"/>
          <w:color w:val="auto"/>
          <w:szCs w:val="21"/>
        </w:rPr>
      </w:pPr>
    </w:p>
    <w:p>
      <w:pPr>
        <w:pStyle w:val="4"/>
        <w:rPr>
          <w:rFonts w:hint="eastAsia" w:ascii="仿宋" w:hAnsi="仿宋" w:eastAsia="仿宋" w:cs="仿宋"/>
          <w:color w:val="auto"/>
          <w:szCs w:val="21"/>
        </w:rPr>
      </w:pPr>
    </w:p>
    <w:p>
      <w:pPr>
        <w:pStyle w:val="4"/>
        <w:rPr>
          <w:rFonts w:hint="eastAsia" w:ascii="仿宋" w:hAnsi="仿宋" w:eastAsia="仿宋" w:cs="仿宋"/>
          <w:color w:val="auto"/>
          <w:szCs w:val="21"/>
        </w:rPr>
      </w:pPr>
    </w:p>
    <w:p>
      <w:pP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竞争性磋商文件</w:t>
      </w:r>
    </w:p>
    <w:p>
      <w:pPr>
        <w:shd w:val="clear"/>
        <w:snapToGrid w:val="0"/>
        <w:spacing w:line="360" w:lineRule="auto"/>
        <w:ind w:firstLine="1807" w:firstLineChars="500"/>
        <w:rPr>
          <w:rFonts w:hint="default" w:ascii="仿宋" w:hAnsi="仿宋" w:eastAsia="仿宋" w:cs="仿宋"/>
          <w:b/>
          <w:color w:val="auto"/>
          <w:sz w:val="36"/>
          <w:szCs w:val="36"/>
          <w:highlight w:val="none"/>
          <w:lang w:val="en-US" w:eastAsia="zh-CN"/>
        </w:rPr>
      </w:pPr>
      <w:r>
        <w:rPr>
          <w:rFonts w:hint="eastAsia" w:ascii="仿宋" w:hAnsi="仿宋" w:eastAsia="仿宋" w:cs="仿宋"/>
          <w:b/>
          <w:color w:val="auto"/>
          <w:sz w:val="36"/>
          <w:szCs w:val="36"/>
          <w:highlight w:val="none"/>
        </w:rPr>
        <w:t>磋商文件编号:LZCS—202</w:t>
      </w:r>
      <w:r>
        <w:rPr>
          <w:rFonts w:hint="eastAsia" w:ascii="仿宋" w:hAnsi="仿宋" w:eastAsia="仿宋" w:cs="仿宋"/>
          <w:b/>
          <w:color w:val="auto"/>
          <w:sz w:val="36"/>
          <w:szCs w:val="36"/>
          <w:highlight w:val="none"/>
          <w:lang w:val="en-US" w:eastAsia="zh-CN"/>
        </w:rPr>
        <w:t>3007</w:t>
      </w:r>
    </w:p>
    <w:p>
      <w:pPr>
        <w:spacing w:line="360" w:lineRule="auto"/>
        <w:jc w:val="center"/>
        <w:rPr>
          <w:rFonts w:hint="eastAsia" w:ascii="仿宋" w:hAnsi="仿宋" w:eastAsia="仿宋" w:cs="仿宋"/>
          <w:b/>
          <w:color w:val="auto"/>
          <w:sz w:val="36"/>
          <w:szCs w:val="36"/>
        </w:rPr>
      </w:pPr>
    </w:p>
    <w:p>
      <w:pPr>
        <w:spacing w:line="360" w:lineRule="auto"/>
        <w:jc w:val="center"/>
        <w:rPr>
          <w:rFonts w:hint="eastAsia" w:ascii="仿宋" w:hAnsi="仿宋" w:eastAsia="仿宋" w:cs="仿宋"/>
          <w:b/>
          <w:color w:val="auto"/>
          <w:sz w:val="84"/>
          <w:szCs w:val="84"/>
        </w:rPr>
      </w:pPr>
    </w:p>
    <w:p>
      <w:pPr>
        <w:spacing w:line="360" w:lineRule="auto"/>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pStyle w:val="4"/>
        <w:ind w:firstLine="640"/>
        <w:rPr>
          <w:rFonts w:hint="eastAsia" w:ascii="仿宋" w:hAnsi="仿宋" w:eastAsia="仿宋" w:cs="仿宋"/>
          <w:color w:val="auto"/>
          <w:sz w:val="32"/>
          <w:szCs w:val="32"/>
        </w:rPr>
      </w:pPr>
    </w:p>
    <w:p>
      <w:pPr>
        <w:pStyle w:val="4"/>
        <w:ind w:firstLine="640"/>
        <w:rPr>
          <w:rFonts w:hint="eastAsia" w:ascii="仿宋" w:hAnsi="仿宋" w:eastAsia="仿宋" w:cs="仿宋"/>
          <w:color w:val="auto"/>
          <w:sz w:val="32"/>
          <w:szCs w:val="32"/>
        </w:rPr>
      </w:pPr>
    </w:p>
    <w:p>
      <w:pPr>
        <w:pStyle w:val="4"/>
        <w:ind w:firstLine="640"/>
        <w:rPr>
          <w:rFonts w:hint="eastAsia" w:ascii="仿宋" w:hAnsi="仿宋" w:eastAsia="仿宋" w:cs="仿宋"/>
          <w:color w:val="auto"/>
          <w:sz w:val="32"/>
          <w:szCs w:val="32"/>
        </w:rPr>
      </w:pPr>
    </w:p>
    <w:p>
      <w:pPr>
        <w:pStyle w:val="4"/>
        <w:ind w:firstLine="640"/>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spacing w:line="36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招标单位：兰州职业技术学院</w:t>
      </w:r>
    </w:p>
    <w:p>
      <w:pPr>
        <w:spacing w:line="360" w:lineRule="auto"/>
        <w:jc w:val="center"/>
        <w:rPr>
          <w:rFonts w:hint="eastAsia"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color w:val="auto"/>
          <w:sz w:val="36"/>
          <w:szCs w:val="36"/>
        </w:rPr>
        <w:t>202</w:t>
      </w:r>
      <w:r>
        <w:rPr>
          <w:rFonts w:hint="eastAsia" w:ascii="仿宋" w:hAnsi="仿宋" w:eastAsia="仿宋" w:cs="仿宋"/>
          <w:b/>
          <w:color w:val="auto"/>
          <w:sz w:val="36"/>
          <w:szCs w:val="36"/>
          <w:lang w:val="en-US" w:eastAsia="zh-CN"/>
        </w:rPr>
        <w:t>3</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7</w:t>
      </w:r>
      <w:r>
        <w:rPr>
          <w:rFonts w:hint="eastAsia" w:ascii="仿宋" w:hAnsi="仿宋" w:eastAsia="仿宋" w:cs="仿宋"/>
          <w:b/>
          <w:color w:val="auto"/>
          <w:sz w:val="36"/>
          <w:szCs w:val="36"/>
        </w:rPr>
        <w:t>月</w:t>
      </w:r>
      <w:bookmarkEnd w:id="0"/>
      <w:bookmarkStart w:id="3" w:name="_Toc361769761"/>
      <w:bookmarkStart w:id="4" w:name="_Toc361769627"/>
      <w:bookmarkStart w:id="147" w:name="_GoBack"/>
      <w:bookmarkEnd w:id="147"/>
    </w:p>
    <w:p>
      <w:pPr>
        <w:spacing w:line="360" w:lineRule="auto"/>
        <w:rPr>
          <w:rFonts w:hint="eastAsia" w:ascii="仿宋" w:hAnsi="仿宋" w:eastAsia="仿宋" w:cs="仿宋"/>
          <w:bCs/>
          <w:color w:val="auto"/>
        </w:rPr>
      </w:pPr>
    </w:p>
    <w:p>
      <w:pPr>
        <w:pStyle w:val="2"/>
        <w:snapToGrid w:val="0"/>
        <w:spacing w:before="0" w:after="0" w:line="360" w:lineRule="auto"/>
        <w:jc w:val="center"/>
        <w:rPr>
          <w:rFonts w:hint="eastAsia" w:ascii="仿宋" w:hAnsi="仿宋" w:eastAsia="仿宋" w:cs="仿宋"/>
          <w:bCs w:val="0"/>
          <w:color w:val="auto"/>
        </w:rPr>
      </w:pPr>
      <w:bookmarkStart w:id="5" w:name="_Toc10210"/>
      <w:bookmarkStart w:id="6" w:name="_Toc4104"/>
      <w:bookmarkStart w:id="7" w:name="_Toc31084"/>
      <w:r>
        <w:rPr>
          <w:rFonts w:hint="eastAsia" w:ascii="仿宋" w:hAnsi="仿宋" w:eastAsia="仿宋" w:cs="仿宋"/>
          <w:bCs w:val="0"/>
          <w:color w:val="auto"/>
        </w:rPr>
        <w:t>目   录</w:t>
      </w:r>
      <w:bookmarkEnd w:id="1"/>
      <w:bookmarkEnd w:id="2"/>
      <w:bookmarkEnd w:id="3"/>
      <w:bookmarkEnd w:id="4"/>
      <w:bookmarkEnd w:id="5"/>
      <w:bookmarkEnd w:id="6"/>
      <w:bookmarkEnd w:id="7"/>
    </w:p>
    <w:p>
      <w:pPr>
        <w:spacing w:line="360" w:lineRule="auto"/>
        <w:rPr>
          <w:rFonts w:hint="eastAsia" w:ascii="仿宋" w:hAnsi="仿宋" w:eastAsia="仿宋" w:cs="仿宋"/>
          <w:color w:val="auto"/>
        </w:rPr>
      </w:pPr>
    </w:p>
    <w:p>
      <w:pPr>
        <w:pStyle w:val="27"/>
        <w:tabs>
          <w:tab w:val="right" w:leader="dot" w:pos="8732"/>
        </w:tabs>
        <w:rPr>
          <w:color w:val="auto"/>
        </w:rPr>
      </w:pPr>
      <w:r>
        <w:rPr>
          <w:rFonts w:hint="eastAsia" w:ascii="仿宋" w:hAnsi="仿宋" w:eastAsia="仿宋" w:cs="仿宋"/>
          <w:caps w:val="0"/>
          <w:color w:val="auto"/>
          <w:sz w:val="24"/>
          <w:szCs w:val="24"/>
        </w:rPr>
        <w:fldChar w:fldCharType="begin"/>
      </w:r>
      <w:r>
        <w:rPr>
          <w:rFonts w:hint="eastAsia" w:ascii="仿宋" w:hAnsi="仿宋" w:eastAsia="仿宋" w:cs="仿宋"/>
          <w:caps w:val="0"/>
          <w:color w:val="auto"/>
          <w:sz w:val="24"/>
          <w:szCs w:val="24"/>
        </w:rPr>
        <w:instrText xml:space="preserve"> TOC \o "1-3" \h \z \u </w:instrText>
      </w:r>
      <w:r>
        <w:rPr>
          <w:rFonts w:hint="eastAsia" w:ascii="仿宋" w:hAnsi="仿宋" w:eastAsia="仿宋" w:cs="仿宋"/>
          <w:caps w:val="0"/>
          <w:color w:val="auto"/>
          <w:sz w:val="24"/>
          <w:szCs w:val="24"/>
        </w:rPr>
        <w:fldChar w:fldCharType="separate"/>
      </w:r>
    </w:p>
    <w:p>
      <w:pPr>
        <w:pStyle w:val="27"/>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_Toc20830 </w:instrText>
      </w:r>
      <w:r>
        <w:rPr>
          <w:rFonts w:hint="eastAsia" w:ascii="仿宋" w:hAnsi="仿宋" w:eastAsia="仿宋" w:cs="仿宋"/>
          <w:caps/>
          <w:color w:val="auto"/>
          <w:sz w:val="21"/>
          <w:szCs w:val="21"/>
        </w:rPr>
        <w:fldChar w:fldCharType="separate"/>
      </w:r>
      <w:r>
        <w:rPr>
          <w:rFonts w:hint="eastAsia" w:ascii="仿宋" w:hAnsi="仿宋" w:eastAsia="仿宋" w:cs="仿宋"/>
          <w:bCs w:val="0"/>
          <w:color w:val="auto"/>
          <w:sz w:val="21"/>
          <w:szCs w:val="21"/>
        </w:rPr>
        <w:t xml:space="preserve">第一部分  </w:t>
      </w:r>
      <w:r>
        <w:rPr>
          <w:rFonts w:hint="eastAsia" w:ascii="仿宋" w:hAnsi="仿宋" w:eastAsia="仿宋" w:cs="仿宋"/>
          <w:color w:val="auto"/>
          <w:sz w:val="21"/>
          <w:szCs w:val="21"/>
        </w:rPr>
        <w:t>竞争性磋商公告</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_Toc20830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2</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7"/>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_Toc13778 </w:instrText>
      </w:r>
      <w:r>
        <w:rPr>
          <w:rFonts w:hint="eastAsia" w:ascii="仿宋" w:hAnsi="仿宋" w:eastAsia="仿宋" w:cs="仿宋"/>
          <w:caps/>
          <w:color w:val="auto"/>
          <w:sz w:val="21"/>
          <w:szCs w:val="21"/>
        </w:rPr>
        <w:fldChar w:fldCharType="separate"/>
      </w:r>
      <w:r>
        <w:rPr>
          <w:rFonts w:hint="eastAsia" w:ascii="仿宋" w:hAnsi="仿宋" w:eastAsia="仿宋" w:cs="仿宋"/>
          <w:bCs w:val="0"/>
          <w:color w:val="auto"/>
          <w:sz w:val="21"/>
          <w:szCs w:val="21"/>
        </w:rPr>
        <w:t>第二部分  供应商须知</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_Toc13778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5</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7"/>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_Toc9320 </w:instrText>
      </w:r>
      <w:r>
        <w:rPr>
          <w:rFonts w:hint="eastAsia" w:ascii="仿宋" w:hAnsi="仿宋" w:eastAsia="仿宋" w:cs="仿宋"/>
          <w:caps/>
          <w:color w:val="auto"/>
          <w:sz w:val="21"/>
          <w:szCs w:val="21"/>
        </w:rPr>
        <w:fldChar w:fldCharType="separate"/>
      </w:r>
      <w:r>
        <w:rPr>
          <w:rFonts w:hint="eastAsia" w:ascii="仿宋" w:hAnsi="仿宋" w:eastAsia="仿宋" w:cs="仿宋"/>
          <w:bCs w:val="0"/>
          <w:color w:val="auto"/>
          <w:sz w:val="21"/>
          <w:szCs w:val="21"/>
        </w:rPr>
        <w:t>第</w:t>
      </w:r>
      <w:r>
        <w:rPr>
          <w:rFonts w:hint="eastAsia" w:ascii="仿宋" w:hAnsi="仿宋" w:eastAsia="仿宋" w:cs="仿宋"/>
          <w:bCs w:val="0"/>
          <w:color w:val="auto"/>
          <w:sz w:val="21"/>
          <w:szCs w:val="21"/>
          <w:lang w:val="en-US" w:eastAsia="zh-CN"/>
        </w:rPr>
        <w:t>三</w:t>
      </w:r>
      <w:r>
        <w:rPr>
          <w:rFonts w:hint="eastAsia" w:ascii="仿宋" w:hAnsi="仿宋" w:eastAsia="仿宋" w:cs="仿宋"/>
          <w:bCs w:val="0"/>
          <w:color w:val="auto"/>
          <w:sz w:val="21"/>
          <w:szCs w:val="21"/>
        </w:rPr>
        <w:t xml:space="preserve">部分  </w:t>
      </w:r>
      <w:r>
        <w:rPr>
          <w:rFonts w:hint="eastAsia" w:ascii="仿宋" w:hAnsi="仿宋" w:eastAsia="仿宋" w:cs="仿宋"/>
          <w:bCs w:val="0"/>
          <w:color w:val="auto"/>
          <w:sz w:val="21"/>
          <w:szCs w:val="21"/>
          <w:lang w:val="en-US" w:eastAsia="zh-CN"/>
        </w:rPr>
        <w:t>采购需求</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_Toc9320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15</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7"/>
        <w:tabs>
          <w:tab w:val="right" w:leader="dot" w:pos="8732"/>
        </w:tabs>
        <w:spacing w:line="360" w:lineRule="auto"/>
        <w:rPr>
          <w:rFonts w:hint="eastAsia" w:ascii="仿宋" w:hAnsi="仿宋" w:eastAsia="仿宋" w:cs="仿宋"/>
          <w:color w:val="auto"/>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_Toc4462 </w:instrText>
      </w:r>
      <w:r>
        <w:rPr>
          <w:rFonts w:hint="eastAsia" w:ascii="仿宋" w:hAnsi="仿宋" w:eastAsia="仿宋" w:cs="仿宋"/>
          <w:caps/>
          <w:color w:val="auto"/>
          <w:sz w:val="21"/>
          <w:szCs w:val="21"/>
        </w:rPr>
        <w:fldChar w:fldCharType="separate"/>
      </w:r>
      <w:r>
        <w:rPr>
          <w:rFonts w:hint="eastAsia" w:ascii="仿宋" w:hAnsi="仿宋" w:eastAsia="仿宋" w:cs="仿宋"/>
          <w:color w:val="auto"/>
          <w:sz w:val="21"/>
          <w:szCs w:val="21"/>
        </w:rPr>
        <w:t>第四</w:t>
      </w:r>
      <w:r>
        <w:rPr>
          <w:rFonts w:hint="eastAsia" w:ascii="仿宋" w:hAnsi="仿宋" w:eastAsia="仿宋" w:cs="仿宋"/>
          <w:color w:val="auto"/>
          <w:sz w:val="21"/>
          <w:szCs w:val="21"/>
          <w:lang w:val="en-US" w:eastAsia="zh-CN"/>
        </w:rPr>
        <w:t>部分</w:t>
      </w:r>
      <w:r>
        <w:rPr>
          <w:rFonts w:hint="eastAsia" w:ascii="仿宋" w:hAnsi="仿宋" w:eastAsia="仿宋" w:cs="仿宋"/>
          <w:color w:val="auto"/>
          <w:sz w:val="21"/>
          <w:szCs w:val="21"/>
        </w:rPr>
        <w:t xml:space="preserve">  合同条款</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_Toc4462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18</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27"/>
        <w:tabs>
          <w:tab w:val="right" w:leader="dot" w:pos="8732"/>
        </w:tabs>
        <w:spacing w:line="360" w:lineRule="auto"/>
        <w:rPr>
          <w:color w:val="auto"/>
        </w:rPr>
      </w:pPr>
      <w:r>
        <w:rPr>
          <w:rFonts w:hint="eastAsia" w:ascii="仿宋" w:hAnsi="仿宋" w:eastAsia="仿宋" w:cs="仿宋"/>
          <w:caps/>
          <w:color w:val="auto"/>
          <w:sz w:val="21"/>
          <w:szCs w:val="21"/>
        </w:rPr>
        <w:fldChar w:fldCharType="begin"/>
      </w:r>
      <w:r>
        <w:rPr>
          <w:rFonts w:hint="eastAsia" w:ascii="仿宋" w:hAnsi="仿宋" w:eastAsia="仿宋" w:cs="仿宋"/>
          <w:caps/>
          <w:color w:val="auto"/>
          <w:sz w:val="21"/>
          <w:szCs w:val="21"/>
        </w:rPr>
        <w:instrText xml:space="preserve"> HYPERLINK \l _Toc7634 </w:instrText>
      </w:r>
      <w:r>
        <w:rPr>
          <w:rFonts w:hint="eastAsia" w:ascii="仿宋" w:hAnsi="仿宋" w:eastAsia="仿宋" w:cs="仿宋"/>
          <w:caps/>
          <w:color w:val="auto"/>
          <w:sz w:val="21"/>
          <w:szCs w:val="21"/>
        </w:rPr>
        <w:fldChar w:fldCharType="separate"/>
      </w:r>
      <w:r>
        <w:rPr>
          <w:rFonts w:hint="eastAsia" w:ascii="仿宋" w:hAnsi="仿宋" w:eastAsia="仿宋" w:cs="仿宋"/>
          <w:color w:val="auto"/>
          <w:sz w:val="21"/>
          <w:szCs w:val="21"/>
        </w:rPr>
        <w:t>第五</w:t>
      </w:r>
      <w:r>
        <w:rPr>
          <w:rFonts w:hint="eastAsia" w:ascii="仿宋" w:hAnsi="仿宋" w:eastAsia="仿宋" w:cs="仿宋"/>
          <w:color w:val="auto"/>
          <w:sz w:val="21"/>
          <w:szCs w:val="21"/>
          <w:lang w:val="en-US" w:eastAsia="zh-CN"/>
        </w:rPr>
        <w:t>部分</w:t>
      </w:r>
      <w:r>
        <w:rPr>
          <w:rFonts w:hint="eastAsia" w:ascii="仿宋" w:hAnsi="仿宋" w:eastAsia="仿宋" w:cs="仿宋"/>
          <w:color w:val="auto"/>
          <w:sz w:val="21"/>
          <w:szCs w:val="21"/>
        </w:rPr>
        <w:t xml:space="preserve">  竞争性磋商响应文件格式</w:t>
      </w:r>
      <w:r>
        <w:rPr>
          <w:rFonts w:hint="eastAsia" w:ascii="仿宋" w:hAnsi="仿宋" w:eastAsia="仿宋" w:cs="仿宋"/>
          <w:color w:val="auto"/>
          <w:sz w:val="21"/>
          <w:szCs w:val="21"/>
        </w:rPr>
        <w:tab/>
      </w:r>
      <w:r>
        <w:rPr>
          <w:rFonts w:hint="eastAsia" w:ascii="仿宋" w:hAnsi="仿宋" w:eastAsia="仿宋" w:cs="仿宋"/>
          <w:color w:val="auto"/>
          <w:sz w:val="21"/>
          <w:szCs w:val="21"/>
        </w:rPr>
        <w:fldChar w:fldCharType="begin"/>
      </w:r>
      <w:r>
        <w:rPr>
          <w:rFonts w:hint="eastAsia" w:ascii="仿宋" w:hAnsi="仿宋" w:eastAsia="仿宋" w:cs="仿宋"/>
          <w:color w:val="auto"/>
          <w:sz w:val="21"/>
          <w:szCs w:val="21"/>
        </w:rPr>
        <w:instrText xml:space="preserve"> PAGEREF _Toc7634 \h </w:instrText>
      </w:r>
      <w:r>
        <w:rPr>
          <w:rFonts w:hint="eastAsia" w:ascii="仿宋" w:hAnsi="仿宋" w:eastAsia="仿宋" w:cs="仿宋"/>
          <w:color w:val="auto"/>
          <w:sz w:val="21"/>
          <w:szCs w:val="21"/>
        </w:rPr>
        <w:fldChar w:fldCharType="separate"/>
      </w:r>
      <w:r>
        <w:rPr>
          <w:rFonts w:hint="eastAsia" w:ascii="仿宋" w:hAnsi="仿宋" w:eastAsia="仿宋" w:cs="仿宋"/>
          <w:color w:val="auto"/>
          <w:sz w:val="21"/>
          <w:szCs w:val="21"/>
        </w:rPr>
        <w:t>22</w:t>
      </w:r>
      <w:r>
        <w:rPr>
          <w:rFonts w:hint="eastAsia" w:ascii="仿宋" w:hAnsi="仿宋" w:eastAsia="仿宋" w:cs="仿宋"/>
          <w:color w:val="auto"/>
          <w:sz w:val="21"/>
          <w:szCs w:val="21"/>
        </w:rPr>
        <w:fldChar w:fldCharType="end"/>
      </w:r>
      <w:r>
        <w:rPr>
          <w:rFonts w:hint="eastAsia" w:ascii="仿宋" w:hAnsi="仿宋" w:eastAsia="仿宋" w:cs="仿宋"/>
          <w:caps/>
          <w:color w:val="auto"/>
          <w:sz w:val="21"/>
          <w:szCs w:val="21"/>
        </w:rPr>
        <w:fldChar w:fldCharType="end"/>
      </w:r>
    </w:p>
    <w:p>
      <w:pPr>
        <w:pStyle w:val="18"/>
        <w:tabs>
          <w:tab w:val="right" w:leader="dot" w:pos="8732"/>
        </w:tabs>
        <w:rPr>
          <w:color w:val="auto"/>
        </w:rPr>
      </w:pPr>
    </w:p>
    <w:p>
      <w:pPr>
        <w:snapToGrid w:val="0"/>
        <w:spacing w:line="360" w:lineRule="auto"/>
        <w:rPr>
          <w:rFonts w:hint="eastAsia" w:ascii="仿宋" w:hAnsi="仿宋" w:eastAsia="仿宋" w:cs="仿宋"/>
          <w:b/>
          <w:caps/>
          <w:color w:val="auto"/>
          <w:sz w:val="24"/>
        </w:rPr>
      </w:pPr>
      <w:r>
        <w:rPr>
          <w:rFonts w:hint="eastAsia" w:ascii="仿宋" w:hAnsi="仿宋" w:eastAsia="仿宋" w:cs="仿宋"/>
          <w:caps/>
          <w:color w:val="auto"/>
        </w:rPr>
        <w:fldChar w:fldCharType="end"/>
      </w:r>
      <w:bookmarkStart w:id="8" w:name="_Toc361769628"/>
      <w:bookmarkStart w:id="9" w:name="_Toc361769762"/>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pStyle w:val="2"/>
        <w:spacing w:line="360" w:lineRule="auto"/>
        <w:jc w:val="center"/>
        <w:rPr>
          <w:rFonts w:hint="eastAsia" w:ascii="仿宋" w:hAnsi="仿宋" w:eastAsia="仿宋" w:cs="仿宋"/>
          <w:bCs w:val="0"/>
          <w:color w:val="auto"/>
        </w:rPr>
        <w:sectPr>
          <w:footerReference r:id="rId10" w:type="first"/>
          <w:footerReference r:id="rId9" w:type="default"/>
          <w:pgSz w:w="11906" w:h="16838"/>
          <w:pgMar w:top="1191" w:right="1587" w:bottom="1191" w:left="1587" w:header="851" w:footer="992" w:gutter="0"/>
          <w:pgNumType w:fmt="decimal" w:start="1"/>
          <w:cols w:space="720" w:num="1"/>
          <w:titlePg/>
        </w:sectPr>
      </w:pPr>
    </w:p>
    <w:p>
      <w:pPr>
        <w:rPr>
          <w:rFonts w:hint="eastAsia" w:ascii="仿宋" w:hAnsi="仿宋" w:eastAsia="仿宋" w:cs="仿宋"/>
          <w:color w:val="auto"/>
        </w:rPr>
      </w:pPr>
    </w:p>
    <w:p>
      <w:pPr>
        <w:pStyle w:val="2"/>
        <w:spacing w:line="360" w:lineRule="auto"/>
        <w:jc w:val="center"/>
        <w:rPr>
          <w:rFonts w:hint="eastAsia" w:ascii="仿宋" w:hAnsi="仿宋" w:eastAsia="仿宋" w:cs="仿宋"/>
          <w:bCs w:val="0"/>
          <w:color w:val="auto"/>
        </w:rPr>
      </w:pPr>
    </w:p>
    <w:p>
      <w:pPr>
        <w:pStyle w:val="2"/>
        <w:spacing w:line="360" w:lineRule="auto"/>
        <w:jc w:val="center"/>
        <w:rPr>
          <w:rFonts w:hint="eastAsia" w:ascii="仿宋" w:hAnsi="仿宋" w:eastAsia="仿宋" w:cs="仿宋"/>
          <w:bCs w:val="0"/>
          <w:color w:val="auto"/>
        </w:rPr>
      </w:pPr>
    </w:p>
    <w:p>
      <w:pPr>
        <w:pStyle w:val="2"/>
        <w:spacing w:line="360" w:lineRule="auto"/>
        <w:jc w:val="center"/>
        <w:rPr>
          <w:rFonts w:hint="eastAsia" w:ascii="仿宋" w:hAnsi="仿宋" w:eastAsia="仿宋" w:cs="仿宋"/>
          <w:bCs w:val="0"/>
          <w:color w:val="auto"/>
        </w:rPr>
      </w:pPr>
    </w:p>
    <w:p>
      <w:pPr>
        <w:pStyle w:val="2"/>
        <w:spacing w:line="360" w:lineRule="auto"/>
        <w:jc w:val="center"/>
        <w:rPr>
          <w:rFonts w:hint="eastAsia" w:ascii="仿宋" w:hAnsi="仿宋" w:eastAsia="仿宋" w:cs="仿宋"/>
          <w:bCs w:val="0"/>
          <w:color w:val="auto"/>
          <w:sz w:val="36"/>
          <w:szCs w:val="36"/>
        </w:rPr>
      </w:pPr>
      <w:bookmarkStart w:id="10" w:name="_Toc20830"/>
      <w:r>
        <w:rPr>
          <w:rFonts w:hint="eastAsia" w:ascii="仿宋" w:hAnsi="仿宋" w:eastAsia="仿宋" w:cs="仿宋"/>
          <w:bCs w:val="0"/>
          <w:color w:val="auto"/>
          <w:sz w:val="36"/>
          <w:szCs w:val="36"/>
        </w:rPr>
        <w:t xml:space="preserve">第一部分  </w:t>
      </w:r>
      <w:bookmarkEnd w:id="8"/>
      <w:bookmarkEnd w:id="9"/>
      <w:r>
        <w:rPr>
          <w:rFonts w:hint="eastAsia" w:ascii="仿宋" w:hAnsi="仿宋" w:eastAsia="仿宋" w:cs="仿宋"/>
          <w:color w:val="auto"/>
          <w:sz w:val="36"/>
          <w:szCs w:val="36"/>
        </w:rPr>
        <w:t>竞争性磋商公告</w:t>
      </w:r>
      <w:bookmarkEnd w:id="10"/>
    </w:p>
    <w:p>
      <w:pPr>
        <w:jc w:val="center"/>
        <w:rPr>
          <w:rFonts w:hint="eastAsia" w:ascii="仿宋" w:hAnsi="仿宋" w:eastAsia="仿宋" w:cs="仿宋"/>
          <w:b/>
          <w:bCs/>
          <w:color w:val="auto"/>
          <w:sz w:val="28"/>
          <w:szCs w:val="32"/>
          <w:lang w:eastAsia="zh-CN"/>
        </w:rPr>
      </w:pPr>
      <w:r>
        <w:rPr>
          <w:rFonts w:hint="eastAsia" w:ascii="仿宋" w:hAnsi="仿宋" w:eastAsia="仿宋" w:cs="仿宋"/>
          <w:b/>
          <w:bCs/>
          <w:color w:val="auto"/>
          <w:sz w:val="44"/>
        </w:rPr>
        <w:br w:type="page"/>
      </w:r>
      <w:r>
        <w:rPr>
          <w:rFonts w:hint="eastAsia" w:ascii="仿宋" w:hAnsi="仿宋" w:eastAsia="仿宋" w:cs="仿宋"/>
          <w:b/>
          <w:bCs/>
          <w:color w:val="auto"/>
          <w:sz w:val="28"/>
          <w:szCs w:val="32"/>
          <w:lang w:eastAsia="zh-CN"/>
        </w:rPr>
        <w:t>兰州职业技术学院</w:t>
      </w:r>
      <w:r>
        <w:rPr>
          <w:rFonts w:hint="eastAsia" w:ascii="仿宋" w:hAnsi="仿宋" w:eastAsia="仿宋" w:cs="仿宋"/>
          <w:b/>
          <w:bCs/>
          <w:color w:val="auto"/>
          <w:sz w:val="28"/>
          <w:szCs w:val="32"/>
          <w:lang w:val="en-US" w:eastAsia="zh-CN"/>
        </w:rPr>
        <w:t>数据中台对接平台建设</w:t>
      </w:r>
      <w:r>
        <w:rPr>
          <w:rFonts w:hint="eastAsia" w:ascii="仿宋" w:hAnsi="仿宋" w:eastAsia="仿宋" w:cs="仿宋"/>
          <w:b/>
          <w:bCs/>
          <w:color w:val="auto"/>
          <w:sz w:val="28"/>
          <w:szCs w:val="32"/>
          <w:lang w:eastAsia="zh-CN"/>
        </w:rPr>
        <w:t>项目</w:t>
      </w:r>
    </w:p>
    <w:p>
      <w:pPr>
        <w:snapToGrid w:val="0"/>
        <w:spacing w:line="360" w:lineRule="auto"/>
        <w:jc w:val="left"/>
        <w:rPr>
          <w:rFonts w:hint="eastAsia" w:ascii="仿宋" w:hAnsi="仿宋" w:eastAsia="仿宋" w:cs="仿宋"/>
          <w:b/>
          <w:bCs/>
          <w:color w:val="auto"/>
          <w:sz w:val="28"/>
          <w:szCs w:val="32"/>
        </w:rPr>
      </w:pPr>
    </w:p>
    <w:p>
      <w:pPr>
        <w:jc w:val="left"/>
        <w:rPr>
          <w:rFonts w:hint="eastAsia" w:ascii="仿宋" w:hAnsi="仿宋" w:eastAsia="仿宋" w:cs="仿宋"/>
          <w:color w:val="auto"/>
          <w:sz w:val="21"/>
          <w:szCs w:val="21"/>
        </w:rPr>
      </w:pPr>
      <w:r>
        <w:rPr>
          <w:rFonts w:hint="eastAsia" w:ascii="仿宋" w:hAnsi="仿宋" w:eastAsia="仿宋" w:cs="仿宋"/>
          <w:color w:val="auto"/>
          <w:sz w:val="24"/>
        </w:rPr>
        <w:t xml:space="preserve">  </w:t>
      </w:r>
      <w:r>
        <w:rPr>
          <w:rFonts w:hint="eastAsia" w:ascii="仿宋" w:hAnsi="仿宋" w:eastAsia="仿宋" w:cs="仿宋"/>
          <w:color w:val="auto"/>
          <w:sz w:val="21"/>
          <w:szCs w:val="21"/>
        </w:rPr>
        <w:t xml:space="preserve">  </w:t>
      </w:r>
      <w:r>
        <w:rPr>
          <w:rFonts w:hint="eastAsia" w:ascii="仿宋" w:hAnsi="仿宋" w:eastAsia="仿宋" w:cs="仿宋"/>
          <w:color w:val="auto"/>
          <w:sz w:val="21"/>
          <w:szCs w:val="21"/>
          <w:lang w:eastAsia="zh-CN"/>
        </w:rPr>
        <w:t>兰州职业技术学院</w:t>
      </w:r>
      <w:r>
        <w:rPr>
          <w:rFonts w:hint="eastAsia" w:ascii="仿宋" w:hAnsi="仿宋" w:eastAsia="仿宋" w:cs="仿宋"/>
          <w:color w:val="auto"/>
          <w:sz w:val="21"/>
          <w:szCs w:val="21"/>
          <w:lang w:val="en-US" w:eastAsia="zh-CN"/>
        </w:rPr>
        <w:t>数据中台对接平台建设</w:t>
      </w:r>
      <w:r>
        <w:rPr>
          <w:rFonts w:hint="eastAsia" w:ascii="仿宋" w:hAnsi="仿宋" w:eastAsia="仿宋" w:cs="仿宋"/>
          <w:color w:val="auto"/>
          <w:sz w:val="21"/>
          <w:szCs w:val="21"/>
          <w:lang w:eastAsia="zh-CN"/>
        </w:rPr>
        <w:t>项目</w:t>
      </w:r>
      <w:r>
        <w:rPr>
          <w:rFonts w:hint="eastAsia" w:ascii="仿宋" w:hAnsi="仿宋" w:eastAsia="仿宋" w:cs="仿宋"/>
          <w:color w:val="auto"/>
          <w:sz w:val="21"/>
          <w:szCs w:val="21"/>
        </w:rPr>
        <w:t>以竞争性磋商方式进行采购，欢迎符合资格条件的供应商前来参加。</w:t>
      </w:r>
    </w:p>
    <w:p>
      <w:pPr>
        <w:numPr>
          <w:ilvl w:val="0"/>
          <w:numId w:val="3"/>
        </w:numPr>
        <w:snapToGrid w:val="0"/>
        <w:spacing w:line="360" w:lineRule="auto"/>
        <w:ind w:firstLine="422" w:firstLineChars="20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磋商文件编号：LZCS—202</w:t>
      </w:r>
      <w:r>
        <w:rPr>
          <w:rFonts w:hint="eastAsia" w:ascii="仿宋" w:hAnsi="仿宋" w:eastAsia="仿宋" w:cs="仿宋"/>
          <w:b/>
          <w:color w:val="auto"/>
          <w:sz w:val="21"/>
          <w:szCs w:val="21"/>
          <w:highlight w:val="none"/>
          <w:lang w:val="en-US" w:eastAsia="zh-CN"/>
        </w:rPr>
        <w:t>3007</w:t>
      </w:r>
    </w:p>
    <w:p>
      <w:pPr>
        <w:numPr>
          <w:ilvl w:val="0"/>
          <w:numId w:val="3"/>
        </w:numPr>
        <w:snapToGrid w:val="0"/>
        <w:spacing w:line="360" w:lineRule="auto"/>
        <w:ind w:firstLine="422" w:firstLineChars="200"/>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磋商内容：</w:t>
      </w:r>
      <w:r>
        <w:rPr>
          <w:rFonts w:hint="eastAsia" w:ascii="仿宋" w:hAnsi="仿宋" w:eastAsia="仿宋" w:cs="仿宋"/>
          <w:color w:val="auto"/>
          <w:sz w:val="21"/>
          <w:szCs w:val="21"/>
          <w:lang w:eastAsia="zh-CN"/>
        </w:rPr>
        <w:t>兰州职业技术学院</w:t>
      </w:r>
      <w:r>
        <w:rPr>
          <w:rFonts w:hint="eastAsia" w:ascii="仿宋" w:hAnsi="仿宋" w:eastAsia="仿宋" w:cs="仿宋"/>
          <w:color w:val="auto"/>
          <w:sz w:val="21"/>
          <w:szCs w:val="21"/>
          <w:lang w:val="en-US" w:eastAsia="zh-CN"/>
        </w:rPr>
        <w:t>数据中台对接平台建设</w:t>
      </w:r>
      <w:r>
        <w:rPr>
          <w:rFonts w:hint="eastAsia" w:ascii="仿宋" w:hAnsi="仿宋" w:eastAsia="仿宋" w:cs="仿宋"/>
          <w:color w:val="auto"/>
          <w:sz w:val="21"/>
          <w:szCs w:val="21"/>
          <w:lang w:eastAsia="zh-CN"/>
        </w:rPr>
        <w:t>项目</w:t>
      </w:r>
    </w:p>
    <w:p>
      <w:pPr>
        <w:snapToGrid w:val="0"/>
        <w:spacing w:line="360" w:lineRule="auto"/>
        <w:ind w:firstLine="422" w:firstLineChars="200"/>
        <w:jc w:val="left"/>
        <w:rPr>
          <w:rFonts w:hint="eastAsia" w:ascii="仿宋" w:hAnsi="仿宋" w:eastAsia="仿宋" w:cs="仿宋"/>
          <w:b/>
          <w:color w:val="auto"/>
          <w:sz w:val="21"/>
          <w:szCs w:val="21"/>
        </w:rPr>
      </w:pPr>
      <w:r>
        <w:rPr>
          <w:rFonts w:hint="eastAsia" w:ascii="仿宋" w:hAnsi="仿宋" w:eastAsia="仿宋" w:cs="仿宋"/>
          <w:b/>
          <w:color w:val="auto"/>
          <w:sz w:val="21"/>
          <w:szCs w:val="21"/>
        </w:rPr>
        <w:t>三、供应商资格要求：</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1.供应商必须符合《中华人民共和国政府采购法》第二十二条要求；</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2.供应商应是在中华人民共和国境内注册取得营业执照的独立法人或其他组织，具有相应经营范围；</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3.营业执照副本（复印件）；</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4.法人代表身份证（正、反面复印件）；</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5.法人授权函（原件）及被授权人身份证（正、反面复印件）；</w:t>
      </w:r>
    </w:p>
    <w:p>
      <w:pPr>
        <w:spacing w:line="240" w:lineRule="auto"/>
        <w:ind w:firstLine="420" w:firstLineChars="20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6.有良好的商业信誉和健全的财务会计制度，会计师事务所出具的审计的完整的财务报告（复印件）</w:t>
      </w:r>
      <w:r>
        <w:rPr>
          <w:rFonts w:hint="eastAsia" w:ascii="仿宋" w:hAnsi="仿宋" w:eastAsia="仿宋" w:cs="仿宋"/>
          <w:color w:val="auto"/>
          <w:sz w:val="21"/>
          <w:szCs w:val="21"/>
          <w:lang w:val="en-US" w:eastAsia="zh-CN"/>
        </w:rPr>
        <w:t>或银行资信证明。</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7.提供本项目采购活动前三年内在经营活动中没有重大违法记录的书面声明(必须为公告发布之日至投标截止时间内出具的原件，原件装订于投标文件内)；</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8.供应商需提供须为未被列入“信用中国”网站记录失信被执行人或重大税收违法案件当事人名单或政府采购严重违法失信行为记录名单；未被列入“信用</w:t>
      </w:r>
      <w:r>
        <w:rPr>
          <w:rFonts w:hint="eastAsia" w:ascii="仿宋" w:hAnsi="仿宋" w:eastAsia="仿宋" w:cs="仿宋"/>
          <w:color w:val="auto"/>
          <w:sz w:val="21"/>
          <w:szCs w:val="21"/>
          <w:lang w:val="en-US" w:eastAsia="zh-CN"/>
        </w:rPr>
        <w:t>中国</w:t>
      </w:r>
      <w:r>
        <w:rPr>
          <w:rFonts w:hint="eastAsia" w:ascii="仿宋" w:hAnsi="仿宋" w:eastAsia="仿宋" w:cs="仿宋"/>
          <w:color w:val="auto"/>
          <w:sz w:val="21"/>
          <w:szCs w:val="21"/>
        </w:rPr>
        <w:t>”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https://www.creditchina.gov.cn/),中国政府采购网（www.ccgp.gov.cn)。</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9.以上条款为</w:t>
      </w:r>
      <w:r>
        <w:rPr>
          <w:rFonts w:hint="eastAsia" w:ascii="仿宋" w:hAnsi="仿宋" w:eastAsia="仿宋" w:cs="仿宋"/>
          <w:color w:val="auto"/>
          <w:sz w:val="21"/>
          <w:szCs w:val="21"/>
          <w:lang w:val="en-US" w:eastAsia="zh-CN"/>
        </w:rPr>
        <w:t>本</w:t>
      </w:r>
      <w:r>
        <w:rPr>
          <w:rFonts w:hint="eastAsia" w:ascii="仿宋" w:hAnsi="仿宋" w:eastAsia="仿宋" w:cs="仿宋"/>
          <w:color w:val="auto"/>
          <w:sz w:val="21"/>
          <w:szCs w:val="21"/>
        </w:rPr>
        <w:t>项目必须提供的文件，其中证书必须在有效期内(三证合一的不提供第4、5）项)，上述所有条款中的复印件必须加盖供应商公章。若法定代表人参加,须提供第4项，若法人授权人参加,须提供第4项和第5项。未按上述要求制作</w:t>
      </w:r>
      <w:r>
        <w:rPr>
          <w:rFonts w:hint="eastAsia" w:ascii="仿宋" w:hAnsi="仿宋" w:eastAsia="仿宋" w:cs="仿宋"/>
          <w:color w:val="auto"/>
          <w:sz w:val="21"/>
          <w:szCs w:val="21"/>
          <w:lang w:val="en-US" w:eastAsia="zh-CN"/>
        </w:rPr>
        <w:t>磋商</w:t>
      </w:r>
      <w:r>
        <w:rPr>
          <w:rFonts w:hint="eastAsia" w:ascii="仿宋" w:hAnsi="仿宋" w:eastAsia="仿宋" w:cs="仿宋"/>
          <w:color w:val="auto"/>
          <w:sz w:val="21"/>
          <w:szCs w:val="21"/>
        </w:rPr>
        <w:t>响应性文件的，将视为无效投标。</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10.本项目不接受联合体竞价。</w:t>
      </w:r>
    </w:p>
    <w:p>
      <w:pPr>
        <w:spacing w:line="240" w:lineRule="auto"/>
        <w:ind w:firstLine="422" w:firstLineChars="200"/>
        <w:rPr>
          <w:rFonts w:hint="eastAsia" w:ascii="仿宋" w:hAnsi="仿宋" w:eastAsia="仿宋" w:cs="仿宋"/>
          <w:color w:val="auto"/>
          <w:sz w:val="21"/>
          <w:szCs w:val="21"/>
        </w:rPr>
      </w:pPr>
      <w:r>
        <w:rPr>
          <w:rFonts w:hint="eastAsia" w:ascii="仿宋" w:hAnsi="仿宋" w:eastAsia="仿宋" w:cs="仿宋"/>
          <w:b/>
          <w:bCs/>
          <w:color w:val="auto"/>
          <w:sz w:val="21"/>
          <w:szCs w:val="21"/>
          <w:lang w:val="en-US" w:eastAsia="zh-CN"/>
        </w:rPr>
        <w:t>四</w:t>
      </w:r>
      <w:r>
        <w:rPr>
          <w:rFonts w:hint="eastAsia" w:ascii="仿宋" w:hAnsi="仿宋" w:eastAsia="仿宋" w:cs="仿宋"/>
          <w:b/>
          <w:bCs/>
          <w:color w:val="auto"/>
          <w:sz w:val="21"/>
          <w:szCs w:val="21"/>
        </w:rPr>
        <w:t>、获取磋商文件的时间期限、地点、方式及招标文件获取</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磋商文件获取时间：202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日至 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19</w:t>
      </w:r>
      <w:r>
        <w:rPr>
          <w:rFonts w:hint="eastAsia" w:ascii="仿宋" w:hAnsi="仿宋" w:eastAsia="仿宋" w:cs="仿宋"/>
          <w:color w:val="auto"/>
          <w:sz w:val="21"/>
          <w:szCs w:val="21"/>
        </w:rPr>
        <w:t>日。</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获取方式及地点：网上自行获取：兰州职业技术学院官方网站（http:// http://www.lvu.edu.cn/）在线获得</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获磋商文件售价：免费</w:t>
      </w:r>
    </w:p>
    <w:p>
      <w:pPr>
        <w:spacing w:line="240" w:lineRule="auto"/>
        <w:ind w:firstLine="422" w:firstLineChars="200"/>
        <w:rPr>
          <w:rFonts w:hint="eastAsia" w:ascii="仿宋" w:hAnsi="仿宋" w:eastAsia="仿宋" w:cs="仿宋"/>
          <w:color w:val="auto"/>
          <w:sz w:val="21"/>
          <w:szCs w:val="21"/>
        </w:rPr>
      </w:pPr>
      <w:r>
        <w:rPr>
          <w:rFonts w:hint="eastAsia" w:ascii="仿宋" w:hAnsi="仿宋" w:eastAsia="仿宋" w:cs="仿宋"/>
          <w:b/>
          <w:bCs/>
          <w:color w:val="auto"/>
          <w:sz w:val="21"/>
          <w:szCs w:val="21"/>
        </w:rPr>
        <w:t>六、磋商截止时间、磋商时间及地点</w:t>
      </w:r>
      <w:r>
        <w:rPr>
          <w:rFonts w:hint="eastAsia" w:ascii="仿宋" w:hAnsi="仿宋" w:eastAsia="仿宋" w:cs="仿宋"/>
          <w:color w:val="auto"/>
          <w:sz w:val="21"/>
          <w:szCs w:val="21"/>
        </w:rPr>
        <w:t xml:space="preserve">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（一）磋商截止时间：202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19</w:t>
      </w:r>
      <w:r>
        <w:rPr>
          <w:rFonts w:hint="eastAsia" w:ascii="仿宋" w:hAnsi="仿宋" w:eastAsia="仿宋" w:cs="仿宋"/>
          <w:color w:val="auto"/>
          <w:sz w:val="21"/>
          <w:szCs w:val="21"/>
        </w:rPr>
        <w:t>日</w:t>
      </w:r>
      <w:r>
        <w:rPr>
          <w:rFonts w:hint="eastAsia" w:ascii="仿宋" w:hAnsi="仿宋" w:eastAsia="仿宋" w:cs="仿宋"/>
          <w:color w:val="auto"/>
          <w:sz w:val="21"/>
          <w:szCs w:val="21"/>
          <w:lang w:val="en-US" w:eastAsia="zh-CN"/>
        </w:rPr>
        <w:t>10</w:t>
      </w:r>
      <w:r>
        <w:rPr>
          <w:rFonts w:hint="eastAsia" w:ascii="仿宋" w:hAnsi="仿宋" w:eastAsia="仿宋" w:cs="仿宋"/>
          <w:color w:val="auto"/>
          <w:sz w:val="21"/>
          <w:szCs w:val="21"/>
        </w:rPr>
        <w:t>时</w:t>
      </w:r>
      <w:r>
        <w:rPr>
          <w:rFonts w:hint="eastAsia" w:ascii="仿宋" w:hAnsi="仿宋" w:eastAsia="仿宋" w:cs="仿宋"/>
          <w:color w:val="auto"/>
          <w:sz w:val="21"/>
          <w:szCs w:val="21"/>
          <w:lang w:val="en-US" w:eastAsia="zh-CN"/>
        </w:rPr>
        <w:t>00</w:t>
      </w:r>
      <w:r>
        <w:rPr>
          <w:rFonts w:hint="eastAsia" w:ascii="仿宋" w:hAnsi="仿宋" w:eastAsia="仿宋" w:cs="仿宋"/>
          <w:color w:val="auto"/>
          <w:sz w:val="21"/>
          <w:szCs w:val="21"/>
        </w:rPr>
        <w:t xml:space="preserve">分（北京时间）。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（二）磋商文件递交地点：兰州职业技术学院</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（三）磋商时间：202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19</w:t>
      </w:r>
      <w:r>
        <w:rPr>
          <w:rFonts w:hint="eastAsia" w:ascii="仿宋" w:hAnsi="仿宋" w:eastAsia="仿宋" w:cs="仿宋"/>
          <w:color w:val="auto"/>
          <w:sz w:val="21"/>
          <w:szCs w:val="21"/>
        </w:rPr>
        <w:t>日</w:t>
      </w:r>
      <w:r>
        <w:rPr>
          <w:rFonts w:hint="eastAsia" w:ascii="仿宋" w:hAnsi="仿宋" w:eastAsia="仿宋" w:cs="仿宋"/>
          <w:color w:val="auto"/>
          <w:sz w:val="21"/>
          <w:szCs w:val="21"/>
          <w:lang w:val="en-US" w:eastAsia="zh-CN"/>
        </w:rPr>
        <w:t>10</w:t>
      </w:r>
      <w:r>
        <w:rPr>
          <w:rFonts w:hint="eastAsia" w:ascii="仿宋" w:hAnsi="仿宋" w:eastAsia="仿宋" w:cs="仿宋"/>
          <w:color w:val="auto"/>
          <w:sz w:val="21"/>
          <w:szCs w:val="21"/>
        </w:rPr>
        <w:t>时</w:t>
      </w:r>
      <w:r>
        <w:rPr>
          <w:rFonts w:hint="eastAsia" w:ascii="仿宋" w:hAnsi="仿宋" w:eastAsia="仿宋" w:cs="仿宋"/>
          <w:color w:val="auto"/>
          <w:sz w:val="21"/>
          <w:szCs w:val="21"/>
          <w:lang w:val="en-US" w:eastAsia="zh-CN"/>
        </w:rPr>
        <w:t>00</w:t>
      </w:r>
      <w:r>
        <w:rPr>
          <w:rFonts w:hint="eastAsia" w:ascii="仿宋" w:hAnsi="仿宋" w:eastAsia="仿宋" w:cs="仿宋"/>
          <w:color w:val="auto"/>
          <w:sz w:val="21"/>
          <w:szCs w:val="21"/>
        </w:rPr>
        <w:t xml:space="preserve">分（北京时间）。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（四）磋商地点：兰州职业技术学院综合楼</w:t>
      </w:r>
      <w:r>
        <w:rPr>
          <w:rFonts w:hint="eastAsia" w:ascii="仿宋" w:hAnsi="仿宋" w:eastAsia="仿宋" w:cs="仿宋"/>
          <w:color w:val="auto"/>
          <w:sz w:val="21"/>
          <w:szCs w:val="21"/>
          <w:lang w:val="en-US" w:eastAsia="zh-CN"/>
        </w:rPr>
        <w:t>614</w:t>
      </w:r>
      <w:r>
        <w:rPr>
          <w:rFonts w:hint="eastAsia" w:ascii="仿宋" w:hAnsi="仿宋" w:eastAsia="仿宋" w:cs="仿宋"/>
          <w:color w:val="auto"/>
          <w:sz w:val="21"/>
          <w:szCs w:val="21"/>
        </w:rPr>
        <w:t>会议室</w:t>
      </w:r>
    </w:p>
    <w:p>
      <w:pPr>
        <w:spacing w:line="24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 xml:space="preserve">七、联系方式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采 购 人：兰州职业技术学院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联 系 人：</w:t>
      </w:r>
      <w:r>
        <w:rPr>
          <w:rFonts w:hint="eastAsia" w:ascii="仿宋" w:hAnsi="仿宋" w:eastAsia="仿宋" w:cs="仿宋"/>
          <w:color w:val="auto"/>
          <w:sz w:val="21"/>
          <w:szCs w:val="21"/>
          <w:lang w:val="en-US" w:eastAsia="zh-CN"/>
        </w:rPr>
        <w:t>吴</w:t>
      </w:r>
      <w:r>
        <w:rPr>
          <w:rFonts w:hint="eastAsia" w:ascii="仿宋" w:hAnsi="仿宋" w:eastAsia="仿宋" w:cs="仿宋"/>
          <w:color w:val="auto"/>
          <w:sz w:val="21"/>
          <w:szCs w:val="21"/>
        </w:rPr>
        <w:t xml:space="preserve">老师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联系地址：兰州市安宁区刘沙公路37号</w:t>
      </w:r>
    </w:p>
    <w:p>
      <w:pPr>
        <w:spacing w:line="240" w:lineRule="auto"/>
        <w:ind w:firstLine="420" w:firstLineChars="200"/>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联系电话：</w:t>
      </w:r>
      <w:r>
        <w:rPr>
          <w:rFonts w:hint="eastAsia" w:ascii="仿宋" w:hAnsi="仿宋" w:eastAsia="仿宋" w:cs="仿宋"/>
          <w:color w:val="auto"/>
          <w:sz w:val="21"/>
          <w:szCs w:val="21"/>
          <w:lang w:val="en-US" w:eastAsia="zh-CN"/>
        </w:rPr>
        <w:t>0931-7619761</w:t>
      </w:r>
    </w:p>
    <w:p>
      <w:pPr>
        <w:spacing w:line="240" w:lineRule="auto"/>
        <w:jc w:val="right"/>
        <w:rPr>
          <w:rFonts w:hint="eastAsia" w:ascii="仿宋" w:hAnsi="仿宋" w:eastAsia="仿宋" w:cs="仿宋"/>
          <w:color w:val="auto"/>
          <w:sz w:val="21"/>
          <w:szCs w:val="21"/>
        </w:rPr>
      </w:pPr>
    </w:p>
    <w:p>
      <w:pPr>
        <w:spacing w:line="240" w:lineRule="auto"/>
        <w:jc w:val="right"/>
        <w:rPr>
          <w:rFonts w:hint="eastAsia" w:ascii="仿宋" w:hAnsi="仿宋" w:eastAsia="仿宋" w:cs="仿宋"/>
          <w:color w:val="auto"/>
          <w:sz w:val="21"/>
          <w:szCs w:val="21"/>
        </w:rPr>
      </w:pPr>
      <w:r>
        <w:rPr>
          <w:rFonts w:hint="eastAsia" w:ascii="仿宋" w:hAnsi="仿宋" w:eastAsia="仿宋" w:cs="仿宋"/>
          <w:color w:val="auto"/>
          <w:sz w:val="21"/>
          <w:szCs w:val="21"/>
        </w:rPr>
        <w:t xml:space="preserve">兰州职业技术学院                                           </w:t>
      </w:r>
    </w:p>
    <w:p>
      <w:pPr>
        <w:spacing w:line="240" w:lineRule="auto"/>
        <w:jc w:val="right"/>
        <w:rPr>
          <w:rFonts w:hint="eastAsia" w:ascii="仿宋" w:hAnsi="仿宋" w:eastAsia="仿宋" w:cs="仿宋"/>
          <w:color w:val="auto"/>
          <w:sz w:val="21"/>
          <w:szCs w:val="21"/>
        </w:rPr>
      </w:pPr>
      <w:r>
        <w:rPr>
          <w:rFonts w:hint="eastAsia" w:ascii="仿宋" w:hAnsi="仿宋" w:eastAsia="仿宋" w:cs="仿宋"/>
          <w:color w:val="auto"/>
          <w:sz w:val="21"/>
          <w:szCs w:val="21"/>
        </w:rPr>
        <w:t>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 xml:space="preserve">日 </w:t>
      </w:r>
    </w:p>
    <w:p>
      <w:pPr>
        <w:spacing w:line="360" w:lineRule="auto"/>
        <w:rPr>
          <w:rFonts w:hint="eastAsia" w:ascii="仿宋" w:hAnsi="仿宋" w:eastAsia="仿宋" w:cs="仿宋"/>
          <w:color w:val="auto"/>
          <w:sz w:val="24"/>
        </w:rPr>
      </w:pPr>
    </w:p>
    <w:p>
      <w:pPr>
        <w:pStyle w:val="4"/>
        <w:ind w:left="0" w:leftChars="0" w:firstLine="0" w:firstLineChars="0"/>
        <w:rPr>
          <w:rFonts w:hint="eastAsia" w:ascii="仿宋" w:hAnsi="仿宋" w:eastAsia="仿宋" w:cs="仿宋"/>
          <w:bCs/>
          <w:color w:val="auto"/>
        </w:rPr>
      </w:pPr>
      <w:bookmarkStart w:id="11" w:name="_Toc361769629"/>
      <w:bookmarkStart w:id="12" w:name="_Toc361769763"/>
    </w:p>
    <w:p>
      <w:pPr>
        <w:pStyle w:val="4"/>
        <w:ind w:left="0" w:leftChars="0" w:firstLine="0" w:firstLineChars="0"/>
        <w:rPr>
          <w:rFonts w:hint="eastAsia" w:ascii="仿宋" w:hAnsi="仿宋" w:eastAsia="仿宋" w:cs="仿宋"/>
          <w:bCs/>
          <w:color w:val="auto"/>
        </w:rPr>
      </w:pPr>
    </w:p>
    <w:p>
      <w:pPr>
        <w:pStyle w:val="4"/>
        <w:ind w:left="0" w:leftChars="0" w:firstLine="0" w:firstLineChars="0"/>
        <w:rPr>
          <w:rFonts w:hint="eastAsia" w:ascii="仿宋" w:hAnsi="仿宋" w:eastAsia="仿宋" w:cs="仿宋"/>
          <w:bCs/>
          <w:color w:val="auto"/>
        </w:rPr>
      </w:pPr>
    </w:p>
    <w:p>
      <w:pPr>
        <w:rPr>
          <w:rFonts w:hint="eastAsia" w:ascii="仿宋" w:hAnsi="仿宋" w:eastAsia="仿宋" w:cs="仿宋"/>
          <w:bCs w:val="0"/>
          <w:color w:val="auto"/>
        </w:rPr>
      </w:pPr>
    </w:p>
    <w:p>
      <w:pPr>
        <w:pStyle w:val="31"/>
        <w:rPr>
          <w:rFonts w:hint="eastAsia" w:ascii="仿宋" w:hAnsi="仿宋" w:eastAsia="仿宋" w:cs="仿宋"/>
          <w:bCs w:val="0"/>
          <w:color w:val="auto"/>
        </w:rPr>
      </w:pPr>
    </w:p>
    <w:p>
      <w:pPr>
        <w:rPr>
          <w:rFonts w:hint="eastAsia" w:ascii="仿宋" w:hAnsi="仿宋" w:eastAsia="仿宋" w:cs="仿宋"/>
          <w:bCs w:val="0"/>
          <w:color w:val="auto"/>
        </w:rPr>
      </w:pPr>
    </w:p>
    <w:p>
      <w:pPr>
        <w:pStyle w:val="15"/>
        <w:rPr>
          <w:rFonts w:hint="eastAsia" w:ascii="仿宋" w:hAnsi="仿宋" w:eastAsia="仿宋" w:cs="仿宋"/>
          <w:bCs w:val="0"/>
          <w:color w:val="auto"/>
        </w:rPr>
      </w:pPr>
    </w:p>
    <w:p>
      <w:pPr>
        <w:pStyle w:val="15"/>
        <w:rPr>
          <w:rFonts w:hint="eastAsia" w:ascii="仿宋" w:hAnsi="仿宋" w:eastAsia="仿宋" w:cs="仿宋"/>
          <w:bCs w:val="0"/>
          <w:color w:val="auto"/>
        </w:rPr>
      </w:pPr>
    </w:p>
    <w:p>
      <w:pPr>
        <w:pStyle w:val="15"/>
        <w:rPr>
          <w:rFonts w:hint="eastAsia" w:ascii="仿宋" w:hAnsi="仿宋" w:eastAsia="仿宋" w:cs="仿宋"/>
          <w:bCs w:val="0"/>
          <w:color w:val="auto"/>
        </w:rPr>
      </w:pPr>
    </w:p>
    <w:p>
      <w:pPr>
        <w:pStyle w:val="15"/>
        <w:rPr>
          <w:rFonts w:hint="eastAsia" w:ascii="仿宋" w:hAnsi="仿宋" w:eastAsia="仿宋" w:cs="仿宋"/>
          <w:bCs w:val="0"/>
          <w:color w:val="auto"/>
        </w:rPr>
      </w:pPr>
    </w:p>
    <w:p>
      <w:pPr>
        <w:pStyle w:val="15"/>
        <w:rPr>
          <w:rFonts w:hint="eastAsia" w:ascii="仿宋" w:hAnsi="仿宋" w:eastAsia="仿宋" w:cs="仿宋"/>
          <w:bCs w:val="0"/>
          <w:color w:val="auto"/>
        </w:rPr>
      </w:pPr>
    </w:p>
    <w:p>
      <w:pPr>
        <w:pStyle w:val="15"/>
        <w:rPr>
          <w:rFonts w:hint="eastAsia" w:ascii="仿宋" w:hAnsi="仿宋" w:eastAsia="仿宋" w:cs="仿宋"/>
          <w:bCs w:val="0"/>
          <w:color w:val="auto"/>
        </w:rPr>
      </w:pPr>
    </w:p>
    <w:p>
      <w:pPr>
        <w:pStyle w:val="15"/>
        <w:rPr>
          <w:rFonts w:hint="eastAsia" w:ascii="仿宋" w:hAnsi="仿宋" w:eastAsia="仿宋" w:cs="仿宋"/>
          <w:bCs w:val="0"/>
          <w:color w:val="auto"/>
        </w:rPr>
      </w:pPr>
    </w:p>
    <w:p>
      <w:pPr>
        <w:pStyle w:val="15"/>
        <w:rPr>
          <w:rFonts w:hint="eastAsia" w:ascii="仿宋" w:hAnsi="仿宋" w:eastAsia="仿宋" w:cs="仿宋"/>
          <w:bCs w:val="0"/>
          <w:color w:val="auto"/>
        </w:rPr>
      </w:pPr>
    </w:p>
    <w:p>
      <w:pPr>
        <w:pStyle w:val="15"/>
        <w:rPr>
          <w:rFonts w:hint="eastAsia" w:ascii="仿宋" w:hAnsi="仿宋" w:eastAsia="仿宋" w:cs="仿宋"/>
          <w:bCs w:val="0"/>
          <w:color w:val="auto"/>
        </w:rPr>
      </w:pPr>
    </w:p>
    <w:p>
      <w:pPr>
        <w:pStyle w:val="15"/>
        <w:rPr>
          <w:rFonts w:hint="eastAsia" w:ascii="仿宋" w:hAnsi="仿宋" w:eastAsia="仿宋" w:cs="仿宋"/>
          <w:bCs w:val="0"/>
          <w:color w:val="auto"/>
        </w:rPr>
      </w:pPr>
    </w:p>
    <w:p>
      <w:pPr>
        <w:pStyle w:val="31"/>
        <w:rPr>
          <w:rFonts w:hint="eastAsia" w:ascii="仿宋" w:hAnsi="仿宋" w:eastAsia="仿宋" w:cs="仿宋"/>
          <w:bCs w:val="0"/>
          <w:color w:val="auto"/>
        </w:rPr>
      </w:pPr>
    </w:p>
    <w:p>
      <w:pPr>
        <w:rPr>
          <w:rFonts w:hint="eastAsia" w:ascii="仿宋" w:hAnsi="仿宋" w:eastAsia="仿宋" w:cs="仿宋"/>
          <w:bCs w:val="0"/>
          <w:color w:val="auto"/>
        </w:rPr>
      </w:pPr>
    </w:p>
    <w:p>
      <w:pPr>
        <w:pStyle w:val="31"/>
        <w:rPr>
          <w:rFonts w:hint="eastAsia" w:ascii="仿宋" w:hAnsi="仿宋" w:eastAsia="仿宋" w:cs="仿宋"/>
          <w:color w:val="auto"/>
        </w:rPr>
      </w:pPr>
    </w:p>
    <w:p>
      <w:pPr>
        <w:pStyle w:val="2"/>
        <w:spacing w:line="360" w:lineRule="auto"/>
        <w:jc w:val="center"/>
        <w:rPr>
          <w:rFonts w:hint="eastAsia" w:ascii="仿宋" w:hAnsi="仿宋" w:eastAsia="仿宋" w:cs="仿宋"/>
          <w:bCs w:val="0"/>
          <w:color w:val="auto"/>
          <w:sz w:val="36"/>
          <w:szCs w:val="36"/>
        </w:rPr>
      </w:pPr>
      <w:bookmarkStart w:id="13" w:name="_Toc13778"/>
      <w:r>
        <w:rPr>
          <w:rFonts w:hint="eastAsia" w:ascii="仿宋" w:hAnsi="仿宋" w:eastAsia="仿宋" w:cs="仿宋"/>
          <w:bCs w:val="0"/>
          <w:color w:val="auto"/>
          <w:sz w:val="36"/>
          <w:szCs w:val="36"/>
        </w:rPr>
        <w:t>第二部分  供应商须知</w:t>
      </w:r>
      <w:bookmarkEnd w:id="11"/>
      <w:bookmarkEnd w:id="12"/>
      <w:bookmarkEnd w:id="13"/>
    </w:p>
    <w:p>
      <w:pPr>
        <w:pStyle w:val="19"/>
        <w:spacing w:line="360" w:lineRule="auto"/>
        <w:jc w:val="center"/>
        <w:rPr>
          <w:rFonts w:hint="eastAsia" w:ascii="仿宋" w:hAnsi="仿宋" w:eastAsia="仿宋" w:cs="仿宋"/>
          <w:b/>
          <w:bCs/>
          <w:color w:val="auto"/>
          <w:sz w:val="32"/>
          <w:szCs w:val="32"/>
        </w:rPr>
      </w:pPr>
      <w:bookmarkStart w:id="14" w:name="_Toc361769764"/>
      <w:bookmarkStart w:id="15" w:name="_Toc361769630"/>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pStyle w:val="19"/>
        <w:spacing w:line="360" w:lineRule="auto"/>
        <w:jc w:val="center"/>
        <w:rPr>
          <w:rFonts w:hint="eastAsia" w:ascii="仿宋" w:hAnsi="仿宋" w:eastAsia="仿宋" w:cs="仿宋"/>
          <w:b/>
          <w:bCs/>
          <w:color w:val="auto"/>
          <w:sz w:val="32"/>
          <w:szCs w:val="32"/>
        </w:rPr>
      </w:pPr>
    </w:p>
    <w:p>
      <w:pPr>
        <w:rPr>
          <w:rFonts w:hint="eastAsia" w:ascii="仿宋" w:hAnsi="仿宋" w:eastAsia="仿宋" w:cs="仿宋"/>
          <w:b/>
          <w:bCs/>
          <w:color w:val="auto"/>
          <w:sz w:val="32"/>
          <w:szCs w:val="32"/>
        </w:rPr>
      </w:pPr>
    </w:p>
    <w:p>
      <w:pPr>
        <w:pStyle w:val="36"/>
        <w:ind w:firstLine="321"/>
        <w:rPr>
          <w:rFonts w:hint="eastAsia" w:ascii="仿宋" w:hAnsi="仿宋" w:eastAsia="仿宋" w:cs="仿宋"/>
          <w:b/>
          <w:bCs/>
          <w:color w:val="auto"/>
          <w:sz w:val="32"/>
          <w:szCs w:val="32"/>
        </w:rPr>
      </w:pPr>
    </w:p>
    <w:p>
      <w:pPr>
        <w:pStyle w:val="36"/>
        <w:ind w:firstLine="321"/>
        <w:rPr>
          <w:rFonts w:hint="eastAsia" w:ascii="仿宋" w:hAnsi="仿宋" w:eastAsia="仿宋" w:cs="仿宋"/>
          <w:b/>
          <w:bCs/>
          <w:color w:val="auto"/>
          <w:sz w:val="32"/>
          <w:szCs w:val="32"/>
        </w:rPr>
      </w:pPr>
    </w:p>
    <w:p>
      <w:pPr>
        <w:pStyle w:val="36"/>
        <w:ind w:firstLine="321"/>
        <w:rPr>
          <w:rFonts w:hint="eastAsia" w:ascii="仿宋" w:hAnsi="仿宋" w:eastAsia="仿宋" w:cs="仿宋"/>
          <w:b/>
          <w:bCs/>
          <w:color w:val="auto"/>
          <w:sz w:val="32"/>
          <w:szCs w:val="32"/>
        </w:rPr>
      </w:pPr>
    </w:p>
    <w:p>
      <w:pPr>
        <w:pStyle w:val="36"/>
        <w:ind w:firstLine="321"/>
        <w:rPr>
          <w:rFonts w:hint="eastAsia" w:ascii="仿宋" w:hAnsi="仿宋" w:eastAsia="仿宋" w:cs="仿宋"/>
          <w:b/>
          <w:bCs/>
          <w:color w:val="auto"/>
          <w:sz w:val="32"/>
          <w:szCs w:val="32"/>
        </w:rPr>
      </w:pPr>
    </w:p>
    <w:p>
      <w:pPr>
        <w:pStyle w:val="2"/>
        <w:snapToGrid w:val="0"/>
        <w:spacing w:line="360" w:lineRule="auto"/>
        <w:ind w:left="420" w:leftChars="200"/>
        <w:jc w:val="center"/>
        <w:rPr>
          <w:rFonts w:hint="eastAsia" w:ascii="仿宋" w:hAnsi="仿宋" w:eastAsia="仿宋" w:cs="仿宋"/>
          <w:b/>
          <w:bCs w:val="0"/>
          <w:color w:val="auto"/>
          <w:w w:val="95"/>
          <w:kern w:val="2"/>
          <w:sz w:val="28"/>
          <w:szCs w:val="28"/>
          <w:lang w:val="en-US" w:eastAsia="zh-CN" w:bidi="ar-SA"/>
        </w:rPr>
      </w:pPr>
      <w:bookmarkStart w:id="16" w:name="_Toc14913"/>
      <w:bookmarkStart w:id="17" w:name="_Toc17640"/>
      <w:bookmarkStart w:id="18" w:name="_Toc24202"/>
      <w:r>
        <w:rPr>
          <w:rFonts w:hint="eastAsia" w:ascii="仿宋" w:hAnsi="仿宋" w:eastAsia="仿宋" w:cs="仿宋"/>
          <w:b/>
          <w:bCs w:val="0"/>
          <w:color w:val="auto"/>
          <w:w w:val="95"/>
          <w:kern w:val="2"/>
          <w:sz w:val="28"/>
          <w:szCs w:val="28"/>
          <w:lang w:val="en-US" w:eastAsia="zh-CN" w:bidi="ar-SA"/>
        </w:rPr>
        <w:t>一、</w:t>
      </w:r>
      <w:bookmarkEnd w:id="14"/>
      <w:bookmarkEnd w:id="15"/>
      <w:bookmarkEnd w:id="16"/>
      <w:bookmarkEnd w:id="17"/>
      <w:r>
        <w:rPr>
          <w:rFonts w:hint="eastAsia" w:ascii="仿宋" w:hAnsi="仿宋" w:eastAsia="仿宋" w:cs="仿宋"/>
          <w:b/>
          <w:bCs w:val="0"/>
          <w:color w:val="auto"/>
          <w:w w:val="95"/>
          <w:kern w:val="2"/>
          <w:sz w:val="28"/>
          <w:szCs w:val="28"/>
          <w:lang w:val="en-US" w:eastAsia="zh-CN" w:bidi="ar-SA"/>
        </w:rPr>
        <w:t>供应商须知资料表</w:t>
      </w:r>
      <w:bookmarkEnd w:id="18"/>
    </w:p>
    <w:p>
      <w:pPr>
        <w:adjustRightInd w:val="0"/>
        <w:snapToGrid w:val="0"/>
        <w:spacing w:line="360" w:lineRule="auto"/>
        <w:rPr>
          <w:rFonts w:hint="eastAsia" w:ascii="仿宋" w:hAnsi="仿宋" w:eastAsia="仿宋" w:cs="仿宋"/>
          <w:b/>
          <w:bCs/>
          <w:color w:val="auto"/>
          <w:w w:val="95"/>
          <w:sz w:val="21"/>
          <w:szCs w:val="21"/>
        </w:rPr>
      </w:pPr>
      <w:r>
        <w:rPr>
          <w:rFonts w:hint="eastAsia" w:ascii="仿宋" w:hAnsi="仿宋" w:eastAsia="仿宋" w:cs="仿宋"/>
          <w:b/>
          <w:bCs/>
          <w:color w:val="auto"/>
          <w:sz w:val="21"/>
          <w:szCs w:val="21"/>
        </w:rPr>
        <w:t>本表关于本项目的服务的具体资料是对供应商须知的具体补充和修改。</w:t>
      </w:r>
    </w:p>
    <w:tbl>
      <w:tblPr>
        <w:tblStyle w:val="38"/>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项号</w:t>
            </w:r>
          </w:p>
        </w:tc>
        <w:tc>
          <w:tcPr>
            <w:tcW w:w="8507" w:type="dxa"/>
            <w:vAlign w:val="center"/>
          </w:tcPr>
          <w:p>
            <w:pPr>
              <w:pStyle w:val="19"/>
              <w:snapToGrid w:val="0"/>
              <w:spacing w:line="240" w:lineRule="auto"/>
              <w:jc w:val="center"/>
              <w:rPr>
                <w:rFonts w:hint="eastAsia" w:ascii="仿宋" w:hAnsi="仿宋" w:eastAsia="仿宋" w:cs="仿宋"/>
                <w:bCs/>
                <w:color w:val="auto"/>
                <w:szCs w:val="21"/>
                <w:lang w:bidi="ar"/>
              </w:rPr>
            </w:pPr>
            <w:r>
              <w:rPr>
                <w:rFonts w:hint="eastAsia" w:ascii="仿宋" w:hAnsi="仿宋" w:eastAsia="仿宋" w:cs="仿宋"/>
                <w:b/>
                <w:color w:val="auto"/>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19"/>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1</w:t>
            </w:r>
          </w:p>
        </w:tc>
        <w:tc>
          <w:tcPr>
            <w:tcW w:w="8507" w:type="dxa"/>
            <w:vAlign w:val="center"/>
          </w:tcPr>
          <w:p>
            <w:pPr>
              <w:pStyle w:val="19"/>
              <w:snapToGrid w:val="0"/>
              <w:spacing w:line="240" w:lineRule="auto"/>
              <w:ind w:firstLine="420" w:firstLineChars="200"/>
              <w:rPr>
                <w:rFonts w:hint="eastAsia" w:ascii="仿宋" w:hAnsi="仿宋" w:eastAsia="仿宋" w:cs="仿宋"/>
                <w:bCs/>
                <w:color w:val="auto"/>
                <w:szCs w:val="21"/>
                <w:lang w:eastAsia="zh-CN" w:bidi="ar"/>
              </w:rPr>
            </w:pPr>
            <w:r>
              <w:rPr>
                <w:rFonts w:hint="eastAsia" w:ascii="仿宋" w:hAnsi="仿宋" w:eastAsia="仿宋" w:cs="仿宋"/>
                <w:bCs/>
                <w:color w:val="auto"/>
                <w:szCs w:val="21"/>
                <w:lang w:bidi="ar"/>
              </w:rPr>
              <w:t>项目名称：</w:t>
            </w:r>
            <w:r>
              <w:rPr>
                <w:rFonts w:hint="eastAsia" w:ascii="仿宋" w:hAnsi="仿宋" w:eastAsia="仿宋" w:cs="仿宋"/>
                <w:color w:val="auto"/>
                <w:sz w:val="21"/>
                <w:szCs w:val="21"/>
                <w:lang w:eastAsia="zh-CN"/>
              </w:rPr>
              <w:t>兰州职业技术学院</w:t>
            </w:r>
            <w:r>
              <w:rPr>
                <w:rFonts w:hint="eastAsia" w:ascii="仿宋" w:hAnsi="仿宋" w:eastAsia="仿宋" w:cs="仿宋"/>
                <w:color w:val="auto"/>
                <w:sz w:val="21"/>
                <w:szCs w:val="21"/>
                <w:lang w:val="en-US" w:eastAsia="zh-CN"/>
              </w:rPr>
              <w:t>数据中台对接平台建设</w:t>
            </w:r>
            <w:r>
              <w:rPr>
                <w:rFonts w:hint="eastAsia" w:ascii="仿宋" w:hAnsi="仿宋" w:eastAsia="仿宋" w:cs="仿宋"/>
                <w:color w:val="auto"/>
                <w:sz w:val="21"/>
                <w:szCs w:val="21"/>
                <w:lang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19"/>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2</w:t>
            </w:r>
          </w:p>
        </w:tc>
        <w:tc>
          <w:tcPr>
            <w:tcW w:w="8507" w:type="dxa"/>
            <w:vAlign w:val="center"/>
          </w:tcPr>
          <w:p>
            <w:pPr>
              <w:pStyle w:val="19"/>
              <w:snapToGrid w:val="0"/>
              <w:spacing w:line="240" w:lineRule="auto"/>
              <w:ind w:firstLine="420" w:firstLineChars="200"/>
              <w:rPr>
                <w:rFonts w:hint="eastAsia" w:ascii="仿宋" w:hAnsi="仿宋" w:eastAsia="仿宋" w:cs="仿宋"/>
                <w:bCs/>
                <w:color w:val="auto"/>
                <w:szCs w:val="21"/>
                <w:lang w:val="en-US" w:eastAsia="zh-CN" w:bidi="ar"/>
              </w:rPr>
            </w:pPr>
            <w:r>
              <w:rPr>
                <w:rFonts w:hint="eastAsia" w:ascii="仿宋" w:hAnsi="仿宋" w:eastAsia="仿宋" w:cs="仿宋"/>
                <w:bCs/>
                <w:color w:val="auto"/>
                <w:szCs w:val="21"/>
                <w:lang w:bidi="ar"/>
              </w:rPr>
              <w:t>磋商内容：</w:t>
            </w:r>
            <w:r>
              <w:rPr>
                <w:rFonts w:hint="eastAsia" w:ascii="仿宋" w:hAnsi="仿宋" w:eastAsia="仿宋" w:cs="仿宋"/>
                <w:color w:val="auto"/>
                <w:sz w:val="21"/>
                <w:szCs w:val="21"/>
                <w:lang w:val="en-US" w:eastAsia="zh-CN"/>
              </w:rPr>
              <w:t>数据中台对接平台建设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19"/>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3</w:t>
            </w:r>
          </w:p>
        </w:tc>
        <w:tc>
          <w:tcPr>
            <w:tcW w:w="8507" w:type="dxa"/>
            <w:vAlign w:val="center"/>
          </w:tcPr>
          <w:p>
            <w:pPr>
              <w:numPr>
                <w:ilvl w:val="0"/>
                <w:numId w:val="0"/>
              </w:numPr>
              <w:snapToGrid w:val="0"/>
              <w:spacing w:line="360" w:lineRule="auto"/>
              <w:rPr>
                <w:rFonts w:hint="default" w:ascii="仿宋" w:hAnsi="仿宋" w:eastAsia="仿宋" w:cs="仿宋"/>
                <w:bCs/>
                <w:color w:val="auto"/>
                <w:szCs w:val="21"/>
                <w:lang w:val="en-US" w:eastAsia="zh-CN" w:bidi="ar"/>
              </w:rPr>
            </w:pPr>
            <w:r>
              <w:rPr>
                <w:rFonts w:hint="eastAsia" w:ascii="仿宋" w:hAnsi="仿宋" w:eastAsia="仿宋" w:cs="仿宋"/>
                <w:bCs/>
                <w:color w:val="auto"/>
                <w:szCs w:val="21"/>
                <w:lang w:val="en-US" w:eastAsia="zh-CN" w:bidi="ar"/>
              </w:rPr>
              <w:t xml:space="preserve">    服务期限：一年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19"/>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4</w:t>
            </w:r>
          </w:p>
        </w:tc>
        <w:tc>
          <w:tcPr>
            <w:tcW w:w="8507" w:type="dxa"/>
            <w:vAlign w:val="center"/>
          </w:tcPr>
          <w:p>
            <w:pPr>
              <w:pStyle w:val="19"/>
              <w:snapToGrid w:val="0"/>
              <w:spacing w:line="360" w:lineRule="auto"/>
              <w:ind w:firstLine="420" w:firstLineChars="200"/>
              <w:rPr>
                <w:rFonts w:hint="eastAsia" w:ascii="仿宋" w:hAnsi="仿宋" w:eastAsia="仿宋" w:cs="仿宋"/>
                <w:bCs/>
                <w:color w:val="auto"/>
                <w:szCs w:val="21"/>
                <w:lang w:bidi="ar"/>
              </w:rPr>
            </w:pPr>
            <w:r>
              <w:rPr>
                <w:rFonts w:hint="eastAsia" w:ascii="仿宋" w:hAnsi="仿宋" w:eastAsia="仿宋" w:cs="仿宋"/>
                <w:bCs/>
                <w:color w:val="auto"/>
                <w:szCs w:val="21"/>
                <w:lang w:bidi="ar"/>
              </w:rPr>
              <w:t>投标报价：按原国家计委《招标代理服务收费管理暂行办法》（[2002]1980号）；报下浮率。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5</w:t>
            </w:r>
          </w:p>
        </w:tc>
        <w:tc>
          <w:tcPr>
            <w:tcW w:w="8507" w:type="dxa"/>
            <w:vAlign w:val="center"/>
          </w:tcPr>
          <w:p>
            <w:pPr>
              <w:pStyle w:val="19"/>
              <w:snapToGrid w:val="0"/>
              <w:spacing w:line="360" w:lineRule="auto"/>
              <w:ind w:firstLine="420" w:firstLineChars="200"/>
              <w:rPr>
                <w:rFonts w:hint="eastAsia" w:ascii="仿宋" w:hAnsi="仿宋" w:eastAsia="仿宋" w:cs="仿宋"/>
                <w:bCs/>
                <w:color w:val="auto"/>
                <w:szCs w:val="21"/>
                <w:lang w:bidi="ar"/>
              </w:rPr>
            </w:pPr>
            <w:r>
              <w:rPr>
                <w:rFonts w:hint="eastAsia" w:ascii="仿宋" w:hAnsi="仿宋" w:eastAsia="仿宋" w:cs="仿宋"/>
                <w:bCs/>
                <w:color w:val="auto"/>
                <w:szCs w:val="21"/>
                <w:lang w:bidi="ar"/>
              </w:rPr>
              <w:t>投标有效期：</w:t>
            </w:r>
            <w:r>
              <w:rPr>
                <w:rFonts w:hint="eastAsia" w:ascii="仿宋" w:hAnsi="仿宋" w:eastAsia="仿宋" w:cs="仿宋"/>
                <w:bCs/>
                <w:color w:val="auto"/>
                <w:szCs w:val="21"/>
                <w:u w:val="single"/>
                <w:lang w:bidi="ar"/>
              </w:rPr>
              <w:t xml:space="preserve">90 </w:t>
            </w:r>
            <w:r>
              <w:rPr>
                <w:rFonts w:hint="eastAsia" w:ascii="仿宋" w:hAnsi="仿宋" w:eastAsia="仿宋" w:cs="仿宋"/>
                <w:bCs/>
                <w:color w:val="auto"/>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19"/>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6</w:t>
            </w:r>
          </w:p>
        </w:tc>
        <w:tc>
          <w:tcPr>
            <w:tcW w:w="8507" w:type="dxa"/>
            <w:vAlign w:val="center"/>
          </w:tcPr>
          <w:p>
            <w:pPr>
              <w:pStyle w:val="19"/>
              <w:snapToGrid w:val="0"/>
              <w:spacing w:line="240" w:lineRule="auto"/>
              <w:ind w:firstLine="420" w:firstLineChars="200"/>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供应商资格要求：</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1.供应商必须符合《中华人民共和国政府采购法》第二十二条要求；</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2.供应商应是在中华人民共和国境内注册取得营业执照的独立法人或其他组织，具有相应经营范围；</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3.营业执照副本（复印件）；</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4.法人代表身份证（正、反面复印件）；</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5.法人授权函（原件）及被授权人身份证（正、反面复印件）；</w:t>
            </w:r>
          </w:p>
          <w:p>
            <w:pPr>
              <w:ind w:firstLine="420" w:firstLineChars="200"/>
              <w:jc w:val="left"/>
              <w:rPr>
                <w:rFonts w:hint="default"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6.资格承诺函</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8.本项目不接受联合体竞价。</w:t>
            </w:r>
          </w:p>
          <w:p>
            <w:pPr>
              <w:spacing w:line="240" w:lineRule="auto"/>
              <w:ind w:firstLine="420" w:firstLineChars="200"/>
              <w:rPr>
                <w:rFonts w:hint="eastAsia" w:ascii="仿宋" w:hAnsi="仿宋" w:eastAsia="仿宋" w:cs="仿宋"/>
                <w:bCs/>
                <w:color w:val="auto"/>
                <w:szCs w:val="21"/>
                <w:lang w:bidi="ar"/>
              </w:rPr>
            </w:pPr>
            <w:r>
              <w:rPr>
                <w:rFonts w:hint="eastAsia" w:ascii="仿宋" w:hAnsi="仿宋" w:eastAsia="仿宋" w:cs="仿宋"/>
                <w:color w:val="auto"/>
                <w:kern w:val="2"/>
                <w:sz w:val="21"/>
                <w:szCs w:val="21"/>
                <w:lang w:val="en-US" w:eastAsia="zh-CN" w:bidi="ar-SA"/>
              </w:rPr>
              <w:t>以上条款为本项目必须提供的文件，其中证书必须在有效期内(三证合一的不提供第4、5）项)，上述所有条款中的复印件必须加盖供</w:t>
            </w:r>
            <w:r>
              <w:rPr>
                <w:rFonts w:hint="eastAsia" w:ascii="仿宋" w:hAnsi="仿宋" w:eastAsia="仿宋" w:cs="仿宋"/>
                <w:color w:val="auto"/>
                <w:szCs w:val="21"/>
              </w:rPr>
              <w:t>应商公章。若法定代表人参加,须提供第4项，若法人授权人参加,须提供第4项和第5项。未按上述要求制作响应性文件的，将视为无效投标</w:t>
            </w:r>
            <w:r>
              <w:rPr>
                <w:rFonts w:hint="eastAsia" w:ascii="仿宋" w:hAnsi="仿宋" w:eastAsia="仿宋" w:cs="仿宋"/>
                <w:bCs/>
                <w:color w:val="auto"/>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240" w:lineRule="auto"/>
              <w:jc w:val="center"/>
              <w:rPr>
                <w:rFonts w:hint="eastAsia" w:ascii="仿宋" w:hAnsi="仿宋" w:eastAsia="仿宋" w:cs="仿宋"/>
                <w:b/>
                <w:color w:val="auto"/>
                <w:szCs w:val="21"/>
                <w:lang w:eastAsia="zh-CN" w:bidi="ar"/>
              </w:rPr>
            </w:pPr>
            <w:r>
              <w:rPr>
                <w:rFonts w:hint="eastAsia" w:ascii="仿宋" w:hAnsi="仿宋" w:eastAsia="仿宋" w:cs="仿宋"/>
                <w:b/>
                <w:color w:val="auto"/>
                <w:szCs w:val="21"/>
                <w:lang w:val="en-US" w:eastAsia="zh-CN" w:bidi="ar"/>
              </w:rPr>
              <w:t>7</w:t>
            </w:r>
          </w:p>
        </w:tc>
        <w:tc>
          <w:tcPr>
            <w:tcW w:w="8507" w:type="dxa"/>
            <w:vAlign w:val="center"/>
          </w:tcPr>
          <w:p>
            <w:pPr>
              <w:pStyle w:val="19"/>
              <w:snapToGrid w:val="0"/>
              <w:spacing w:line="360" w:lineRule="auto"/>
              <w:rPr>
                <w:rFonts w:hint="eastAsia" w:ascii="仿宋" w:hAnsi="仿宋" w:eastAsia="仿宋" w:cs="仿宋"/>
                <w:bCs/>
                <w:color w:val="auto"/>
                <w:szCs w:val="21"/>
                <w:lang w:bidi="ar"/>
              </w:rPr>
            </w:pPr>
            <w:r>
              <w:rPr>
                <w:rFonts w:hint="eastAsia" w:ascii="仿宋" w:hAnsi="仿宋" w:eastAsia="仿宋" w:cs="仿宋"/>
                <w:bCs/>
                <w:color w:val="auto"/>
                <w:szCs w:val="21"/>
                <w:lang w:bidi="ar"/>
              </w:rPr>
              <w:t>磋商响应文件及电子版要求：</w:t>
            </w:r>
          </w:p>
          <w:p>
            <w:pPr>
              <w:pStyle w:val="19"/>
              <w:snapToGrid w:val="0"/>
              <w:spacing w:line="360" w:lineRule="auto"/>
              <w:ind w:firstLine="420" w:firstLineChars="200"/>
              <w:rPr>
                <w:rFonts w:hint="eastAsia" w:ascii="仿宋" w:hAnsi="仿宋" w:eastAsia="仿宋" w:cs="仿宋"/>
                <w:bCs/>
                <w:color w:val="auto"/>
                <w:szCs w:val="21"/>
                <w:lang w:bidi="ar"/>
              </w:rPr>
            </w:pPr>
            <w:r>
              <w:rPr>
                <w:rFonts w:hint="eastAsia" w:ascii="仿宋" w:hAnsi="仿宋" w:eastAsia="仿宋" w:cs="仿宋"/>
                <w:bCs/>
                <w:color w:val="auto"/>
                <w:szCs w:val="21"/>
                <w:lang w:val="zh-CN" w:bidi="ar"/>
              </w:rPr>
              <w:t>纸质文件</w:t>
            </w:r>
            <w:r>
              <w:rPr>
                <w:rFonts w:hint="eastAsia" w:ascii="仿宋" w:hAnsi="仿宋" w:eastAsia="仿宋" w:cs="仿宋"/>
                <w:bCs/>
                <w:color w:val="auto"/>
                <w:szCs w:val="21"/>
                <w:lang w:bidi="ar"/>
              </w:rPr>
              <w:t>份数：正本一套、副本二套；</w:t>
            </w:r>
          </w:p>
          <w:p>
            <w:pPr>
              <w:pStyle w:val="19"/>
              <w:snapToGrid w:val="0"/>
              <w:spacing w:line="360" w:lineRule="auto"/>
              <w:ind w:firstLine="420" w:firstLineChars="200"/>
              <w:rPr>
                <w:rFonts w:hint="eastAsia" w:ascii="仿宋" w:hAnsi="仿宋" w:eastAsia="仿宋" w:cs="仿宋"/>
                <w:b/>
                <w:color w:val="auto"/>
                <w:szCs w:val="21"/>
                <w:lang w:bidi="ar"/>
              </w:rPr>
            </w:pPr>
            <w:r>
              <w:rPr>
                <w:rFonts w:hint="eastAsia" w:ascii="仿宋" w:hAnsi="仿宋" w:eastAsia="仿宋" w:cs="仿宋"/>
                <w:bCs/>
                <w:color w:val="auto"/>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19"/>
              <w:snapToGrid w:val="0"/>
              <w:spacing w:line="240" w:lineRule="auto"/>
              <w:jc w:val="center"/>
              <w:rPr>
                <w:rFonts w:hint="eastAsia" w:ascii="仿宋" w:hAnsi="仿宋" w:eastAsia="仿宋" w:cs="仿宋"/>
                <w:b/>
                <w:color w:val="auto"/>
                <w:szCs w:val="21"/>
                <w:lang w:eastAsia="zh-CN" w:bidi="ar"/>
              </w:rPr>
            </w:pPr>
            <w:r>
              <w:rPr>
                <w:rFonts w:hint="eastAsia" w:ascii="仿宋" w:hAnsi="仿宋" w:eastAsia="仿宋" w:cs="仿宋"/>
                <w:b/>
                <w:color w:val="auto"/>
                <w:szCs w:val="21"/>
                <w:lang w:val="en-US" w:eastAsia="zh-CN" w:bidi="ar"/>
              </w:rPr>
              <w:t>8</w:t>
            </w:r>
          </w:p>
        </w:tc>
        <w:tc>
          <w:tcPr>
            <w:tcW w:w="8507" w:type="dxa"/>
            <w:vAlign w:val="center"/>
          </w:tcPr>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lang w:val="zh-CN"/>
              </w:rPr>
              <w:t>供应商必须按照磋商文件的规定和要求签字、盖章（法人代表的签字可用具有法定效力的签字章）</w:t>
            </w:r>
            <w:r>
              <w:rPr>
                <w:rFonts w:hint="eastAsia" w:ascii="仿宋" w:hAnsi="仿宋" w:eastAsia="仿宋" w:cs="仿宋"/>
                <w:color w:val="auto"/>
                <w:szCs w:val="21"/>
              </w:rPr>
              <w:t>,未按规定签字盖章的</w:t>
            </w:r>
            <w:r>
              <w:rPr>
                <w:rFonts w:hint="eastAsia" w:ascii="仿宋" w:hAnsi="仿宋" w:eastAsia="仿宋" w:cs="仿宋"/>
                <w:color w:val="auto"/>
                <w:kern w:val="0"/>
                <w:szCs w:val="21"/>
                <w:lang w:val="zh-CN"/>
              </w:rPr>
              <w:t>，按</w:t>
            </w:r>
            <w:r>
              <w:rPr>
                <w:rFonts w:hint="eastAsia" w:ascii="仿宋" w:hAnsi="仿宋" w:eastAsia="仿宋" w:cs="仿宋"/>
                <w:color w:val="auto"/>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19"/>
              <w:snapToGrid w:val="0"/>
              <w:spacing w:line="240" w:lineRule="auto"/>
              <w:jc w:val="center"/>
              <w:rPr>
                <w:rFonts w:hint="eastAsia" w:ascii="仿宋" w:hAnsi="仿宋" w:eastAsia="仿宋" w:cs="仿宋"/>
                <w:b/>
                <w:color w:val="auto"/>
                <w:szCs w:val="21"/>
                <w:lang w:eastAsia="zh-CN" w:bidi="ar"/>
              </w:rPr>
            </w:pPr>
            <w:r>
              <w:rPr>
                <w:rFonts w:hint="eastAsia" w:ascii="仿宋" w:hAnsi="仿宋" w:eastAsia="仿宋" w:cs="仿宋"/>
                <w:b/>
                <w:color w:val="auto"/>
                <w:szCs w:val="21"/>
                <w:lang w:val="en-US" w:eastAsia="zh-CN" w:bidi="ar"/>
              </w:rPr>
              <w:t>9</w:t>
            </w:r>
          </w:p>
        </w:tc>
        <w:tc>
          <w:tcPr>
            <w:tcW w:w="8507" w:type="dxa"/>
            <w:vAlign w:val="center"/>
          </w:tcPr>
          <w:p>
            <w:pPr>
              <w:spacing w:line="240" w:lineRule="auto"/>
              <w:rPr>
                <w:rFonts w:hint="eastAsia" w:ascii="仿宋" w:hAnsi="仿宋" w:eastAsia="仿宋" w:cs="仿宋"/>
                <w:color w:val="auto"/>
                <w:szCs w:val="21"/>
              </w:rPr>
            </w:pPr>
            <w:r>
              <w:rPr>
                <w:rFonts w:hint="eastAsia" w:ascii="仿宋" w:hAnsi="仿宋" w:eastAsia="仿宋" w:cs="仿宋"/>
                <w:color w:val="auto"/>
                <w:szCs w:val="21"/>
              </w:rPr>
              <w:t>磋商文件澄清:</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供应商于202</w:t>
            </w:r>
            <w:r>
              <w:rPr>
                <w:rFonts w:hint="eastAsia" w:ascii="仿宋" w:hAnsi="仿宋" w:eastAsia="仿宋" w:cs="仿宋"/>
                <w:color w:val="auto"/>
                <w:szCs w:val="21"/>
                <w:lang w:val="en-US" w:eastAsia="zh-CN"/>
              </w:rPr>
              <w:t>3</w:t>
            </w:r>
            <w:r>
              <w:rPr>
                <w:rFonts w:hint="eastAsia" w:ascii="仿宋" w:hAnsi="仿宋" w:eastAsia="仿宋" w:cs="仿宋"/>
                <w:color w:val="auto"/>
                <w:szCs w:val="21"/>
              </w:rPr>
              <w:t>年</w:t>
            </w:r>
            <w:r>
              <w:rPr>
                <w:rFonts w:hint="eastAsia" w:ascii="仿宋" w:hAnsi="仿宋" w:eastAsia="仿宋" w:cs="仿宋"/>
                <w:color w:val="auto"/>
                <w:szCs w:val="21"/>
                <w:lang w:val="en-US" w:eastAsia="zh-CN"/>
              </w:rPr>
              <w:t>7</w:t>
            </w:r>
            <w:r>
              <w:rPr>
                <w:rFonts w:hint="eastAsia" w:ascii="仿宋" w:hAnsi="仿宋" w:eastAsia="仿宋" w:cs="仿宋"/>
                <w:color w:val="auto"/>
                <w:szCs w:val="21"/>
              </w:rPr>
              <w:t>月</w:t>
            </w:r>
            <w:r>
              <w:rPr>
                <w:rFonts w:hint="eastAsia" w:ascii="仿宋" w:hAnsi="仿宋" w:eastAsia="仿宋" w:cs="仿宋"/>
                <w:color w:val="auto"/>
                <w:szCs w:val="21"/>
                <w:lang w:val="en-US" w:eastAsia="zh-CN"/>
              </w:rPr>
              <w:t>15</w:t>
            </w:r>
            <w:r>
              <w:rPr>
                <w:rFonts w:hint="eastAsia" w:ascii="仿宋" w:hAnsi="仿宋" w:eastAsia="仿宋" w:cs="仿宋"/>
                <w:color w:val="auto"/>
                <w:szCs w:val="21"/>
              </w:rPr>
              <w:t>日17点00分之前将磋商文件有关问题以书面形式发至采购单位统一答复，逾期不再受理。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vAlign w:val="center"/>
          </w:tcPr>
          <w:p>
            <w:pPr>
              <w:pStyle w:val="19"/>
              <w:snapToGrid w:val="0"/>
              <w:spacing w:line="240" w:lineRule="auto"/>
              <w:jc w:val="center"/>
              <w:rPr>
                <w:rFonts w:hint="eastAsia" w:ascii="仿宋" w:hAnsi="仿宋" w:eastAsia="仿宋" w:cs="仿宋"/>
                <w:b/>
                <w:color w:val="auto"/>
                <w:szCs w:val="21"/>
                <w:lang w:val="en-US" w:eastAsia="zh-CN" w:bidi="ar"/>
              </w:rPr>
            </w:pPr>
            <w:r>
              <w:rPr>
                <w:rFonts w:hint="eastAsia" w:ascii="仿宋" w:hAnsi="仿宋" w:eastAsia="仿宋" w:cs="仿宋"/>
                <w:b/>
                <w:color w:val="auto"/>
                <w:szCs w:val="21"/>
                <w:lang w:val="en-US" w:eastAsia="zh-CN" w:bidi="ar"/>
              </w:rPr>
              <w:t>10</w:t>
            </w:r>
          </w:p>
        </w:tc>
        <w:tc>
          <w:tcPr>
            <w:tcW w:w="8507" w:type="dxa"/>
            <w:vAlign w:val="center"/>
          </w:tcPr>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19"/>
              <w:snapToGrid w:val="0"/>
              <w:spacing w:line="240" w:lineRule="auto"/>
              <w:jc w:val="center"/>
              <w:rPr>
                <w:rFonts w:hint="eastAsia" w:ascii="仿宋" w:hAnsi="仿宋" w:eastAsia="仿宋" w:cs="仿宋"/>
                <w:b/>
                <w:color w:val="auto"/>
                <w:szCs w:val="21"/>
                <w:lang w:val="en-US" w:eastAsia="zh-CN" w:bidi="ar"/>
              </w:rPr>
            </w:pPr>
            <w:r>
              <w:rPr>
                <w:rFonts w:hint="eastAsia" w:ascii="仿宋" w:hAnsi="仿宋" w:eastAsia="仿宋" w:cs="仿宋"/>
                <w:b/>
                <w:color w:val="auto"/>
                <w:szCs w:val="21"/>
                <w:lang w:val="en-US" w:eastAsia="zh-CN" w:bidi="ar"/>
              </w:rPr>
              <w:t>11</w:t>
            </w:r>
          </w:p>
        </w:tc>
        <w:tc>
          <w:tcPr>
            <w:tcW w:w="8507" w:type="dxa"/>
            <w:vAlign w:val="center"/>
          </w:tcPr>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递交磋商文件地点、时间：</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递交磋商文件的地点：兰州职业技术学院综合楼</w:t>
            </w:r>
            <w:r>
              <w:rPr>
                <w:rFonts w:hint="eastAsia" w:ascii="仿宋" w:hAnsi="仿宋" w:eastAsia="仿宋" w:cs="仿宋"/>
                <w:color w:val="auto"/>
                <w:szCs w:val="21"/>
                <w:lang w:val="en-US" w:eastAsia="zh-CN"/>
              </w:rPr>
              <w:t>614</w:t>
            </w:r>
            <w:r>
              <w:rPr>
                <w:rFonts w:hint="eastAsia" w:ascii="仿宋" w:hAnsi="仿宋" w:eastAsia="仿宋" w:cs="仿宋"/>
                <w:color w:val="auto"/>
                <w:szCs w:val="21"/>
              </w:rPr>
              <w:t>会议室</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递交磋商文件时间：202</w:t>
            </w:r>
            <w:r>
              <w:rPr>
                <w:rFonts w:hint="eastAsia" w:ascii="仿宋" w:hAnsi="仿宋" w:eastAsia="仿宋" w:cs="仿宋"/>
                <w:color w:val="auto"/>
                <w:szCs w:val="21"/>
                <w:lang w:val="en-US" w:eastAsia="zh-CN"/>
              </w:rPr>
              <w:t>3</w:t>
            </w:r>
            <w:r>
              <w:rPr>
                <w:rFonts w:hint="eastAsia" w:ascii="仿宋" w:hAnsi="仿宋" w:eastAsia="仿宋" w:cs="仿宋"/>
                <w:color w:val="auto"/>
                <w:szCs w:val="21"/>
              </w:rPr>
              <w:t>年</w:t>
            </w:r>
            <w:r>
              <w:rPr>
                <w:rFonts w:hint="eastAsia" w:ascii="仿宋" w:hAnsi="仿宋" w:eastAsia="仿宋" w:cs="仿宋"/>
                <w:color w:val="auto"/>
                <w:szCs w:val="21"/>
                <w:lang w:val="en-US" w:eastAsia="zh-CN"/>
              </w:rPr>
              <w:t>7</w:t>
            </w:r>
            <w:r>
              <w:rPr>
                <w:rFonts w:hint="eastAsia" w:ascii="仿宋" w:hAnsi="仿宋" w:eastAsia="仿宋" w:cs="仿宋"/>
                <w:color w:val="auto"/>
                <w:szCs w:val="21"/>
              </w:rPr>
              <w:t>月</w:t>
            </w:r>
            <w:r>
              <w:rPr>
                <w:rFonts w:hint="eastAsia" w:ascii="仿宋" w:hAnsi="仿宋" w:eastAsia="仿宋" w:cs="仿宋"/>
                <w:color w:val="auto"/>
                <w:szCs w:val="21"/>
                <w:lang w:val="en-US" w:eastAsia="zh-CN"/>
              </w:rPr>
              <w:t>19</w:t>
            </w:r>
            <w:r>
              <w:rPr>
                <w:rFonts w:hint="eastAsia" w:ascii="仿宋" w:hAnsi="仿宋" w:eastAsia="仿宋" w:cs="仿宋"/>
                <w:color w:val="auto"/>
                <w:szCs w:val="21"/>
              </w:rPr>
              <w:t>日</w:t>
            </w:r>
            <w:r>
              <w:rPr>
                <w:rFonts w:hint="eastAsia" w:ascii="仿宋" w:hAnsi="仿宋" w:eastAsia="仿宋" w:cs="仿宋"/>
                <w:color w:val="auto"/>
                <w:szCs w:val="21"/>
                <w:lang w:val="en-US" w:eastAsia="zh-CN"/>
              </w:rPr>
              <w:t>10</w:t>
            </w:r>
            <w:r>
              <w:rPr>
                <w:rFonts w:hint="eastAsia" w:ascii="仿宋" w:hAnsi="仿宋" w:eastAsia="仿宋" w:cs="仿宋"/>
                <w:color w:val="auto"/>
                <w:szCs w:val="21"/>
              </w:rPr>
              <w:t>:</w:t>
            </w:r>
            <w:r>
              <w:rPr>
                <w:rFonts w:hint="eastAsia" w:ascii="仿宋" w:hAnsi="仿宋" w:eastAsia="仿宋" w:cs="仿宋"/>
                <w:color w:val="auto"/>
                <w:szCs w:val="21"/>
                <w:lang w:val="en-US" w:eastAsia="zh-CN"/>
              </w:rPr>
              <w:t>0</w:t>
            </w:r>
            <w:r>
              <w:rPr>
                <w:rFonts w:hint="eastAsia" w:ascii="仿宋" w:hAnsi="仿宋" w:eastAsia="仿宋" w:cs="仿宋"/>
                <w:color w:val="auto"/>
                <w:szCs w:val="21"/>
              </w:rPr>
              <w:t>0之前。</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lang w:val="zh-CN"/>
              </w:rPr>
              <w:t>必须在此时间前将</w:t>
            </w:r>
            <w:r>
              <w:rPr>
                <w:rFonts w:hint="eastAsia" w:ascii="仿宋" w:hAnsi="仿宋" w:eastAsia="仿宋" w:cs="仿宋"/>
                <w:color w:val="auto"/>
                <w:szCs w:val="21"/>
              </w:rPr>
              <w:t>磋商</w:t>
            </w:r>
            <w:r>
              <w:rPr>
                <w:rFonts w:hint="eastAsia" w:ascii="仿宋" w:hAnsi="仿宋" w:eastAsia="仿宋" w:cs="仿宋"/>
                <w:color w:val="auto"/>
                <w:szCs w:val="21"/>
                <w:lang w:val="zh-CN"/>
              </w:rPr>
              <w:t>文件、</w:t>
            </w:r>
            <w:r>
              <w:rPr>
                <w:rFonts w:hint="eastAsia" w:ascii="仿宋" w:hAnsi="仿宋" w:eastAsia="仿宋" w:cs="仿宋"/>
                <w:color w:val="auto"/>
                <w:szCs w:val="21"/>
              </w:rPr>
              <w:t>报价</w:t>
            </w:r>
            <w:r>
              <w:rPr>
                <w:rFonts w:hint="eastAsia" w:ascii="仿宋" w:hAnsi="仿宋" w:eastAsia="仿宋" w:cs="仿宋"/>
                <w:color w:val="auto"/>
                <w:szCs w:val="21"/>
                <w:lang w:val="zh-CN"/>
              </w:rPr>
              <w:t>一览表、</w:t>
            </w:r>
            <w:r>
              <w:rPr>
                <w:rFonts w:hint="eastAsia" w:ascii="仿宋" w:hAnsi="仿宋" w:eastAsia="仿宋" w:cs="仿宋"/>
                <w:color w:val="auto"/>
                <w:szCs w:val="21"/>
              </w:rPr>
              <w:t>电子文档等</w:t>
            </w:r>
            <w:r>
              <w:rPr>
                <w:rFonts w:hint="eastAsia" w:ascii="仿宋" w:hAnsi="仿宋" w:eastAsia="仿宋" w:cs="仿宋"/>
                <w:color w:val="auto"/>
                <w:szCs w:val="21"/>
                <w:lang w:val="zh-CN"/>
              </w:rPr>
              <w:t>文件按招标文件规定密封后送达开标地点，对迟于该时间递交的上述文件将不予接收，本次招标不接受邮寄的投标文件。</w:t>
            </w:r>
          </w:p>
        </w:tc>
      </w:tr>
    </w:tbl>
    <w:p>
      <w:pPr>
        <w:pStyle w:val="19"/>
        <w:spacing w:line="360" w:lineRule="auto"/>
        <w:outlineLvl w:val="1"/>
        <w:rPr>
          <w:rFonts w:hint="eastAsia" w:ascii="仿宋" w:hAnsi="仿宋" w:eastAsia="仿宋" w:cs="仿宋"/>
          <w:b/>
          <w:bCs/>
          <w:color w:val="auto"/>
          <w:sz w:val="32"/>
          <w:szCs w:val="32"/>
        </w:rPr>
      </w:pPr>
      <w:bookmarkStart w:id="19" w:name="_Toc361769765"/>
      <w:bookmarkStart w:id="20" w:name="_Toc361769631"/>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ind w:left="0" w:leftChars="0" w:firstLine="0" w:firstLineChars="0"/>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bookmarkEnd w:id="19"/>
    <w:bookmarkEnd w:id="20"/>
    <w:p>
      <w:pPr>
        <w:pStyle w:val="2"/>
        <w:snapToGrid w:val="0"/>
        <w:spacing w:line="360" w:lineRule="auto"/>
        <w:jc w:val="both"/>
        <w:rPr>
          <w:rFonts w:hint="eastAsia" w:ascii="仿宋" w:hAnsi="仿宋" w:eastAsia="仿宋" w:cs="仿宋"/>
          <w:b/>
          <w:bCs/>
          <w:color w:val="auto"/>
          <w:kern w:val="2"/>
          <w:sz w:val="24"/>
          <w:szCs w:val="24"/>
          <w:lang w:val="en-US" w:eastAsia="zh-CN" w:bidi="ar-SA"/>
        </w:rPr>
      </w:pPr>
      <w:bookmarkStart w:id="21" w:name="_Toc103602601"/>
      <w:bookmarkStart w:id="22" w:name="_Toc20828"/>
      <w:bookmarkStart w:id="23" w:name="_Toc420957350"/>
    </w:p>
    <w:p>
      <w:pPr>
        <w:rPr>
          <w:rFonts w:hint="eastAsia"/>
          <w:color w:val="auto"/>
          <w:lang w:val="en-US" w:eastAsia="zh-CN"/>
        </w:rPr>
      </w:pPr>
    </w:p>
    <w:p>
      <w:pPr>
        <w:pStyle w:val="2"/>
        <w:snapToGrid w:val="0"/>
        <w:spacing w:line="360" w:lineRule="auto"/>
        <w:ind w:firstLine="2891" w:firstLineChars="1200"/>
        <w:jc w:val="both"/>
        <w:rPr>
          <w:rFonts w:hint="eastAsia" w:ascii="仿宋" w:hAnsi="仿宋" w:eastAsia="仿宋" w:cs="仿宋"/>
          <w:b/>
          <w:bCs/>
          <w:color w:val="auto"/>
          <w:kern w:val="2"/>
          <w:sz w:val="24"/>
          <w:szCs w:val="24"/>
          <w:lang w:val="en-US" w:eastAsia="zh-CN" w:bidi="ar-SA"/>
        </w:rPr>
      </w:pPr>
    </w:p>
    <w:p>
      <w:pPr>
        <w:pStyle w:val="2"/>
        <w:snapToGrid w:val="0"/>
        <w:spacing w:line="360" w:lineRule="auto"/>
        <w:ind w:firstLine="2891" w:firstLineChars="1200"/>
        <w:jc w:val="both"/>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二、供应商须知</w:t>
      </w:r>
      <w:bookmarkEnd w:id="21"/>
      <w:bookmarkEnd w:id="22"/>
      <w:bookmarkEnd w:id="23"/>
    </w:p>
    <w:p>
      <w:pPr>
        <w:spacing w:line="240" w:lineRule="auto"/>
        <w:rPr>
          <w:rFonts w:hint="eastAsia" w:ascii="仿宋" w:hAnsi="仿宋" w:eastAsia="仿宋" w:cs="仿宋"/>
          <w:b/>
          <w:bCs/>
          <w:color w:val="auto"/>
        </w:rPr>
      </w:pPr>
      <w:bookmarkStart w:id="24" w:name="_Toc520356143"/>
      <w:bookmarkStart w:id="25" w:name="_Toc420957351"/>
      <w:bookmarkStart w:id="26" w:name="_Toc103602602"/>
      <w:r>
        <w:rPr>
          <w:rFonts w:hint="eastAsia" w:ascii="仿宋" w:hAnsi="仿宋" w:eastAsia="仿宋" w:cs="仿宋"/>
          <w:b/>
          <w:bCs/>
          <w:color w:val="auto"/>
        </w:rPr>
        <w:t>一、说  明</w:t>
      </w:r>
      <w:bookmarkEnd w:id="24"/>
      <w:bookmarkEnd w:id="25"/>
      <w:bookmarkEnd w:id="26"/>
    </w:p>
    <w:p>
      <w:pPr>
        <w:spacing w:line="240" w:lineRule="auto"/>
        <w:ind w:firstLine="420" w:firstLineChars="200"/>
        <w:rPr>
          <w:rFonts w:hint="eastAsia" w:ascii="仿宋" w:hAnsi="仿宋" w:eastAsia="仿宋" w:cs="仿宋"/>
          <w:color w:val="auto"/>
        </w:rPr>
      </w:pPr>
      <w:bookmarkStart w:id="27" w:name="_Toc103602603"/>
      <w:bookmarkStart w:id="28" w:name="_Toc520356144"/>
      <w:bookmarkStart w:id="29" w:name="_Toc35423885"/>
      <w:bookmarkStart w:id="30" w:name="_Toc420957352"/>
      <w:r>
        <w:rPr>
          <w:rFonts w:hint="eastAsia" w:ascii="仿宋" w:hAnsi="仿宋" w:eastAsia="仿宋" w:cs="仿宋"/>
          <w:color w:val="auto"/>
        </w:rPr>
        <w:t>1</w:t>
      </w:r>
      <w:r>
        <w:rPr>
          <w:rFonts w:hint="eastAsia" w:ascii="仿宋" w:hAnsi="仿宋" w:eastAsia="仿宋" w:cs="仿宋"/>
          <w:color w:val="auto"/>
          <w:lang w:eastAsia="zh-CN"/>
        </w:rPr>
        <w:t>、</w:t>
      </w:r>
      <w:r>
        <w:rPr>
          <w:rFonts w:hint="eastAsia" w:ascii="仿宋" w:hAnsi="仿宋" w:eastAsia="仿宋" w:cs="仿宋"/>
          <w:color w:val="auto"/>
        </w:rPr>
        <w:t>招标采购单位及合格的投标人</w:t>
      </w:r>
      <w:bookmarkEnd w:id="27"/>
      <w:bookmarkEnd w:id="28"/>
      <w:bookmarkEnd w:id="29"/>
      <w:bookmarkEnd w:id="30"/>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1.1招标采购单位：系指本项目中“采购人”。</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1.2满足以下条件的投标人是合格的投标人，可以参加本次投标：</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1.2.1不接受联合体投标。</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1.2.2投标人必须</w:t>
      </w:r>
      <w:r>
        <w:rPr>
          <w:rFonts w:hint="eastAsia" w:ascii="仿宋" w:hAnsi="仿宋" w:eastAsia="仿宋" w:cs="仿宋"/>
          <w:color w:val="auto"/>
          <w:lang w:val="en-US" w:eastAsia="zh-CN"/>
        </w:rPr>
        <w:t>报名</w:t>
      </w:r>
      <w:r>
        <w:rPr>
          <w:rFonts w:hint="eastAsia" w:ascii="仿宋" w:hAnsi="仿宋" w:eastAsia="仿宋" w:cs="仿宋"/>
          <w:color w:val="auto"/>
        </w:rPr>
        <w:t>并登记备案，否则无资格参加本次投标。</w:t>
      </w:r>
    </w:p>
    <w:p>
      <w:pPr>
        <w:spacing w:line="240" w:lineRule="auto"/>
        <w:ind w:firstLine="420" w:firstLineChars="200"/>
        <w:rPr>
          <w:rFonts w:hint="eastAsia" w:ascii="仿宋" w:hAnsi="仿宋" w:eastAsia="仿宋" w:cs="仿宋"/>
          <w:color w:val="auto"/>
        </w:rPr>
      </w:pPr>
      <w:bookmarkStart w:id="31" w:name="_Toc420957353"/>
      <w:bookmarkStart w:id="32" w:name="_Toc103602604"/>
      <w:bookmarkStart w:id="33" w:name="_Toc35423886"/>
      <w:r>
        <w:rPr>
          <w:rFonts w:hint="eastAsia" w:ascii="仿宋" w:hAnsi="仿宋" w:eastAsia="仿宋" w:cs="仿宋"/>
          <w:color w:val="auto"/>
        </w:rPr>
        <w:t>2</w:t>
      </w:r>
      <w:bookmarkEnd w:id="31"/>
      <w:bookmarkStart w:id="34" w:name="_Toc520356145"/>
      <w:bookmarkStart w:id="35" w:name="_Toc420957354"/>
      <w:r>
        <w:rPr>
          <w:rFonts w:hint="eastAsia" w:ascii="仿宋" w:hAnsi="仿宋" w:eastAsia="仿宋" w:cs="仿宋"/>
          <w:color w:val="auto"/>
          <w:lang w:eastAsia="zh-CN"/>
        </w:rPr>
        <w:t>、</w:t>
      </w:r>
      <w:r>
        <w:rPr>
          <w:rFonts w:hint="eastAsia" w:ascii="仿宋" w:hAnsi="仿宋" w:eastAsia="仿宋" w:cs="仿宋"/>
          <w:color w:val="auto"/>
        </w:rPr>
        <w:t>合格的服务</w:t>
      </w:r>
      <w:bookmarkEnd w:id="32"/>
      <w:bookmarkEnd w:id="33"/>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2.1服务系指磋商文件规定的投标人须承担的与招标有关的各项服务以及其他类似的义务。</w:t>
      </w:r>
    </w:p>
    <w:p>
      <w:pPr>
        <w:spacing w:line="240" w:lineRule="auto"/>
        <w:ind w:firstLine="420" w:firstLineChars="200"/>
        <w:rPr>
          <w:rFonts w:hint="eastAsia" w:ascii="仿宋" w:hAnsi="仿宋" w:eastAsia="仿宋" w:cs="仿宋"/>
          <w:color w:val="auto"/>
        </w:rPr>
      </w:pPr>
      <w:bookmarkStart w:id="36" w:name="_Toc35423887"/>
      <w:bookmarkStart w:id="37" w:name="_Toc103602605"/>
      <w:r>
        <w:rPr>
          <w:rFonts w:hint="eastAsia" w:ascii="仿宋" w:hAnsi="仿宋" w:eastAsia="仿宋" w:cs="仿宋"/>
          <w:color w:val="auto"/>
        </w:rPr>
        <w:t>3</w:t>
      </w:r>
      <w:r>
        <w:rPr>
          <w:rFonts w:hint="eastAsia" w:ascii="仿宋" w:hAnsi="仿宋" w:eastAsia="仿宋" w:cs="仿宋"/>
          <w:color w:val="auto"/>
          <w:lang w:eastAsia="zh-CN"/>
        </w:rPr>
        <w:t>、</w:t>
      </w:r>
      <w:r>
        <w:rPr>
          <w:rFonts w:hint="eastAsia" w:ascii="仿宋" w:hAnsi="仿宋" w:eastAsia="仿宋" w:cs="仿宋"/>
          <w:color w:val="auto"/>
        </w:rPr>
        <w:t>投标费用</w:t>
      </w:r>
      <w:bookmarkEnd w:id="34"/>
      <w:bookmarkEnd w:id="35"/>
      <w:bookmarkEnd w:id="36"/>
      <w:bookmarkEnd w:id="37"/>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3.1投标人应承担所有与准备和参加投标有关的费用，不论投标的结果如何，招标采购单位均无承担的义务和责任。</w:t>
      </w:r>
    </w:p>
    <w:p>
      <w:pPr>
        <w:spacing w:line="240" w:lineRule="auto"/>
        <w:rPr>
          <w:rFonts w:hint="eastAsia" w:ascii="仿宋" w:hAnsi="仿宋" w:eastAsia="仿宋" w:cs="仿宋"/>
          <w:b/>
          <w:bCs/>
          <w:color w:val="auto"/>
        </w:rPr>
      </w:pPr>
      <w:bookmarkStart w:id="38" w:name="_Toc520356146"/>
      <w:bookmarkStart w:id="39" w:name="_Toc420957355"/>
      <w:bookmarkStart w:id="40" w:name="_Toc103602606"/>
      <w:r>
        <w:rPr>
          <w:rFonts w:hint="eastAsia" w:ascii="仿宋" w:hAnsi="仿宋" w:eastAsia="仿宋" w:cs="仿宋"/>
          <w:b/>
          <w:bCs/>
          <w:color w:val="auto"/>
        </w:rPr>
        <w:t>二、</w:t>
      </w:r>
      <w:bookmarkEnd w:id="38"/>
      <w:bookmarkEnd w:id="39"/>
      <w:bookmarkStart w:id="41" w:name="_Toc520356150"/>
      <w:bookmarkStart w:id="42" w:name="_Toc516367020"/>
      <w:r>
        <w:rPr>
          <w:rFonts w:hint="eastAsia" w:ascii="仿宋" w:hAnsi="仿宋" w:eastAsia="仿宋" w:cs="仿宋"/>
          <w:b/>
          <w:bCs/>
          <w:color w:val="auto"/>
        </w:rPr>
        <w:t>竞争性磋商文件</w:t>
      </w:r>
      <w:bookmarkEnd w:id="40"/>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4、竞争性磋商文件构成</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4.1竞争性磋商文件包括：</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(1)竞争性磋商公告</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(2)供应商须知及前附表</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(3)合同条款及合同格式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(4)竞争性磋商响应文件格式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(5)采购需求</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4.2供应商应仔细阅读竞争性磋商文件中的所有内容。如果供应商未按竞争性磋商文件要求提供全部资料或提交的竞争性磋商响应文件没有对竞争性磋商文件做出实质性响应，那么供应商将承担其风险，并有可能导致竞争性磋商响应文件被拒绝。</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4.3竞争性磋商文件的最终解释权归代理机构所有。</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5、竞争性磋商文件的澄清</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5.1任何要求对竞争性磋商文件进行澄清的供应商，均应在投标截止日期五天前按投标邀请书中的通讯地址以书面形式如信函、电报、电传、传真等通知招标代理机构，招标代理机构对投标截止日期前五天收到的任何澄清要求将以书面形式予以答复，同时将书面答复寄送每个购买竞争性磋商文件的供应商，答复中包括所问问题，但不包括问题的来源。</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6、竞争性磋商文件的修改</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6.1在投标截止期前的任何时候，无论出于何种原因，招标代理机构可主动地或在解答供应商提出的澄清问题时对竞争性磋商文件进行修改。</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6.2 竞争性磋商文件的修改将以书面形式包括</w:t>
      </w:r>
      <w:r>
        <w:rPr>
          <w:rFonts w:hint="eastAsia" w:ascii="仿宋" w:hAnsi="仿宋" w:eastAsia="仿宋" w:cs="仿宋"/>
          <w:color w:val="auto"/>
          <w:lang w:val="en-US" w:eastAsia="zh-CN"/>
        </w:rPr>
        <w:t>电子邮件</w:t>
      </w:r>
      <w:r>
        <w:rPr>
          <w:rFonts w:hint="eastAsia" w:ascii="仿宋" w:hAnsi="仿宋" w:eastAsia="仿宋" w:cs="仿宋"/>
          <w:color w:val="auto"/>
        </w:rPr>
        <w:t>，通知所有购买竞争性磋商文件的供应商，并对其具有约束力，供应商应立即以</w:t>
      </w:r>
      <w:r>
        <w:rPr>
          <w:rFonts w:hint="eastAsia" w:ascii="仿宋" w:hAnsi="仿宋" w:eastAsia="仿宋" w:cs="仿宋"/>
          <w:color w:val="auto"/>
          <w:lang w:val="en-US" w:eastAsia="zh-CN"/>
        </w:rPr>
        <w:t>电子邮件</w:t>
      </w:r>
      <w:r>
        <w:rPr>
          <w:rFonts w:hint="eastAsia" w:ascii="仿宋" w:hAnsi="仿宋" w:eastAsia="仿宋" w:cs="仿宋"/>
          <w:color w:val="auto"/>
        </w:rPr>
        <w:t>形式确认已收到修改文件。</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6.3 为使供应商编写投标书时有充分时间对竞争性磋商文件的修改部分进行研究，招标代理机构可酌情延长投标截止日期，并通知每一个供应商。</w:t>
      </w:r>
    </w:p>
    <w:p>
      <w:pPr>
        <w:spacing w:line="240" w:lineRule="auto"/>
        <w:ind w:firstLine="420" w:firstLineChars="200"/>
        <w:rPr>
          <w:rFonts w:hint="eastAsia" w:ascii="仿宋" w:hAnsi="仿宋" w:eastAsia="仿宋" w:cs="仿宋"/>
          <w:color w:val="auto"/>
        </w:rPr>
      </w:pPr>
      <w:bookmarkStart w:id="43" w:name="_Toc420957359"/>
      <w:bookmarkStart w:id="44" w:name="_Toc103602607"/>
      <w:r>
        <w:rPr>
          <w:rFonts w:hint="eastAsia" w:ascii="仿宋" w:hAnsi="仿宋" w:eastAsia="仿宋" w:cs="仿宋"/>
          <w:color w:val="auto"/>
        </w:rPr>
        <w:t>三、</w:t>
      </w:r>
      <w:bookmarkEnd w:id="41"/>
      <w:bookmarkEnd w:id="42"/>
      <w:bookmarkEnd w:id="43"/>
      <w:r>
        <w:rPr>
          <w:rFonts w:hint="eastAsia" w:ascii="仿宋" w:hAnsi="仿宋" w:eastAsia="仿宋" w:cs="仿宋"/>
          <w:color w:val="auto"/>
        </w:rPr>
        <w:t>竞争性磋商响应性文件的编制</w:t>
      </w:r>
      <w:bookmarkEnd w:id="44"/>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7、投标的语言及度量衡</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7.1供应商提交的磋商响应性文件以及供应商和招标代理机构就投标交换的文件和来往信件均应使用中文。</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7.2除在技术文件中另有规定外，度量衡单位应使用公制单位。</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8、竞争性磋商响应性文件的组成</w:t>
      </w:r>
    </w:p>
    <w:p>
      <w:pPr>
        <w:spacing w:line="240" w:lineRule="auto"/>
        <w:ind w:firstLine="420" w:firstLineChars="200"/>
        <w:rPr>
          <w:rFonts w:hint="eastAsia" w:ascii="仿宋" w:hAnsi="仿宋" w:eastAsia="仿宋" w:cs="仿宋"/>
          <w:color w:val="auto"/>
        </w:rPr>
      </w:pPr>
      <w:bookmarkStart w:id="45" w:name="_Ref467052588"/>
      <w:r>
        <w:rPr>
          <w:rFonts w:hint="eastAsia" w:ascii="仿宋" w:hAnsi="仿宋" w:eastAsia="仿宋" w:cs="仿宋"/>
          <w:color w:val="auto"/>
        </w:rPr>
        <w:t>8.1投标人应完整地按招标文件提供的投标文件格式填写投标文件，投标文件按A4幅面装订（胶装，封面装订材料不限），须编写方便查阅的文件目录，并逐页标明页码。投标文件应包括以下内容：</w:t>
      </w:r>
      <w:bookmarkEnd w:id="45"/>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1、商务部分</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附件1投标书（格式）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附件2 开标一览表（格式）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附件3 投标人服务团队人员一览表（格式）</w:t>
      </w:r>
    </w:p>
    <w:p>
      <w:pPr>
        <w:spacing w:line="240" w:lineRule="auto"/>
        <w:ind w:firstLine="420" w:firstLineChars="200"/>
        <w:rPr>
          <w:rFonts w:hint="eastAsia" w:ascii="仿宋" w:hAnsi="仿宋" w:eastAsia="仿宋" w:cs="仿宋"/>
          <w:color w:val="auto"/>
          <w:lang w:val="en-US" w:eastAsia="zh-CN"/>
        </w:rPr>
      </w:pPr>
      <w:r>
        <w:rPr>
          <w:rFonts w:hint="eastAsia" w:ascii="仿宋" w:hAnsi="仿宋" w:eastAsia="仿宋" w:cs="仿宋"/>
          <w:color w:val="auto"/>
        </w:rPr>
        <w:t>附件</w:t>
      </w:r>
      <w:r>
        <w:rPr>
          <w:rFonts w:hint="eastAsia" w:ascii="仿宋" w:hAnsi="仿宋" w:eastAsia="仿宋" w:cs="仿宋"/>
          <w:color w:val="auto"/>
          <w:lang w:val="en-US" w:eastAsia="zh-CN"/>
        </w:rPr>
        <w:t>4</w:t>
      </w:r>
      <w:r>
        <w:rPr>
          <w:rFonts w:hint="eastAsia" w:ascii="仿宋" w:hAnsi="仿宋" w:eastAsia="仿宋" w:cs="仿宋"/>
          <w:color w:val="auto"/>
        </w:rPr>
        <w:t xml:space="preserve"> </w:t>
      </w:r>
      <w:r>
        <w:rPr>
          <w:rFonts w:hint="eastAsia" w:ascii="仿宋" w:hAnsi="仿宋" w:eastAsia="仿宋" w:cs="仿宋"/>
          <w:color w:val="auto"/>
          <w:lang w:val="en-US" w:eastAsia="zh-CN"/>
        </w:rPr>
        <w:t>服务方案</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附件</w:t>
      </w:r>
      <w:r>
        <w:rPr>
          <w:rFonts w:hint="eastAsia" w:ascii="仿宋" w:hAnsi="仿宋" w:eastAsia="仿宋" w:cs="仿宋"/>
          <w:color w:val="auto"/>
          <w:lang w:val="en-US" w:eastAsia="zh-CN"/>
        </w:rPr>
        <w:t>5</w:t>
      </w:r>
      <w:r>
        <w:rPr>
          <w:rFonts w:hint="eastAsia" w:ascii="仿宋" w:hAnsi="仿宋" w:eastAsia="仿宋" w:cs="仿宋"/>
          <w:color w:val="auto"/>
        </w:rPr>
        <w:t xml:space="preserve"> 业绩表</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附件</w:t>
      </w:r>
      <w:r>
        <w:rPr>
          <w:rFonts w:hint="eastAsia" w:ascii="仿宋" w:hAnsi="仿宋" w:eastAsia="仿宋" w:cs="仿宋"/>
          <w:color w:val="auto"/>
          <w:lang w:val="en-US" w:eastAsia="zh-CN"/>
        </w:rPr>
        <w:t>6</w:t>
      </w:r>
      <w:r>
        <w:rPr>
          <w:rFonts w:hint="eastAsia" w:ascii="仿宋" w:hAnsi="仿宋" w:eastAsia="仿宋" w:cs="仿宋"/>
          <w:color w:val="auto"/>
        </w:rPr>
        <w:t xml:space="preserve"> 资格证明文件（格式）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2、技术部分（格式自拟）</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9、竞争性磋商响应性文件格式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9.1竞争性磋商响应文件包括本须知中规定的内容，供应商提交的竞争性磋商响应文件应当使用竞争性磋商文件所提供的竞争性磋商响应文件全部格式。</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9.2供应商应将磋商响应性文件按规定的顺序编排、并应编制目录、逐页标注连续页码，并装订成册。</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10、磋商报价</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rPr>
        <w:t>10.1供应商应在竞争性磋商响应文件</w:t>
      </w:r>
      <w:r>
        <w:rPr>
          <w:rFonts w:hint="eastAsia" w:ascii="仿宋" w:hAnsi="仿宋" w:eastAsia="仿宋" w:cs="仿宋"/>
          <w:color w:val="auto"/>
          <w:lang w:val="en-US" w:eastAsia="zh-CN"/>
        </w:rPr>
        <w:t>应按文件规定报出</w:t>
      </w:r>
      <w:r>
        <w:rPr>
          <w:rFonts w:hint="eastAsia" w:ascii="仿宋" w:hAnsi="仿宋" w:eastAsia="仿宋" w:cs="仿宋"/>
          <w:color w:val="auto"/>
        </w:rPr>
        <w:t>磋商报价。</w:t>
      </w:r>
    </w:p>
    <w:p>
      <w:pPr>
        <w:spacing w:line="240" w:lineRule="auto"/>
        <w:ind w:firstLine="420" w:firstLineChars="200"/>
        <w:rPr>
          <w:rFonts w:hint="eastAsia" w:ascii="仿宋" w:hAnsi="仿宋" w:eastAsia="仿宋" w:cs="仿宋"/>
          <w:color w:val="auto"/>
          <w:lang w:eastAsia="zh-CN"/>
        </w:rPr>
      </w:pPr>
      <w:r>
        <w:rPr>
          <w:rFonts w:hint="eastAsia" w:ascii="仿宋" w:hAnsi="仿宋" w:eastAsia="仿宋" w:cs="仿宋"/>
          <w:color w:val="auto"/>
        </w:rPr>
        <w:t>10.2磋商报价为最终报价</w:t>
      </w:r>
      <w:r>
        <w:rPr>
          <w:rFonts w:hint="eastAsia" w:ascii="仿宋" w:hAnsi="仿宋" w:eastAsia="仿宋" w:cs="仿宋"/>
          <w:color w:val="auto"/>
          <w:lang w:eastAsia="zh-CN"/>
        </w:rPr>
        <w:t>。</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11</w:t>
      </w:r>
      <w:r>
        <w:rPr>
          <w:rFonts w:hint="eastAsia" w:ascii="仿宋" w:hAnsi="仿宋" w:eastAsia="仿宋" w:cs="仿宋"/>
          <w:color w:val="auto"/>
        </w:rPr>
        <w:t>、投标有效期</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11</w:t>
      </w:r>
      <w:r>
        <w:rPr>
          <w:rFonts w:hint="eastAsia" w:ascii="仿宋" w:hAnsi="仿宋" w:eastAsia="仿宋" w:cs="仿宋"/>
          <w:color w:val="auto"/>
        </w:rPr>
        <w:t>.1所投的标应从磋商之日起</w:t>
      </w:r>
      <w:r>
        <w:rPr>
          <w:rFonts w:hint="eastAsia" w:ascii="仿宋" w:hAnsi="仿宋" w:eastAsia="仿宋" w:cs="仿宋"/>
          <w:color w:val="auto"/>
          <w:lang w:val="en-US" w:eastAsia="zh-CN"/>
        </w:rPr>
        <w:t>90</w:t>
      </w:r>
      <w:r>
        <w:rPr>
          <w:rFonts w:hint="eastAsia" w:ascii="仿宋" w:hAnsi="仿宋" w:eastAsia="仿宋" w:cs="仿宋"/>
          <w:color w:val="auto"/>
        </w:rPr>
        <w:t>天内有效。</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12</w:t>
      </w:r>
      <w:r>
        <w:rPr>
          <w:rFonts w:hint="eastAsia" w:ascii="仿宋" w:hAnsi="仿宋" w:eastAsia="仿宋" w:cs="仿宋"/>
          <w:color w:val="auto"/>
        </w:rPr>
        <w:t>、</w:t>
      </w:r>
      <w:r>
        <w:rPr>
          <w:rFonts w:hint="eastAsia" w:ascii="仿宋" w:hAnsi="仿宋" w:eastAsia="仿宋" w:cs="仿宋"/>
          <w:color w:val="auto"/>
          <w:lang w:val="en-US" w:eastAsia="zh-CN"/>
        </w:rPr>
        <w:t>磋商响应文件</w:t>
      </w:r>
      <w:r>
        <w:rPr>
          <w:rFonts w:hint="eastAsia" w:ascii="仿宋" w:hAnsi="仿宋" w:eastAsia="仿宋" w:cs="仿宋"/>
          <w:color w:val="auto"/>
        </w:rPr>
        <w:t>的式样和签署</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12</w:t>
      </w:r>
      <w:r>
        <w:rPr>
          <w:rFonts w:hint="eastAsia" w:ascii="仿宋" w:hAnsi="仿宋" w:eastAsia="仿宋" w:cs="仿宋"/>
          <w:color w:val="auto"/>
        </w:rPr>
        <w:t>.1供应商应提交一份竞争性磋商响应文件正本、二份竞争性磋商响应文件副本、一份竞争性磋商响应文件电子版（U盘一份，提交不退，电子文档内容与竞争性磋商响应文件正本一致，为PDF版本加盖公章），每套竞争性磋商响应文件须清楚地标明“正本”、“副本”、“U盘电子版”。一旦正本与副本不符，以正本为准。</w:t>
      </w:r>
    </w:p>
    <w:p>
      <w:pPr>
        <w:spacing w:line="24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12</w:t>
      </w:r>
      <w:r>
        <w:rPr>
          <w:rFonts w:hint="eastAsia" w:ascii="仿宋" w:hAnsi="仿宋" w:eastAsia="仿宋" w:cs="仿宋"/>
          <w:color w:val="auto"/>
        </w:rPr>
        <w:t>.2竞争性磋商响应文件的正本需打印，并由供应商或经正式授权的代表在竞争性磋商响应文件上签字。除没有修改过的印刷文献外，竞争性磋商响应文件的每一页都应由供应商或其授权代表用姓或首字母签字。竞争性磋商响应文件的副本可采用正本的复印件。</w:t>
      </w:r>
    </w:p>
    <w:p>
      <w:pPr>
        <w:spacing w:line="240" w:lineRule="auto"/>
        <w:ind w:firstLine="420" w:firstLineChars="200"/>
        <w:rPr>
          <w:rFonts w:hint="eastAsia" w:ascii="仿宋" w:hAnsi="仿宋" w:eastAsia="仿宋" w:cs="仿宋"/>
          <w:color w:val="auto"/>
          <w:lang w:val="en-US" w:eastAsia="zh-CN"/>
        </w:rPr>
      </w:pPr>
      <w:bookmarkStart w:id="46" w:name="_Toc103602608"/>
      <w:r>
        <w:rPr>
          <w:rFonts w:hint="eastAsia" w:ascii="仿宋" w:hAnsi="仿宋" w:eastAsia="仿宋" w:cs="仿宋"/>
          <w:color w:val="auto"/>
          <w:lang w:val="en-US" w:eastAsia="zh-CN"/>
        </w:rPr>
        <w:t>12.3任何行间插字、涂改或增删，必须由竞争性磋商响应文件签字人姓或首字母在旁边签字才有效。</w:t>
      </w:r>
      <w:bookmarkEnd w:id="46"/>
    </w:p>
    <w:p>
      <w:pPr>
        <w:spacing w:line="240" w:lineRule="auto"/>
        <w:ind w:firstLine="420" w:firstLineChars="200"/>
        <w:rPr>
          <w:rFonts w:hint="eastAsia" w:ascii="仿宋" w:hAnsi="仿宋" w:eastAsia="仿宋" w:cs="仿宋"/>
          <w:color w:val="auto"/>
        </w:rPr>
      </w:pPr>
      <w:bookmarkStart w:id="47" w:name="_Toc103602609"/>
      <w:bookmarkStart w:id="48" w:name="_Toc35423907"/>
      <w:bookmarkStart w:id="49" w:name="_Toc520356166"/>
      <w:bookmarkStart w:id="50" w:name="_Toc420957375"/>
      <w:r>
        <w:rPr>
          <w:rFonts w:hint="eastAsia" w:ascii="仿宋" w:hAnsi="仿宋" w:eastAsia="仿宋" w:cs="仿宋"/>
          <w:color w:val="auto"/>
        </w:rPr>
        <w:t>四</w:t>
      </w:r>
      <w:r>
        <w:rPr>
          <w:rFonts w:hint="eastAsia" w:ascii="仿宋" w:hAnsi="仿宋" w:eastAsia="仿宋" w:cs="仿宋"/>
          <w:color w:val="auto"/>
          <w:lang w:eastAsia="zh-CN"/>
        </w:rPr>
        <w:t>、</w:t>
      </w:r>
      <w:r>
        <w:rPr>
          <w:rFonts w:hint="eastAsia" w:ascii="仿宋" w:hAnsi="仿宋" w:eastAsia="仿宋" w:cs="仿宋"/>
          <w:color w:val="auto"/>
        </w:rPr>
        <w:t>竞争性磋商响应性文件的密封和递交</w:t>
      </w:r>
      <w:bookmarkEnd w:id="47"/>
    </w:p>
    <w:p>
      <w:pPr>
        <w:spacing w:line="360" w:lineRule="auto"/>
        <w:ind w:firstLine="420" w:firstLineChars="200"/>
        <w:rPr>
          <w:rFonts w:hint="eastAsia" w:ascii="仿宋" w:hAnsi="仿宋" w:eastAsia="仿宋" w:cs="仿宋"/>
          <w:color w:val="auto"/>
        </w:rPr>
      </w:pPr>
      <w:r>
        <w:rPr>
          <w:rFonts w:hint="eastAsia" w:ascii="仿宋" w:hAnsi="仿宋" w:eastAsia="仿宋" w:cs="仿宋"/>
          <w:color w:val="auto"/>
          <w:lang w:val="en-US" w:eastAsia="zh-CN"/>
        </w:rPr>
        <w:t>13</w:t>
      </w:r>
      <w:r>
        <w:rPr>
          <w:rFonts w:hint="eastAsia" w:ascii="仿宋" w:hAnsi="仿宋" w:eastAsia="仿宋" w:cs="仿宋"/>
          <w:color w:val="auto"/>
        </w:rPr>
        <w:t>、竞争性磋商响应性文件的密封和标记</w:t>
      </w:r>
    </w:p>
    <w:p>
      <w:pPr>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.1供应商应将投标一览表和投标电子版（U盘、光盘）分别单独密封提交，并在信封上标明“投标一览表”、“投标电子版（U盘、光盘）”字样（见格式一）。</w:t>
      </w:r>
    </w:p>
    <w:p>
      <w:pPr>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.2供应商应将磋商响应性文件的正本、所有的副本以及U盘、光盘电子版分别用单独的信封密封，且在信封上标明“正本”、“副本” 、“U盘电子版”字样，然后再将所有信封封装在一个外层信封中。</w:t>
      </w:r>
    </w:p>
    <w:p>
      <w:pPr>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w:t>
      </w:r>
      <w:r>
        <w:rPr>
          <w:rFonts w:hint="eastAsia" w:ascii="仿宋" w:hAnsi="仿宋" w:eastAsia="仿宋" w:cs="仿宋"/>
          <w:color w:val="auto"/>
          <w:sz w:val="21"/>
          <w:szCs w:val="21"/>
          <w:lang w:val="en-US" w:eastAsia="zh-CN"/>
        </w:rPr>
        <w:t>13</w:t>
      </w:r>
      <w:r>
        <w:rPr>
          <w:rFonts w:hint="eastAsia" w:ascii="仿宋" w:hAnsi="仿宋" w:eastAsia="仿宋" w:cs="仿宋"/>
          <w:color w:val="auto"/>
          <w:sz w:val="21"/>
          <w:szCs w:val="21"/>
        </w:rPr>
        <w:t>.2.1内外层封套均应：</w:t>
      </w:r>
    </w:p>
    <w:p>
      <w:pPr>
        <w:snapToGrid w:val="0"/>
        <w:spacing w:line="360" w:lineRule="auto"/>
        <w:ind w:left="753"/>
        <w:rPr>
          <w:rFonts w:hint="eastAsia" w:ascii="仿宋" w:hAnsi="仿宋" w:eastAsia="仿宋" w:cs="仿宋"/>
          <w:color w:val="auto"/>
          <w:sz w:val="21"/>
          <w:szCs w:val="21"/>
        </w:rPr>
      </w:pPr>
      <w:r>
        <w:rPr>
          <w:rFonts w:hint="eastAsia" w:ascii="仿宋" w:hAnsi="仿宋" w:eastAsia="仿宋" w:cs="仿宋"/>
          <w:color w:val="auto"/>
          <w:sz w:val="21"/>
          <w:szCs w:val="21"/>
        </w:rPr>
        <w:t>（1）清楚标明递交至“供应商须知前附表”中指明的地址。</w:t>
      </w:r>
    </w:p>
    <w:p>
      <w:pPr>
        <w:snapToGrid w:val="0"/>
        <w:spacing w:line="360" w:lineRule="auto"/>
        <w:ind w:left="1365" w:hanging="612"/>
        <w:rPr>
          <w:rFonts w:hint="eastAsia" w:ascii="仿宋" w:hAnsi="仿宋" w:eastAsia="仿宋" w:cs="仿宋"/>
          <w:color w:val="auto"/>
          <w:sz w:val="21"/>
          <w:szCs w:val="21"/>
        </w:rPr>
      </w:pPr>
      <w:r>
        <w:rPr>
          <w:rFonts w:hint="eastAsia" w:ascii="仿宋" w:hAnsi="仿宋" w:eastAsia="仿宋" w:cs="仿宋"/>
          <w:color w:val="auto"/>
          <w:sz w:val="21"/>
          <w:szCs w:val="21"/>
        </w:rPr>
        <w:t>（2）标上合同名称、竞争性磋商文件编号/包号及“在</w:t>
      </w:r>
      <w:r>
        <w:rPr>
          <w:rFonts w:hint="eastAsia" w:ascii="仿宋" w:hAnsi="仿宋" w:eastAsia="仿宋" w:cs="仿宋"/>
          <w:color w:val="auto"/>
          <w:sz w:val="21"/>
          <w:szCs w:val="21"/>
          <w:u w:val="single"/>
        </w:rPr>
        <w:t xml:space="preserve">  月  </w:t>
      </w:r>
      <w:r>
        <w:rPr>
          <w:rFonts w:hint="eastAsia" w:ascii="仿宋" w:hAnsi="仿宋" w:eastAsia="仿宋" w:cs="仿宋"/>
          <w:color w:val="auto"/>
          <w:sz w:val="21"/>
          <w:szCs w:val="21"/>
        </w:rPr>
        <w:t>日（提交投标书日期）</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时（磋商时间）以前不得开封”的字样。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14</w:t>
      </w:r>
      <w:r>
        <w:rPr>
          <w:rFonts w:hint="eastAsia" w:ascii="仿宋" w:hAnsi="仿宋" w:eastAsia="仿宋" w:cs="仿宋"/>
          <w:color w:val="auto"/>
        </w:rPr>
        <w:t>、竞争性磋商响应文件的修改和撤回</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14</w:t>
      </w:r>
      <w:r>
        <w:rPr>
          <w:rFonts w:hint="eastAsia" w:ascii="仿宋" w:hAnsi="仿宋" w:eastAsia="仿宋" w:cs="仿宋"/>
          <w:color w:val="auto"/>
        </w:rPr>
        <w:t>.1供应商在递交竞争性磋商响应文件后，可以修改和撤回其竞争性磋商响应文件，但招标代理机构必须在规定的投标截止期之前收到该修改或撤回的书面通知。</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14</w:t>
      </w:r>
      <w:r>
        <w:rPr>
          <w:rFonts w:hint="eastAsia" w:ascii="仿宋" w:hAnsi="仿宋" w:eastAsia="仿宋" w:cs="仿宋"/>
          <w:color w:val="auto"/>
        </w:rPr>
        <w:t>.2供应商的修改或撤回通知书，应按规定密封、标注和递送,并应在封套上加注“修改”或“撤回”字样。</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14</w:t>
      </w:r>
      <w:r>
        <w:rPr>
          <w:rFonts w:hint="eastAsia" w:ascii="仿宋" w:hAnsi="仿宋" w:eastAsia="仿宋" w:cs="仿宋"/>
          <w:color w:val="auto"/>
        </w:rPr>
        <w:t>.3投标截止期之后的修改和撤回均无效。</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bookmarkStart w:id="51" w:name="_Toc103602610"/>
      <w:r>
        <w:rPr>
          <w:rFonts w:hint="eastAsia" w:ascii="仿宋" w:hAnsi="仿宋" w:eastAsia="仿宋" w:cs="仿宋"/>
          <w:color w:val="auto"/>
          <w:lang w:val="en-US" w:eastAsia="zh-CN"/>
        </w:rPr>
        <w:t>14</w:t>
      </w:r>
      <w:r>
        <w:rPr>
          <w:rFonts w:hint="eastAsia" w:ascii="仿宋" w:hAnsi="仿宋" w:eastAsia="仿宋" w:cs="仿宋"/>
          <w:color w:val="auto"/>
        </w:rPr>
        <w:t>.4供应商不得在投标截止日起至竞争性磋商响应文件有效期期满前撤回竞争性磋商响应文件，否则其投标保证金将被没收。</w:t>
      </w:r>
      <w:bookmarkEnd w:id="51"/>
    </w:p>
    <w:bookmarkEnd w:id="48"/>
    <w:bookmarkEnd w:id="49"/>
    <w:bookmarkEnd w:id="50"/>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bookmarkStart w:id="52" w:name="_Toc103602611"/>
      <w:bookmarkStart w:id="53" w:name="_Toc35423914"/>
      <w:bookmarkStart w:id="54" w:name="_Ref467306874"/>
      <w:bookmarkStart w:id="55" w:name="_Toc520356173"/>
      <w:bookmarkStart w:id="56" w:name="_Toc420957382"/>
      <w:r>
        <w:rPr>
          <w:rFonts w:hint="eastAsia" w:ascii="仿宋" w:hAnsi="仿宋" w:eastAsia="仿宋" w:cs="仿宋"/>
          <w:color w:val="auto"/>
        </w:rPr>
        <w:t>五</w:t>
      </w:r>
      <w:r>
        <w:rPr>
          <w:rFonts w:hint="eastAsia" w:ascii="仿宋" w:hAnsi="仿宋" w:eastAsia="仿宋" w:cs="仿宋"/>
          <w:color w:val="auto"/>
          <w:lang w:eastAsia="zh-CN"/>
        </w:rPr>
        <w:t>、</w:t>
      </w:r>
      <w:r>
        <w:rPr>
          <w:rFonts w:hint="eastAsia" w:ascii="仿宋" w:hAnsi="仿宋" w:eastAsia="仿宋" w:cs="仿宋"/>
          <w:color w:val="auto"/>
        </w:rPr>
        <w:t>竞争性磋商</w:t>
      </w:r>
      <w:bookmarkEnd w:id="52"/>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15</w:t>
      </w:r>
      <w:r>
        <w:rPr>
          <w:rFonts w:hint="eastAsia" w:ascii="仿宋" w:hAnsi="仿宋" w:eastAsia="仿宋" w:cs="仿宋"/>
          <w:color w:val="auto"/>
        </w:rPr>
        <w:t>、磋商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15</w:t>
      </w:r>
      <w:r>
        <w:rPr>
          <w:rFonts w:hint="eastAsia" w:ascii="仿宋" w:hAnsi="仿宋" w:eastAsia="仿宋" w:cs="仿宋"/>
          <w:color w:val="auto"/>
        </w:rPr>
        <w:t>.1 招标代理机构将在“供应商须知前附表”规定的时间、地点组织磋商。供应商应委派代表参加。</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15</w:t>
      </w:r>
      <w:r>
        <w:rPr>
          <w:rFonts w:hint="eastAsia" w:ascii="仿宋" w:hAnsi="仿宋" w:eastAsia="仿宋" w:cs="仿宋"/>
          <w:color w:val="auto"/>
        </w:rPr>
        <w:t>.2 提交了可接受的“撤回”通知的投标将不予开封。</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15</w:t>
      </w:r>
      <w:r>
        <w:rPr>
          <w:rFonts w:hint="eastAsia" w:ascii="仿宋" w:hAnsi="仿宋" w:eastAsia="仿宋" w:cs="仿宋"/>
          <w:color w:val="auto"/>
        </w:rPr>
        <w:t>.3评标方法：综合评分法。</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16</w:t>
      </w:r>
      <w:r>
        <w:rPr>
          <w:rFonts w:hint="eastAsia" w:ascii="仿宋" w:hAnsi="仿宋" w:eastAsia="仿宋" w:cs="仿宋"/>
          <w:color w:val="auto"/>
        </w:rPr>
        <w:t>、磋商小组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16</w:t>
      </w:r>
      <w:r>
        <w:rPr>
          <w:rFonts w:hint="eastAsia" w:ascii="仿宋" w:hAnsi="仿宋" w:eastAsia="仿宋" w:cs="仿宋"/>
          <w:color w:val="auto"/>
        </w:rPr>
        <w:t>.1 招标机构将按照《中华人民共和国政府采购法》有关规定组建磋商小组。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16</w:t>
      </w:r>
      <w:r>
        <w:rPr>
          <w:rFonts w:hint="eastAsia" w:ascii="仿宋" w:hAnsi="仿宋" w:eastAsia="仿宋" w:cs="仿宋"/>
          <w:color w:val="auto"/>
        </w:rPr>
        <w:t>.</w:t>
      </w:r>
      <w:r>
        <w:rPr>
          <w:rFonts w:hint="eastAsia" w:ascii="仿宋" w:hAnsi="仿宋" w:eastAsia="仿宋" w:cs="仿宋"/>
          <w:color w:val="auto"/>
          <w:lang w:val="en-US" w:eastAsia="zh-CN"/>
        </w:rPr>
        <w:t>2</w:t>
      </w:r>
      <w:r>
        <w:rPr>
          <w:rFonts w:hint="eastAsia" w:ascii="仿宋" w:hAnsi="仿宋" w:eastAsia="仿宋" w:cs="仿宋"/>
          <w:color w:val="auto"/>
        </w:rPr>
        <w:t xml:space="preserve"> 磋商小组所有成员集中与单一供应商分别进行磋商。在磋商中，磋商的任何一方不得透露与磋商有关的其他供应商的技术资料、价格和其他信息。竞争性磋商文件有实质性变动的，磋商小组应当以书面形式通知所有参加磋商的供应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16</w:t>
      </w:r>
      <w:r>
        <w:rPr>
          <w:rFonts w:hint="eastAsia" w:ascii="仿宋" w:hAnsi="仿宋" w:eastAsia="仿宋" w:cs="仿宋"/>
          <w:color w:val="auto"/>
        </w:rPr>
        <w:t>.</w:t>
      </w:r>
      <w:r>
        <w:rPr>
          <w:rFonts w:hint="eastAsia" w:ascii="仿宋" w:hAnsi="仿宋" w:eastAsia="仿宋" w:cs="仿宋"/>
          <w:color w:val="auto"/>
          <w:lang w:val="en-US" w:eastAsia="zh-CN"/>
        </w:rPr>
        <w:t>3</w:t>
      </w:r>
      <w:r>
        <w:rPr>
          <w:rFonts w:hint="eastAsia" w:ascii="仿宋" w:hAnsi="仿宋" w:eastAsia="仿宋" w:cs="仿宋"/>
          <w:color w:val="auto"/>
        </w:rPr>
        <w:t xml:space="preserve"> 磋商结束后，磋商小组应当要求所有参加磋商的供应商在规定时间内进行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16</w:t>
      </w:r>
      <w:r>
        <w:rPr>
          <w:rFonts w:hint="eastAsia" w:ascii="仿宋" w:hAnsi="仿宋" w:eastAsia="仿宋" w:cs="仿宋"/>
          <w:color w:val="auto"/>
        </w:rPr>
        <w:t>.</w:t>
      </w:r>
      <w:r>
        <w:rPr>
          <w:rFonts w:hint="eastAsia" w:ascii="仿宋" w:hAnsi="仿宋" w:eastAsia="仿宋" w:cs="仿宋"/>
          <w:color w:val="auto"/>
          <w:lang w:val="en-US" w:eastAsia="zh-CN"/>
        </w:rPr>
        <w:t>4</w:t>
      </w:r>
      <w:r>
        <w:rPr>
          <w:rFonts w:hint="eastAsia" w:ascii="仿宋" w:hAnsi="仿宋" w:eastAsia="仿宋" w:cs="仿宋"/>
          <w:color w:val="auto"/>
        </w:rPr>
        <w:t>参加磋商的供应商应当对磋商的承诺和最后报价以书面形式确认，并由授权代表签字。</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17</w:t>
      </w:r>
      <w:r>
        <w:rPr>
          <w:rFonts w:hint="eastAsia" w:ascii="仿宋" w:hAnsi="仿宋" w:eastAsia="仿宋" w:cs="仿宋"/>
          <w:color w:val="auto"/>
        </w:rPr>
        <w:t>、磋商过程的保密性</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17</w:t>
      </w:r>
      <w:r>
        <w:rPr>
          <w:rFonts w:hint="eastAsia" w:ascii="仿宋" w:hAnsi="仿宋" w:eastAsia="仿宋" w:cs="仿宋"/>
          <w:color w:val="auto"/>
        </w:rPr>
        <w:t>.1磋商后，直到向中标的供应商授予合同时止，凡与审查、澄清、评价和比较投标的有关资料以及授标意见等，均不得向供应商及与评标无关的其他人透露。</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18</w:t>
      </w:r>
      <w:r>
        <w:rPr>
          <w:rFonts w:hint="eastAsia" w:ascii="仿宋" w:hAnsi="仿宋" w:eastAsia="仿宋" w:cs="仿宋"/>
          <w:color w:val="auto"/>
        </w:rPr>
        <w:t>竞争性磋商响应文件的初审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18</w:t>
      </w:r>
      <w:r>
        <w:rPr>
          <w:rFonts w:hint="eastAsia" w:ascii="仿宋" w:hAnsi="仿宋" w:eastAsia="仿宋" w:cs="仿宋"/>
          <w:color w:val="auto"/>
        </w:rPr>
        <w:t>.1磋商小组将审查竞争性磋商响应文件是否完整、资格证明文件是否齐全、合格，投标保证金是否足额、有无计算上的错误等。</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18</w:t>
      </w:r>
      <w:r>
        <w:rPr>
          <w:rFonts w:hint="eastAsia" w:ascii="仿宋" w:hAnsi="仿宋" w:eastAsia="仿宋" w:cs="仿宋"/>
          <w:color w:val="auto"/>
        </w:rPr>
        <w:t>.</w:t>
      </w:r>
      <w:r>
        <w:rPr>
          <w:rFonts w:hint="eastAsia" w:ascii="仿宋" w:hAnsi="仿宋" w:eastAsia="仿宋" w:cs="仿宋"/>
          <w:color w:val="auto"/>
          <w:lang w:val="en-US" w:eastAsia="zh-CN"/>
        </w:rPr>
        <w:t>2</w:t>
      </w:r>
      <w:r>
        <w:rPr>
          <w:rFonts w:hint="eastAsia" w:ascii="仿宋" w:hAnsi="仿宋" w:eastAsia="仿宋" w:cs="仿宋"/>
          <w:color w:val="auto"/>
        </w:rPr>
        <w:t>如果投标实质性没有响应竞争性磋商文件的要求，其投标将被拒绝。供应商不得通过修正或撤消不符合要求的偏离或保留从而使其投标成为实质上响应的投标。</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18</w:t>
      </w:r>
      <w:r>
        <w:rPr>
          <w:rFonts w:hint="eastAsia" w:ascii="仿宋" w:hAnsi="仿宋" w:eastAsia="仿宋" w:cs="仿宋"/>
          <w:color w:val="auto"/>
        </w:rPr>
        <w:t>.</w:t>
      </w:r>
      <w:r>
        <w:rPr>
          <w:rFonts w:hint="eastAsia" w:ascii="仿宋" w:hAnsi="仿宋" w:eastAsia="仿宋" w:cs="仿宋"/>
          <w:color w:val="auto"/>
          <w:lang w:val="en-US" w:eastAsia="zh-CN"/>
        </w:rPr>
        <w:t>3</w:t>
      </w:r>
      <w:r>
        <w:rPr>
          <w:rFonts w:hint="eastAsia" w:ascii="仿宋" w:hAnsi="仿宋" w:eastAsia="仿宋" w:cs="仿宋"/>
          <w:color w:val="auto"/>
        </w:rPr>
        <w:t>采购人只对在初审中确定为实质性响应的竞争性磋商响应文件进行进一步的详细商务和技术评审。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19</w:t>
      </w:r>
      <w:r>
        <w:rPr>
          <w:rFonts w:hint="eastAsia" w:ascii="仿宋" w:hAnsi="仿宋" w:eastAsia="仿宋" w:cs="仿宋"/>
          <w:color w:val="auto"/>
        </w:rPr>
        <w:t>、竞争性磋商响应文件的澄清</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19</w:t>
      </w:r>
      <w:r>
        <w:rPr>
          <w:rFonts w:hint="eastAsia" w:ascii="仿宋" w:hAnsi="仿宋" w:eastAsia="仿宋" w:cs="仿宋"/>
          <w:color w:val="auto"/>
        </w:rPr>
        <w:t xml:space="preserve">.1为有助于对竞争性磋商响应文件的审查、评价和比较，评标期间可分别要求供应商对其竞争性磋商响应文件进行澄清或答疑，有关澄清或答疑要求的答复应以书面形式提交。 </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20</w:t>
      </w:r>
      <w:r>
        <w:rPr>
          <w:rFonts w:hint="eastAsia" w:ascii="仿宋" w:hAnsi="仿宋" w:eastAsia="仿宋" w:cs="仿宋"/>
          <w:color w:val="auto"/>
        </w:rPr>
        <w:t>、竞争性磋商响应文件的详细评审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20</w:t>
      </w:r>
      <w:r>
        <w:rPr>
          <w:rFonts w:hint="eastAsia" w:ascii="仿宋" w:hAnsi="仿宋" w:eastAsia="仿宋" w:cs="仿宋"/>
          <w:color w:val="auto"/>
        </w:rPr>
        <w:t>.1磋商小组将只对确定为实质上响应竞争性磋商文件要求的投标进行详细磋商。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21</w:t>
      </w:r>
      <w:r>
        <w:rPr>
          <w:rFonts w:hint="eastAsia" w:ascii="仿宋" w:hAnsi="仿宋" w:eastAsia="仿宋" w:cs="仿宋"/>
          <w:color w:val="auto"/>
        </w:rPr>
        <w:t>竞争性磋商综合评分法。</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21.1</w:t>
      </w:r>
      <w:r>
        <w:rPr>
          <w:rFonts w:hint="eastAsia" w:ascii="仿宋" w:hAnsi="仿宋" w:eastAsia="仿宋" w:cs="仿宋"/>
          <w:color w:val="auto"/>
        </w:rPr>
        <w:t>详细磋商即以竞争性磋商文件为依据，对所有实质上响应的投标分别从“商务”、“技术”、“服务”和“价格”四个方面进行磋商，结合节能环保产品报价占总项目的比例，给予相应的加分。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21</w:t>
      </w:r>
      <w:r>
        <w:rPr>
          <w:rFonts w:hint="eastAsia" w:ascii="仿宋" w:hAnsi="仿宋" w:eastAsia="仿宋" w:cs="仿宋"/>
          <w:color w:val="auto"/>
        </w:rPr>
        <w:t>.</w:t>
      </w:r>
      <w:r>
        <w:rPr>
          <w:rFonts w:hint="eastAsia" w:ascii="仿宋" w:hAnsi="仿宋" w:eastAsia="仿宋" w:cs="仿宋"/>
          <w:color w:val="auto"/>
          <w:lang w:val="en-US" w:eastAsia="zh-CN"/>
        </w:rPr>
        <w:t>2</w:t>
      </w:r>
      <w:r>
        <w:rPr>
          <w:rFonts w:hint="eastAsia" w:ascii="仿宋" w:hAnsi="仿宋" w:eastAsia="仿宋" w:cs="仿宋"/>
          <w:color w:val="auto"/>
        </w:rPr>
        <w:t>综合评分法中的价格分统一采用低价优先法计算，即满足竞争性磋商文件要求且最后报价最低的供应商的价格为磋商基准价，其价格分为满分。其他供应商的价格分统一按照下列公式计算：</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磋商报价得分=（磋商基准价/最终磋商报价）×分值</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21</w:t>
      </w:r>
      <w:r>
        <w:rPr>
          <w:rFonts w:hint="eastAsia" w:ascii="仿宋" w:hAnsi="仿宋" w:eastAsia="仿宋" w:cs="仿宋"/>
          <w:color w:val="auto"/>
        </w:rPr>
        <w:t>.</w:t>
      </w:r>
      <w:r>
        <w:rPr>
          <w:rFonts w:hint="eastAsia" w:ascii="仿宋" w:hAnsi="仿宋" w:eastAsia="仿宋" w:cs="仿宋"/>
          <w:color w:val="auto"/>
          <w:lang w:val="en-US" w:eastAsia="zh-CN"/>
        </w:rPr>
        <w:t>3</w:t>
      </w:r>
      <w:r>
        <w:rPr>
          <w:rFonts w:hint="eastAsia" w:ascii="仿宋" w:hAnsi="仿宋" w:eastAsia="仿宋" w:cs="仿宋"/>
          <w:color w:val="auto"/>
        </w:rPr>
        <w:t>评分准则</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lang w:eastAsia="zh-CN"/>
        </w:rPr>
      </w:pPr>
      <w:r>
        <w:rPr>
          <w:rFonts w:hint="eastAsia" w:ascii="仿宋" w:hAnsi="仿宋" w:eastAsia="仿宋" w:cs="仿宋"/>
          <w:color w:val="auto"/>
        </w:rPr>
        <w:t>对投标报价、</w:t>
      </w:r>
      <w:r>
        <w:rPr>
          <w:rFonts w:hint="eastAsia" w:ascii="仿宋" w:hAnsi="仿宋" w:eastAsia="仿宋" w:cs="仿宋"/>
          <w:color w:val="auto"/>
          <w:lang w:val="en-US" w:eastAsia="zh-CN"/>
        </w:rPr>
        <w:t>服务能力</w:t>
      </w:r>
      <w:r>
        <w:rPr>
          <w:rFonts w:hint="eastAsia" w:ascii="仿宋" w:hAnsi="仿宋" w:eastAsia="仿宋" w:cs="仿宋"/>
          <w:color w:val="auto"/>
        </w:rPr>
        <w:t>、相关业绩、服务团队、需求的理解程度和服务计划满足应用需求的程度、服务管理、服务管理流程及实施方案等方面综合评定、打分。出具评审意见、推荐预</w:t>
      </w:r>
      <w:r>
        <w:rPr>
          <w:rFonts w:hint="eastAsia" w:ascii="仿宋" w:hAnsi="仿宋" w:eastAsia="仿宋" w:cs="仿宋"/>
          <w:color w:val="auto"/>
          <w:lang w:val="en-US" w:eastAsia="zh-CN"/>
        </w:rPr>
        <w:t>成交</w:t>
      </w:r>
      <w:r>
        <w:rPr>
          <w:rFonts w:hint="eastAsia" w:ascii="仿宋" w:hAnsi="仿宋" w:eastAsia="仿宋" w:cs="仿宋"/>
          <w:color w:val="auto"/>
          <w:lang w:eastAsia="zh-CN"/>
        </w:rPr>
        <w:t>候选</w:t>
      </w:r>
      <w:r>
        <w:rPr>
          <w:rFonts w:hint="eastAsia" w:ascii="仿宋" w:hAnsi="仿宋" w:eastAsia="仿宋" w:cs="仿宋"/>
          <w:color w:val="auto"/>
        </w:rPr>
        <w:t>人</w:t>
      </w:r>
      <w:r>
        <w:rPr>
          <w:rFonts w:hint="eastAsia" w:ascii="仿宋" w:hAnsi="仿宋" w:eastAsia="仿宋" w:cs="仿宋"/>
          <w:color w:val="auto"/>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每位评委在审阅投标资料的基础上，对各投标单位进行综合打分。最后汇总所有评委的分数，求出每个投标单位的平均分并排序。预选排名前</w:t>
      </w:r>
      <w:r>
        <w:rPr>
          <w:rFonts w:hint="eastAsia" w:ascii="仿宋" w:hAnsi="仿宋" w:eastAsia="仿宋" w:cs="仿宋"/>
          <w:color w:val="auto"/>
          <w:lang w:eastAsia="zh-CN"/>
        </w:rPr>
        <w:t>三</w:t>
      </w:r>
      <w:r>
        <w:rPr>
          <w:rFonts w:hint="eastAsia" w:ascii="仿宋" w:hAnsi="仿宋" w:eastAsia="仿宋" w:cs="仿宋"/>
          <w:color w:val="auto"/>
        </w:rPr>
        <w:t>名的为</w:t>
      </w:r>
      <w:r>
        <w:rPr>
          <w:rFonts w:hint="eastAsia" w:ascii="仿宋" w:hAnsi="仿宋" w:eastAsia="仿宋" w:cs="仿宋"/>
          <w:color w:val="auto"/>
          <w:lang w:eastAsia="zh-CN"/>
        </w:rPr>
        <w:t>中标</w:t>
      </w:r>
      <w:r>
        <w:rPr>
          <w:rFonts w:hint="eastAsia" w:ascii="仿宋" w:hAnsi="仿宋" w:eastAsia="仿宋" w:cs="仿宋"/>
          <w:color w:val="auto"/>
        </w:rPr>
        <w:t>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根据</w:t>
      </w:r>
      <w:r>
        <w:rPr>
          <w:rFonts w:hint="eastAsia" w:ascii="仿宋" w:hAnsi="仿宋" w:eastAsia="仿宋" w:cs="仿宋"/>
          <w:color w:val="auto"/>
        </w:rPr>
        <w:t>《政府采购货物和服务招标投标管理办法》</w:t>
      </w:r>
      <w:r>
        <w:rPr>
          <w:rFonts w:hint="eastAsia" w:ascii="仿宋" w:hAnsi="仿宋" w:eastAsia="仿宋" w:cs="仿宋"/>
          <w:color w:val="auto"/>
          <w:lang w:val="en-US" w:eastAsia="zh-CN"/>
        </w:rPr>
        <w:t>相关规定，</w:t>
      </w:r>
      <w:r>
        <w:rPr>
          <w:rFonts w:hint="eastAsia" w:ascii="仿宋" w:hAnsi="仿宋" w:eastAsia="仿宋" w:cs="仿宋"/>
          <w:color w:val="auto"/>
        </w:rPr>
        <w:t>在评标结束后2个工作日内将评标报告送采购人。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采购人应当自收到评标报告之日起５个工作日内，在评标报告确定的中标候选人名单中按顺序确定中标人。</w:t>
      </w:r>
    </w:p>
    <w:tbl>
      <w:tblPr>
        <w:tblStyle w:val="38"/>
        <w:tblW w:w="68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00"/>
        <w:gridCol w:w="1534"/>
        <w:gridCol w:w="1974"/>
        <w:gridCol w:w="697"/>
        <w:gridCol w:w="3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序号</w:t>
            </w:r>
          </w:p>
        </w:tc>
        <w:tc>
          <w:tcPr>
            <w:tcW w:w="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评分项目</w:t>
            </w:r>
          </w:p>
        </w:tc>
        <w:tc>
          <w:tcPr>
            <w:tcW w:w="1187" w:type="dxa"/>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项目</w:t>
            </w:r>
          </w:p>
        </w:tc>
        <w:tc>
          <w:tcPr>
            <w:tcW w:w="692"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分值（分）</w:t>
            </w:r>
          </w:p>
        </w:tc>
        <w:tc>
          <w:tcPr>
            <w:tcW w:w="36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评分标准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价格（20分）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价格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以按照招标文件规定修正后的所有合格投标人的最低价为评分基准价。</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投标报价得分=（基准价/投标供应商投标报价）*20</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投标人不得低于成本或市场价恶意竞标，评审小组认为投标人的报价明显低于其他通过符合性审查投标人的报价，有可能影响产品质量或者不能诚信履约的，应当要求其在投标现场合理的时间内提供书面说明，必要时提交相关证明材料；投标人不能证明其报价合理性的，评审小组应当将其作为无效投标响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商务评分（15分）</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计算机软件著作权登记证书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4</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投标人或投标产品生产厂商具有数据采集软件、数据中台系统软件、数据治理系统软件、数据服务聚合系统软件计算机等相关软件著作权登记证书（软件著作权登记日期须是招标公告发布日之前）。每提供一份得1分，共4分，（须提供证书原件扫描件，加盖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1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信息安全能力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投标人提供中国网络安全审查技术与认证中心颁发的CCRC信息系统安全运维服务资质资质资质得 2 分，不提供不得分。（须提供原件扫描件，加盖投标人公章）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1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投标人提供中国网络安全审查技术与认证中心颁发的 CCRC信息安全应急处理服务资质得 2 分，不提供不得分。（须提供原件扫描件，加盖投标人公章）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1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投标人提供中国网络安全审查技术与认证中心颁发的 CCRC信息系统灾难备份与恢复服务资质得 2 分，不提供不得分。（须提供原件扫描件，加盖投标人公章）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质量管理体系认证证书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投标人提供ISO9001、ISO27001质量体系证书，每提供一个得1分，共2分。（须提供原件扫描件，加盖投标人公章）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投标人业绩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投标人或投标产品生产厂商近3年内所完成的类似项目，提供中标通知书或合同复印件，每题供1个得1分，最多3分。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技术部分（55）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技术响应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auto"/>
                <w:sz w:val="16"/>
                <w:szCs w:val="16"/>
                <w:u w:val="none"/>
              </w:rPr>
            </w:pPr>
            <w:r>
              <w:rPr>
                <w:rFonts w:hint="eastAsia" w:ascii="宋体" w:hAnsi="宋体" w:eastAsia="宋体" w:cs="宋体"/>
                <w:b/>
                <w:bCs/>
                <w:i w:val="0"/>
                <w:iCs w:val="0"/>
                <w:color w:val="auto"/>
                <w:kern w:val="0"/>
                <w:sz w:val="16"/>
                <w:szCs w:val="16"/>
                <w:u w:val="none"/>
                <w:lang w:val="en-US" w:eastAsia="zh-CN" w:bidi="ar"/>
              </w:rPr>
              <w:t>投标人所投产品完全响应招标文件技术需求的，得20分，标*项参数（非否决项）每负偏离1项扣1分，非*项参数每负偏离1项扣0.5分，两项合计扣至0分为止。</w:t>
            </w:r>
            <w:r>
              <w:rPr>
                <w:rFonts w:hint="eastAsia" w:ascii="宋体" w:hAnsi="宋体" w:eastAsia="宋体" w:cs="宋体"/>
                <w:b/>
                <w:bCs/>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（注：*项参数须提供系统功能运行截图，加盖投标人公章。未提供或提供的材料不能证明完全响应参数要求的，不得分）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总体技术方案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10</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对投标人提供的技术方案进行综合评审：</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1.技术方案能够充分理解项目建设背景，结合本项目实际情况，对需求有深入分析的，得3分；技术方案能够较充分理解项目建设背景，结合本项目实际情况，对需求有较深入分析的，得2分；技术方案能够基本理解项目建设背景，结合本项目实际情况，对需求不够深入分析的，得1分；技术方案未理解项目建设背景，未对需求深入分析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2.技术方案思路清晰，系统整体架构设计先进、合理、可行、可靠的，得3分；技术方案思路较清晰，系统整体架构设计较先进、较合理、较可行、较可靠的，得2分；技术方案思路基本清晰，系统整体架构设计不够先进、不够合理、不够可行、不够可靠的，得1分；技术方案思路不清晰，系统整体架构设计不先进、不合理、不可行、不可靠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3.技术方案功能设计完善，能够准确把握项目特点、重点、难点及建设的主要目标，满足本项目建设要求的，得4分；技术方案功能设计较完善，较准确把握项目特点、重点、难点及建设的主要目标，较能满足本项目建设要求的，得3分；技术方案功能设计基本完善，基本把握项目特点、重点、难点及建设的主要目标，基本满足本项目建设要求的，得2分；技术方案功能设计不完善，未能把握项目特点、重点、难点及建设的主要目标，未能满足本项目建设要求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项目实施方案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根据投标人提供的针对本项目的实施方案，能够充分理解项目实施需求，对项目实施需求有深入分析，实施进度合理、服务保障全面、应急响应方案完备的，得5分；方案能够较充分理解项目实施需求，对项目实施需求有较深入分析，实施进度较合理、服务保障较全面、应急响应方案较完备的，得3分；方案能够基本理解项目实施需求，对项目实施需求有基本分析，实施进度基本合理、服务保障一般、应急响应方案基本完备的，得2分；方案未理解项目实施需求，对项目实施需求缺少分析，实施进度不合理、服务保障不足、应急响应方案不完备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现场系统功能演示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20</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根据投标人对其产品展示综合效果评审，并现场回答提问，演示环境由投标人自行搭建，必须调用真实平台或真实应用系统进行演示，如使用PPT、FLASH、视频或DEMO演示，则不得分。演示时间为20分钟，每超出5分钟扣1分，但总时间不得超过30分钟。演示内容如下：</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一、数据汇聚中心</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1、库表采集管理：采集代理端管理，支持采集代理端的上下线管理，支持代理端的密码设置与密码更新策略配置。离线库表任务管理，支持库表任务管理，支持可视化配置库表采集任务，支持修改已配置的任务，支持任务的定时调度与立即触发执行，支持任务定时设置，支持任务执行日志记录查询。支持库表任务的执行，从源数据库拉取数据同步到数据库，包括MySQL、Hive、HBase数据库。</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满足参数要求得1分，不满足要求的不得分）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2、文件采集管理:文件模板下载，支持选择不同的数据对象，生成该数据对象的Excle文件模板，用户根据该模板可填报数据进行上报。文件上传：支持选择与文件模板一致的数据对象，上传文件，支持读取文件数据并写入数据库，包括MySQL、Hive、HBase等数据库。</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3、数据对账管理：通过库表采集，文件采集，表单填报、接口采集等方式采集交换的数据异常信息进行管理，包括数据处理时间、采集量、入库量、采集异常信息等</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4、文件在线填报管理：文件在线填报数据上报：支持根据表单模板填写数据，支持基于execl在线填报数据，提供数据字体、数据格式等自定义适配。支持在线填报记录查询，包括填报时间、填报人、数据异常反馈信息等。支持在线数据上报后数据入库，包括MySQL、Hive、HBase等数据库。</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w:t>
            </w:r>
            <w:r>
              <w:rPr>
                <w:rStyle w:val="122"/>
                <w:color w:val="auto"/>
                <w:lang w:val="en-US" w:eastAsia="zh-CN" w:bidi="ar"/>
              </w:rPr>
              <w:t>演示内容</w:t>
            </w:r>
            <w:r>
              <w:rPr>
                <w:rFonts w:hint="eastAsia" w:ascii="宋体" w:hAnsi="宋体" w:eastAsia="宋体" w:cs="宋体"/>
                <w:i w:val="0"/>
                <w:iCs w:val="0"/>
                <w:color w:val="auto"/>
                <w:kern w:val="0"/>
                <w:sz w:val="16"/>
                <w:szCs w:val="16"/>
                <w:u w:val="none"/>
                <w:lang w:val="en-US" w:eastAsia="zh-CN" w:bidi="ar"/>
              </w:rPr>
              <w:t>满足参数要求得1分，不满足要求的不得分）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二、数据资产中心</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1、数据资产管理：资产目录管理，以数据项为数据模型的最小组织单位，重新构建学校标准数据实例模型，并实现资源目录的注册、编辑与删除以及日常资源的维护，支持数据资产目录的排序变更，支持数据资产目录的层级划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满足参数要求得1分，不满足要求的不得分）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2、数据标准代码配置管理：支持对数据标准配置,数据标准值与数据标准名称的设置、编辑、删除功能。</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满足参数要求得1分，不满足要求的不得分）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3、数据质量管理：质量规则管理，支持质量规则模板设置，支持内嵌的多种数据质量校验规则，如：非空校验、身份证校验、类型校验等，支持数据质量校验内容扩展，可以通过其他方式扩展数据质量校验规则，支持质量校验规则模板的维护。质量规则映射，支持数据质量检测规则与数据对象字段的映射关系,支持数据质量检测任务执行,支持查看数据质量检测执行结果等功能,支持对映射关系的维护。</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三、数据服务中心</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1、数据服务接口自动化：支持基于Web页面构建数据服务接口，支持where条件过滤查询，模糊匹配；支持接口参数校验与加密。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四、</w:t>
            </w:r>
            <w:r>
              <w:rPr>
                <w:rFonts w:hint="eastAsia" w:ascii="宋体" w:hAnsi="宋体" w:eastAsia="宋体" w:cs="宋体"/>
                <w:i w:val="0"/>
                <w:iCs w:val="0"/>
                <w:color w:val="auto"/>
                <w:kern w:val="0"/>
                <w:sz w:val="16"/>
                <w:szCs w:val="16"/>
                <w:u w:val="none"/>
                <w:lang w:val="en-US" w:eastAsia="zh-CN" w:bidi="ar"/>
              </w:rPr>
              <w:t>任务调度中心</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1、数据指标自动化构建工具：支持通过可视化方式实现任务新建，实现教育部数据指标任务构建与运行。</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2、工作流定义：支持支持以可视化拖拉拽的方式配置shell，hive，python，Flink，datax等10多种任务模式，支持任务定时并行触发，提供上线，下线，编辑，定时管理，工作流执行日志查看，任务重跑，优先级，告警，任务导出功能。</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3、任务拖拉拽构建：支持数据计算任务可视化拖拉拽进行任务编排，查看任务执行日志，支持任务失败重试。</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五、国家职业教育行业中高职数据平台实施经验</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1、具备国家职业教育行业中高职数据平台实施经验，并且具备系统演示能力。</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b/>
                <w:bCs/>
                <w:i w:val="0"/>
                <w:iCs w:val="0"/>
                <w:color w:val="auto"/>
                <w:kern w:val="0"/>
                <w:sz w:val="16"/>
                <w:szCs w:val="16"/>
                <w:u w:val="none"/>
                <w:lang w:val="en-US" w:eastAsia="zh-CN" w:bidi="ar"/>
              </w:rPr>
              <w:t>（</w:t>
            </w:r>
            <w:r>
              <w:rPr>
                <w:rStyle w:val="121"/>
                <w:color w:val="auto"/>
                <w:lang w:val="en-US" w:eastAsia="zh-CN" w:bidi="ar"/>
              </w:rPr>
              <w:t>演示内容</w:t>
            </w:r>
            <w:r>
              <w:rPr>
                <w:rFonts w:hint="eastAsia" w:ascii="宋体" w:hAnsi="宋体" w:eastAsia="宋体" w:cs="宋体"/>
                <w:b/>
                <w:bCs/>
                <w:i w:val="0"/>
                <w:iCs w:val="0"/>
                <w:color w:val="auto"/>
                <w:kern w:val="0"/>
                <w:sz w:val="16"/>
                <w:szCs w:val="16"/>
                <w:u w:val="none"/>
                <w:lang w:val="en-US" w:eastAsia="zh-CN" w:bidi="ar"/>
              </w:rPr>
              <w:t>满足参数要求得2分，不满足要求的不得分）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等线" w:hAnsi="等线" w:eastAsia="等线" w:cs="等线"/>
                <w:i w:val="0"/>
                <w:iCs w:val="0"/>
                <w:color w:val="auto"/>
                <w:sz w:val="16"/>
                <w:szCs w:val="16"/>
                <w:u w:val="none"/>
              </w:rPr>
            </w:pPr>
            <w:r>
              <w:rPr>
                <w:rFonts w:hint="eastAsia" w:ascii="等线" w:hAnsi="等线" w:eastAsia="等线" w:cs="等线"/>
                <w:i w:val="0"/>
                <w:iCs w:val="0"/>
                <w:color w:val="auto"/>
                <w:kern w:val="0"/>
                <w:sz w:val="16"/>
                <w:szCs w:val="16"/>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售后服务（10）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售后服务方案与保障能力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5</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1.投标人提供的服务团队人员安排与质量保障应急响应服务方案。服务团队人员安排能够充分满足项目服务需求，职责明确，人员分配合理，质量保障应急响应服务措施完善、可靠的，得3分； 服务团队人员安排能够较充分满足项目服务需求，职责较明确，人员分配较合理，质量保障应急响应服务措施较完善、较可靠的，得2分；服务团队人员安排能够基本满足项目服务需求，职责基本明确，人员分配基本合理，质量保障应急响应服务措施基本完善、基本可靠的，得1分；服务团队人员安排不能满足项目服务需求，职责不明确，人员分配不合理，质量保障应急响应服务措施不完善、不可靠的，不得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 xml:space="preserve">2.投标人提供项目培训方案与现场服务方案能够充分满足项目服务需求，对项目服务需求有深入分析，方案内容充实，具有高可实施性的，得2分；项目培训方案与现场服务方案中能够基本满足项目服务需求，对项目服务需求有基本分析，方案内容基本充实，具有基本可实施性的，得1分；项目培训方案与现场服务方案中不能满足项目服务需求，对项目服务需求缺乏分析，方案内容不充实，不具可实施性的，不得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系统运维服务方案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3</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根据本项目3年质保要求，投标人提供系统运维服务方案能够充分理解项目运维服务需求，对项目运维服务需求有深入分析，内容详实可信、论述充分、针对性强、可靠性高、安全性好的，得4分；方案能够较充分理解项目运维服务需求，对项目运维服务需求有较深入分析，内容较详实可信、论述较充分，针对性较强、可靠性较高、安全性较好的，得3分；方案能够基本理解运维项目服务需求，对项目运维服务需求有基本分析，内容基本详实可信、论述基本充分，针对性一般、可靠性一般、安全性一般的，得2分；方案未理解项目运维服务需求，对项目运维服务需求缺少分析，内容不详实可信、论述不充分，针对性不强、可靠性不高、安全性不好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16"/>
                <w:szCs w:val="16"/>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质保年限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2</w:t>
            </w:r>
          </w:p>
        </w:tc>
        <w:tc>
          <w:tcPr>
            <w:tcW w:w="36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u w:val="none"/>
              </w:rPr>
            </w:pPr>
            <w:r>
              <w:rPr>
                <w:rFonts w:hint="eastAsia" w:ascii="宋体" w:hAnsi="宋体" w:eastAsia="宋体" w:cs="宋体"/>
                <w:i w:val="0"/>
                <w:iCs w:val="0"/>
                <w:color w:val="auto"/>
                <w:kern w:val="0"/>
                <w:sz w:val="16"/>
                <w:szCs w:val="16"/>
                <w:u w:val="none"/>
                <w:lang w:val="en-US" w:eastAsia="zh-CN" w:bidi="ar"/>
              </w:rPr>
              <w:t>提供质保服务三年得1分；每多承诺一年质保服务加1分，最多2分。</w:t>
            </w:r>
            <w:r>
              <w:rPr>
                <w:rFonts w:hint="eastAsia" w:ascii="宋体" w:hAnsi="宋体" w:eastAsia="宋体" w:cs="宋体"/>
                <w:i w:val="0"/>
                <w:iCs w:val="0"/>
                <w:color w:val="auto"/>
                <w:kern w:val="0"/>
                <w:sz w:val="16"/>
                <w:szCs w:val="16"/>
                <w:u w:val="none"/>
                <w:lang w:val="en-US" w:eastAsia="zh-CN" w:bidi="ar"/>
              </w:rPr>
              <w:br w:type="textWrapping"/>
            </w:r>
            <w:r>
              <w:rPr>
                <w:rFonts w:hint="eastAsia" w:ascii="宋体" w:hAnsi="宋体" w:eastAsia="宋体" w:cs="宋体"/>
                <w:i w:val="0"/>
                <w:iCs w:val="0"/>
                <w:color w:val="auto"/>
                <w:kern w:val="0"/>
                <w:sz w:val="16"/>
                <w:szCs w:val="16"/>
                <w:u w:val="none"/>
                <w:lang w:val="en-US" w:eastAsia="zh-CN" w:bidi="ar"/>
              </w:rPr>
              <w:t>（注：需提供质保年限承诺函，并加盖投标人公章）</w:t>
            </w:r>
          </w:p>
        </w:tc>
      </w:tr>
    </w:tbl>
    <w:p>
      <w:pPr>
        <w:pStyle w:val="46"/>
        <w:numPr>
          <w:ilvl w:val="1"/>
          <w:numId w:val="0"/>
        </w:numPr>
        <w:rPr>
          <w:rFonts w:hint="eastAsia"/>
          <w:color w:val="auto"/>
        </w:rPr>
      </w:pPr>
    </w:p>
    <w:bookmarkEnd w:id="53"/>
    <w:bookmarkEnd w:id="54"/>
    <w:bookmarkEnd w:id="55"/>
    <w:bookmarkEnd w:id="56"/>
    <w:p>
      <w:pPr>
        <w:spacing w:line="240" w:lineRule="auto"/>
        <w:rPr>
          <w:rFonts w:hint="eastAsia" w:ascii="仿宋" w:hAnsi="仿宋" w:eastAsia="仿宋" w:cs="仿宋"/>
          <w:color w:val="auto"/>
        </w:rPr>
      </w:pPr>
      <w:bookmarkStart w:id="57" w:name="_Toc103602613"/>
      <w:r>
        <w:rPr>
          <w:rFonts w:hint="eastAsia" w:ascii="仿宋" w:hAnsi="仿宋" w:eastAsia="仿宋" w:cs="仿宋"/>
          <w:color w:val="auto"/>
        </w:rPr>
        <w:t>七</w:t>
      </w:r>
      <w:r>
        <w:rPr>
          <w:rFonts w:hint="eastAsia" w:ascii="仿宋" w:hAnsi="仿宋" w:eastAsia="仿宋" w:cs="仿宋"/>
          <w:color w:val="auto"/>
          <w:lang w:eastAsia="zh-CN"/>
        </w:rPr>
        <w:t>、</w:t>
      </w:r>
      <w:r>
        <w:rPr>
          <w:rFonts w:hint="eastAsia" w:ascii="仿宋" w:hAnsi="仿宋" w:eastAsia="仿宋" w:cs="仿宋"/>
          <w:color w:val="auto"/>
        </w:rPr>
        <w:t>授予合同</w:t>
      </w:r>
      <w:bookmarkEnd w:id="57"/>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2</w:t>
      </w:r>
      <w:r>
        <w:rPr>
          <w:rFonts w:hint="eastAsia" w:ascii="仿宋" w:hAnsi="仿宋" w:eastAsia="仿宋" w:cs="仿宋"/>
          <w:color w:val="auto"/>
          <w:lang w:val="en-US" w:eastAsia="zh-CN"/>
        </w:rPr>
        <w:t>2</w:t>
      </w:r>
      <w:r>
        <w:rPr>
          <w:rFonts w:hint="eastAsia" w:ascii="仿宋" w:hAnsi="仿宋" w:eastAsia="仿宋" w:cs="仿宋"/>
          <w:color w:val="auto"/>
        </w:rPr>
        <w:t>、合同授予标准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22</w:t>
      </w:r>
      <w:r>
        <w:rPr>
          <w:rFonts w:hint="eastAsia" w:ascii="仿宋" w:hAnsi="仿宋" w:eastAsia="仿宋" w:cs="仿宋"/>
          <w:color w:val="auto"/>
        </w:rPr>
        <w:t>.1</w:t>
      </w:r>
      <w:r>
        <w:rPr>
          <w:rFonts w:hint="eastAsia" w:ascii="仿宋" w:hAnsi="仿宋" w:eastAsia="仿宋" w:cs="仿宋"/>
          <w:color w:val="auto"/>
          <w:lang w:val="en-US" w:eastAsia="zh-CN"/>
        </w:rPr>
        <w:t>采购人</w:t>
      </w:r>
      <w:r>
        <w:rPr>
          <w:rFonts w:hint="eastAsia" w:ascii="仿宋" w:hAnsi="仿宋" w:eastAsia="仿宋" w:cs="仿宋"/>
          <w:color w:val="auto"/>
        </w:rPr>
        <w:t>应将合同授予被确定为实质上响应竞争性磋商文件要求的，能够满意的履行合同义务合理投标价的供应商。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23</w:t>
      </w:r>
      <w:r>
        <w:rPr>
          <w:rFonts w:hint="eastAsia" w:ascii="仿宋" w:hAnsi="仿宋" w:eastAsia="仿宋" w:cs="仿宋"/>
          <w:color w:val="auto"/>
        </w:rPr>
        <w:t>、接受和拒绝任何或所有投标的权力</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23</w:t>
      </w:r>
      <w:r>
        <w:rPr>
          <w:rFonts w:hint="eastAsia" w:ascii="仿宋" w:hAnsi="仿宋" w:eastAsia="仿宋" w:cs="仿宋"/>
          <w:color w:val="auto"/>
        </w:rPr>
        <w:t>.1招标方保留在授标之前任何时候接受或拒绝任何投标，以及宣布招标程序无效或拒绝所有投标的权力，对受影响的供应商不承担任何责任。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24</w:t>
      </w:r>
      <w:r>
        <w:rPr>
          <w:rFonts w:hint="eastAsia" w:ascii="仿宋" w:hAnsi="仿宋" w:eastAsia="仿宋" w:cs="仿宋"/>
          <w:color w:val="auto"/>
        </w:rPr>
        <w:t>、成交通知书</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24</w:t>
      </w:r>
      <w:r>
        <w:rPr>
          <w:rFonts w:hint="eastAsia" w:ascii="仿宋" w:hAnsi="仿宋" w:eastAsia="仿宋" w:cs="仿宋"/>
          <w:color w:val="auto"/>
        </w:rPr>
        <w:t>.1采购人向排名前三的供应商发出成交通知书，成交通知书将是合同的一个组成部分。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24</w:t>
      </w:r>
      <w:r>
        <w:rPr>
          <w:rFonts w:hint="eastAsia" w:ascii="仿宋" w:hAnsi="仿宋" w:eastAsia="仿宋" w:cs="仿宋"/>
          <w:color w:val="auto"/>
        </w:rPr>
        <w:t>.2 采购人对未中标原因不作任何解释。</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25</w:t>
      </w:r>
      <w:r>
        <w:rPr>
          <w:rFonts w:hint="eastAsia" w:ascii="仿宋" w:hAnsi="仿宋" w:eastAsia="仿宋" w:cs="仿宋"/>
          <w:color w:val="auto"/>
        </w:rPr>
        <w:t>、签订合同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25</w:t>
      </w:r>
      <w:r>
        <w:rPr>
          <w:rFonts w:hint="eastAsia" w:ascii="仿宋" w:hAnsi="仿宋" w:eastAsia="仿宋" w:cs="仿宋"/>
          <w:color w:val="auto"/>
        </w:rPr>
        <w:t>.</w:t>
      </w:r>
      <w:r>
        <w:rPr>
          <w:rFonts w:hint="eastAsia" w:ascii="仿宋" w:hAnsi="仿宋" w:eastAsia="仿宋" w:cs="仿宋"/>
          <w:color w:val="auto"/>
          <w:lang w:val="en-US" w:eastAsia="zh-CN"/>
        </w:rPr>
        <w:t>1</w:t>
      </w:r>
      <w:r>
        <w:rPr>
          <w:rFonts w:hint="eastAsia" w:ascii="仿宋" w:hAnsi="仿宋" w:eastAsia="仿宋" w:cs="仿宋"/>
          <w:color w:val="auto"/>
        </w:rPr>
        <w:t>成交供应商接到成交通知书后应在7日内在要求的时间、地点与买方签定合同。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26</w:t>
      </w:r>
      <w:r>
        <w:rPr>
          <w:rFonts w:hint="eastAsia" w:ascii="仿宋" w:hAnsi="仿宋" w:eastAsia="仿宋" w:cs="仿宋"/>
          <w:color w:val="auto"/>
        </w:rPr>
        <w:t>、合同文件</w:t>
      </w:r>
    </w:p>
    <w:p>
      <w:pPr>
        <w:keepNext w:val="0"/>
        <w:keepLines w:val="0"/>
        <w:pageBreakBefore w:val="0"/>
        <w:widowControl w:val="0"/>
        <w:kinsoku/>
        <w:wordWrap/>
        <w:overflowPunct/>
        <w:topLinePunct w:val="0"/>
        <w:autoSpaceDE/>
        <w:autoSpaceDN/>
        <w:bidi w:val="0"/>
        <w:adjustRightInd/>
        <w:snapToGrid/>
        <w:spacing w:line="240" w:lineRule="auto"/>
        <w:ind w:firstLine="840" w:firstLineChars="400"/>
        <w:textAlignment w:val="auto"/>
        <w:rPr>
          <w:rFonts w:hint="eastAsia" w:ascii="仿宋" w:hAnsi="仿宋" w:eastAsia="仿宋" w:cs="仿宋"/>
          <w:color w:val="auto"/>
          <w:lang w:eastAsia="zh-CN"/>
        </w:rPr>
      </w:pPr>
      <w:r>
        <w:rPr>
          <w:rFonts w:hint="eastAsia" w:ascii="仿宋" w:hAnsi="仿宋" w:eastAsia="仿宋" w:cs="仿宋"/>
          <w:color w:val="auto"/>
        </w:rPr>
        <w:t xml:space="preserve">    </w:t>
      </w:r>
      <w:r>
        <w:rPr>
          <w:rFonts w:hint="eastAsia" w:ascii="仿宋" w:hAnsi="仿宋" w:eastAsia="仿宋" w:cs="仿宋"/>
          <w:color w:val="auto"/>
        </w:rPr>
        <w:br w:type="page"/>
      </w:r>
      <w:bookmarkStart w:id="58" w:name="_Toc420957390"/>
      <w:bookmarkStart w:id="59" w:name="_Toc153346192"/>
      <w:bookmarkStart w:id="60" w:name="_Toc115514545"/>
      <w:bookmarkStart w:id="61" w:name="_Toc106381647"/>
      <w:bookmarkStart w:id="62" w:name="_Toc153347053"/>
    </w:p>
    <w:p>
      <w:pPr>
        <w:spacing w:line="240" w:lineRule="auto"/>
        <w:rPr>
          <w:rFonts w:hint="eastAsia" w:ascii="仿宋" w:hAnsi="仿宋" w:eastAsia="仿宋" w:cs="仿宋"/>
          <w:color w:val="auto"/>
        </w:rPr>
      </w:pPr>
    </w:p>
    <w:p>
      <w:pPr>
        <w:pStyle w:val="4"/>
        <w:spacing w:line="240" w:lineRule="auto"/>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rPr>
          <w:rFonts w:hint="eastAsia" w:ascii="仿宋" w:hAnsi="仿宋" w:eastAsia="仿宋" w:cs="仿宋"/>
          <w:color w:val="auto"/>
        </w:rPr>
      </w:pPr>
    </w:p>
    <w:p>
      <w:pPr>
        <w:rPr>
          <w:rFonts w:hint="eastAsia" w:ascii="仿宋" w:hAnsi="仿宋" w:eastAsia="仿宋" w:cs="仿宋"/>
          <w:color w:val="auto"/>
        </w:rPr>
      </w:pPr>
    </w:p>
    <w:p>
      <w:pPr>
        <w:rPr>
          <w:rFonts w:hint="eastAsia" w:ascii="仿宋" w:hAnsi="仿宋" w:eastAsia="仿宋" w:cs="仿宋"/>
          <w:color w:val="auto"/>
        </w:rPr>
      </w:pPr>
    </w:p>
    <w:p>
      <w:pPr>
        <w:pStyle w:val="2"/>
        <w:spacing w:line="360" w:lineRule="auto"/>
        <w:jc w:val="center"/>
        <w:rPr>
          <w:rFonts w:hint="eastAsia" w:ascii="仿宋" w:hAnsi="仿宋" w:eastAsia="仿宋" w:cs="仿宋"/>
          <w:bCs w:val="0"/>
          <w:color w:val="auto"/>
          <w:sz w:val="36"/>
          <w:szCs w:val="36"/>
          <w:lang w:eastAsia="zh-CN"/>
        </w:rPr>
      </w:pPr>
      <w:bookmarkStart w:id="63" w:name="_Toc9320"/>
      <w:r>
        <w:rPr>
          <w:rFonts w:hint="eastAsia" w:ascii="仿宋" w:hAnsi="仿宋" w:eastAsia="仿宋" w:cs="仿宋"/>
          <w:bCs w:val="0"/>
          <w:color w:val="auto"/>
          <w:sz w:val="36"/>
          <w:szCs w:val="36"/>
        </w:rPr>
        <w:t>第</w:t>
      </w:r>
      <w:r>
        <w:rPr>
          <w:rFonts w:hint="eastAsia" w:ascii="仿宋" w:hAnsi="仿宋" w:eastAsia="仿宋" w:cs="仿宋"/>
          <w:bCs w:val="0"/>
          <w:color w:val="auto"/>
          <w:sz w:val="36"/>
          <w:szCs w:val="36"/>
          <w:lang w:val="en-US" w:eastAsia="zh-CN"/>
        </w:rPr>
        <w:t>三</w:t>
      </w:r>
      <w:r>
        <w:rPr>
          <w:rFonts w:hint="eastAsia" w:ascii="仿宋" w:hAnsi="仿宋" w:eastAsia="仿宋" w:cs="仿宋"/>
          <w:bCs w:val="0"/>
          <w:color w:val="auto"/>
          <w:sz w:val="36"/>
          <w:szCs w:val="36"/>
        </w:rPr>
        <w:t xml:space="preserve">部分  </w:t>
      </w:r>
      <w:r>
        <w:rPr>
          <w:rFonts w:hint="eastAsia" w:ascii="仿宋" w:hAnsi="仿宋" w:eastAsia="仿宋" w:cs="仿宋"/>
          <w:bCs w:val="0"/>
          <w:color w:val="auto"/>
          <w:sz w:val="36"/>
          <w:szCs w:val="36"/>
          <w:lang w:val="en-US" w:eastAsia="zh-CN"/>
        </w:rPr>
        <w:t>采购需求</w:t>
      </w:r>
      <w:bookmarkEnd w:id="63"/>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tbl>
      <w:tblPr>
        <w:tblStyle w:val="38"/>
        <w:tblW w:w="898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5"/>
        <w:gridCol w:w="730"/>
        <w:gridCol w:w="1222"/>
        <w:gridCol w:w="5656"/>
        <w:gridCol w:w="377"/>
        <w:gridCol w:w="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等线" w:eastAsia="仿宋_GB2312" w:cs="仿宋_GB2312"/>
                <w:b/>
                <w:bCs/>
                <w:i w:val="0"/>
                <w:iCs w:val="0"/>
                <w:color w:val="auto"/>
                <w:sz w:val="16"/>
                <w:szCs w:val="16"/>
                <w:u w:val="none"/>
              </w:rPr>
            </w:pPr>
            <w:r>
              <w:rPr>
                <w:rFonts w:hint="default" w:ascii="仿宋_GB2312" w:hAnsi="等线" w:eastAsia="仿宋_GB2312" w:cs="仿宋_GB2312"/>
                <w:b/>
                <w:bCs/>
                <w:i w:val="0"/>
                <w:iCs w:val="0"/>
                <w:color w:val="auto"/>
                <w:kern w:val="0"/>
                <w:sz w:val="16"/>
                <w:szCs w:val="16"/>
                <w:u w:val="none"/>
                <w:lang w:val="en-US" w:eastAsia="zh-CN" w:bidi="ar"/>
              </w:rPr>
              <w:t>序号</w:t>
            </w:r>
          </w:p>
        </w:tc>
        <w:tc>
          <w:tcPr>
            <w:tcW w:w="1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b/>
                <w:bCs/>
                <w:i w:val="0"/>
                <w:iCs w:val="0"/>
                <w:color w:val="auto"/>
                <w:sz w:val="16"/>
                <w:szCs w:val="16"/>
                <w:u w:val="none"/>
              </w:rPr>
            </w:pPr>
            <w:r>
              <w:rPr>
                <w:rFonts w:hint="default" w:ascii="仿宋_GB2312" w:hAnsi="等线" w:eastAsia="仿宋_GB2312" w:cs="仿宋_GB2312"/>
                <w:b/>
                <w:bCs/>
                <w:i w:val="0"/>
                <w:iCs w:val="0"/>
                <w:color w:val="auto"/>
                <w:kern w:val="0"/>
                <w:sz w:val="16"/>
                <w:szCs w:val="16"/>
                <w:u w:val="none"/>
                <w:lang w:val="en-US" w:eastAsia="zh-CN" w:bidi="ar"/>
              </w:rPr>
              <w:t>建设内容</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b/>
                <w:bCs/>
                <w:i w:val="0"/>
                <w:iCs w:val="0"/>
                <w:color w:val="auto"/>
                <w:sz w:val="16"/>
                <w:szCs w:val="16"/>
                <w:u w:val="none"/>
              </w:rPr>
            </w:pPr>
            <w:r>
              <w:rPr>
                <w:rFonts w:hint="default" w:ascii="仿宋_GB2312" w:hAnsi="等线" w:eastAsia="仿宋_GB2312" w:cs="仿宋_GB2312"/>
                <w:b/>
                <w:bCs/>
                <w:i w:val="0"/>
                <w:iCs w:val="0"/>
                <w:color w:val="auto"/>
                <w:kern w:val="0"/>
                <w:sz w:val="16"/>
                <w:szCs w:val="16"/>
                <w:u w:val="none"/>
                <w:lang w:val="en-US" w:eastAsia="zh-CN" w:bidi="ar"/>
              </w:rPr>
              <w:t>规格参数</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b/>
                <w:bCs/>
                <w:i w:val="0"/>
                <w:iCs w:val="0"/>
                <w:color w:val="auto"/>
                <w:sz w:val="16"/>
                <w:szCs w:val="16"/>
                <w:u w:val="none"/>
              </w:rPr>
            </w:pPr>
            <w:r>
              <w:rPr>
                <w:rFonts w:hint="default" w:ascii="仿宋_GB2312" w:hAnsi="等线" w:eastAsia="仿宋_GB2312" w:cs="仿宋_GB2312"/>
                <w:b/>
                <w:bCs/>
                <w:i w:val="0"/>
                <w:iCs w:val="0"/>
                <w:color w:val="auto"/>
                <w:kern w:val="0"/>
                <w:sz w:val="16"/>
                <w:szCs w:val="16"/>
                <w:u w:val="none"/>
                <w:lang w:val="en-US" w:eastAsia="zh-CN" w:bidi="ar"/>
              </w:rPr>
              <w:t>单位</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b/>
                <w:bCs/>
                <w:i w:val="0"/>
                <w:iCs w:val="0"/>
                <w:color w:val="auto"/>
                <w:sz w:val="16"/>
                <w:szCs w:val="16"/>
                <w:u w:val="none"/>
              </w:rPr>
            </w:pPr>
            <w:r>
              <w:rPr>
                <w:rFonts w:hint="default" w:ascii="仿宋_GB2312" w:hAnsi="等线" w:eastAsia="仿宋_GB2312" w:cs="仿宋_GB2312"/>
                <w:b/>
                <w:bCs/>
                <w:i w:val="0"/>
                <w:iCs w:val="0"/>
                <w:color w:val="auto"/>
                <w:kern w:val="0"/>
                <w:sz w:val="16"/>
                <w:szCs w:val="16"/>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数据调研</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系统信息标准与规范调研</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基于学校现有数据标准以及国标，形成定制化的学校数据标准。实现标准体系，数据统一共享的标准规划，提供治理后的数据字典。</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业务系统数据现状梳理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基于学校现有业务系统数据现状进行调研，包括：数据字典调研与补全，输出系统数据现状报告。</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业务系统数据项标准构建</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针对该系统的数据内容进行数据项标准建设、代码标准建设，并融入校级标准进行统一梳理、梳理质量检查规则。</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2</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数据治理体系建设</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提供硬件资源规划</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对整体数据平台涉及内容进行数据存储规划、数据算力规划、网络资源规划。</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提供参考数据管理办法</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提供已有的经验材料进行文档参考，其中包括元数据管理规范、生命周期管理规范、数据质量管理规范以及数据安全管理规范等对应管理职能的具体规范及流程。提供数据治理组织架构及制度建设等相关制度、架构文档参考，提供数据管理办法参考。包括以下内容：《数据治理管理制度》、《数据标准管理办法》、《数据质量管理办法》、《元数据管理办法》、数据模型及标准变更规范、数据采集和维护工作规程、数据使用授权规范、数据集成与共享规范</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提供针对本次数据治理建设内容的培训贯宣</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培训内容包括数据资产管理理论落地实践、流程执行运作的基础，是数据资产管理牵头部门在技术部门和业务部门之间顺利开展工作的重要保障。</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提供项目涉及内容整体治理报告</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治理报告包括以下内容：《数据治理体系设计和规划说明》，含数据治理实施规划、数据管理体系架构设计、数据技术框架设计；《数据治理现状评估说明》，含学校数据现状说明，数据问题说明，数据类别，数据治理范围评估说明。</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3</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标准管理</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数据标准规范建设</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通过对数据进行梳理，得到相关数据项标准、代码标准、编号标准，并依赖于数据中台对数据项进行重新组合，最终形成数据资源目录。在数据标准制定过程中，将有效利用现有的数据资产与利旧原有数据治理成果，建立真实有效的数据标准。数据标准规范建设主要包括以下两个方面：</w:t>
            </w:r>
            <w:r>
              <w:rPr>
                <w:rFonts w:hint="default" w:ascii="仿宋_GB2312" w:hAnsi="等线" w:eastAsia="仿宋_GB2312" w:cs="仿宋_GB2312"/>
                <w:i w:val="0"/>
                <w:iCs w:val="0"/>
                <w:color w:val="auto"/>
                <w:kern w:val="0"/>
                <w:sz w:val="16"/>
                <w:szCs w:val="16"/>
                <w:u w:val="none"/>
                <w:lang w:val="en-US" w:eastAsia="zh-CN" w:bidi="ar"/>
              </w:rPr>
              <w:br w:type="textWrapping"/>
            </w:r>
            <w:r>
              <w:rPr>
                <w:rFonts w:hint="default" w:ascii="仿宋_GB2312" w:hAnsi="等线" w:eastAsia="仿宋_GB2312" w:cs="仿宋_GB2312"/>
                <w:i w:val="0"/>
                <w:iCs w:val="0"/>
                <w:color w:val="auto"/>
                <w:kern w:val="0"/>
                <w:sz w:val="16"/>
                <w:szCs w:val="16"/>
                <w:u w:val="none"/>
                <w:lang w:val="en-US" w:eastAsia="zh-CN" w:bidi="ar"/>
              </w:rPr>
              <w:t>1、利用现有的标准，对所覆盖的业务系统进行数据校对工作：需要使用数据视图或者最新系统导出的数据字典进行分析，对原有数据标准进行数据重新校对，保证原有标准的可落地性。</w:t>
            </w:r>
            <w:r>
              <w:rPr>
                <w:rFonts w:hint="default" w:ascii="仿宋_GB2312" w:hAnsi="等线" w:eastAsia="仿宋_GB2312" w:cs="仿宋_GB2312"/>
                <w:i w:val="0"/>
                <w:iCs w:val="0"/>
                <w:color w:val="auto"/>
                <w:kern w:val="0"/>
                <w:sz w:val="16"/>
                <w:szCs w:val="16"/>
                <w:u w:val="none"/>
                <w:lang w:val="en-US" w:eastAsia="zh-CN" w:bidi="ar"/>
              </w:rPr>
              <w:br w:type="textWrapping"/>
            </w:r>
            <w:r>
              <w:rPr>
                <w:rFonts w:hint="default" w:ascii="仿宋_GB2312" w:hAnsi="等线" w:eastAsia="仿宋_GB2312" w:cs="仿宋_GB2312"/>
                <w:i w:val="0"/>
                <w:iCs w:val="0"/>
                <w:color w:val="auto"/>
                <w:kern w:val="0"/>
                <w:sz w:val="16"/>
                <w:szCs w:val="16"/>
                <w:u w:val="none"/>
                <w:lang w:val="en-US" w:eastAsia="zh-CN" w:bidi="ar"/>
              </w:rPr>
              <w:t>2、对治理范围内，原标准无覆盖的系统进行重新的数据调研：通过调研数据，结合近年来教育部颁布的相关标准，进行数据梳理与标准建立（其中如果新增系统数据项在国标上有标示，将沿用国标描述与相关规则；若无，则根据国标的规则进行扩展标准的建立），并且跟已校对过的利旧标准进行组合，形成在实施时期的新数据标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4</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系统架构</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系统架构</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1.系统整体基于B/S体系架构；</w:t>
            </w:r>
            <w:r>
              <w:rPr>
                <w:rFonts w:hint="default" w:ascii="仿宋_GB2312" w:hAnsi="等线" w:eastAsia="仿宋_GB2312" w:cs="仿宋_GB2312"/>
                <w:i w:val="0"/>
                <w:iCs w:val="0"/>
                <w:color w:val="auto"/>
                <w:kern w:val="0"/>
                <w:sz w:val="16"/>
                <w:szCs w:val="16"/>
                <w:u w:val="none"/>
                <w:lang w:val="en-US" w:eastAsia="zh-CN" w:bidi="ar"/>
              </w:rPr>
              <w:br w:type="textWrapping"/>
            </w:r>
            <w:r>
              <w:rPr>
                <w:rFonts w:hint="default" w:ascii="仿宋_GB2312" w:hAnsi="等线" w:eastAsia="仿宋_GB2312" w:cs="仿宋_GB2312"/>
                <w:i w:val="0"/>
                <w:iCs w:val="0"/>
                <w:color w:val="auto"/>
                <w:kern w:val="0"/>
                <w:sz w:val="16"/>
                <w:szCs w:val="16"/>
                <w:u w:val="none"/>
                <w:lang w:val="en-US" w:eastAsia="zh-CN" w:bidi="ar"/>
              </w:rPr>
              <w:t>2.使用虚拟化容器技术实现应用自动化部署；</w:t>
            </w:r>
            <w:r>
              <w:rPr>
                <w:rFonts w:hint="default" w:ascii="仿宋_GB2312" w:hAnsi="等线" w:eastAsia="仿宋_GB2312" w:cs="仿宋_GB2312"/>
                <w:i w:val="0"/>
                <w:iCs w:val="0"/>
                <w:color w:val="auto"/>
                <w:kern w:val="0"/>
                <w:sz w:val="16"/>
                <w:szCs w:val="16"/>
                <w:u w:val="none"/>
                <w:lang w:val="en-US" w:eastAsia="zh-CN" w:bidi="ar"/>
              </w:rPr>
              <w:br w:type="textWrapping"/>
            </w:r>
            <w:r>
              <w:rPr>
                <w:rFonts w:hint="default" w:ascii="仿宋_GB2312" w:hAnsi="等线" w:eastAsia="仿宋_GB2312" w:cs="仿宋_GB2312"/>
                <w:i w:val="0"/>
                <w:iCs w:val="0"/>
                <w:color w:val="auto"/>
                <w:kern w:val="0"/>
                <w:sz w:val="16"/>
                <w:szCs w:val="16"/>
                <w:u w:val="none"/>
                <w:lang w:val="en-US" w:eastAsia="zh-CN" w:bidi="ar"/>
              </w:rPr>
              <w:t>3.采用分布式微服务技术架构，支持服务器水平扩展以满足高峰期系统性能要求；</w:t>
            </w:r>
            <w:r>
              <w:rPr>
                <w:rFonts w:hint="default" w:ascii="仿宋_GB2312" w:hAnsi="等线" w:eastAsia="仿宋_GB2312" w:cs="仿宋_GB2312"/>
                <w:i w:val="0"/>
                <w:iCs w:val="0"/>
                <w:color w:val="auto"/>
                <w:kern w:val="0"/>
                <w:sz w:val="16"/>
                <w:szCs w:val="16"/>
                <w:u w:val="none"/>
                <w:lang w:val="en-US" w:eastAsia="zh-CN" w:bidi="ar"/>
              </w:rPr>
              <w:br w:type="textWrapping"/>
            </w:r>
            <w:r>
              <w:rPr>
                <w:rFonts w:hint="default" w:ascii="仿宋_GB2312" w:hAnsi="等线" w:eastAsia="仿宋_GB2312" w:cs="仿宋_GB2312"/>
                <w:i w:val="0"/>
                <w:iCs w:val="0"/>
                <w:color w:val="auto"/>
                <w:kern w:val="0"/>
                <w:sz w:val="16"/>
                <w:szCs w:val="16"/>
                <w:u w:val="none"/>
                <w:lang w:val="en-US" w:eastAsia="zh-CN" w:bidi="ar"/>
              </w:rPr>
              <w:t>4.采用前后端分离技术，后端使用Java语言开发，支持Mysql数据库和国产数据库，支持数据库集群，支持缓存技术对用户访问加速；前端页面使用HTML5+ CSS3技术开发，增强页面交互体验与展示效果。</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*数据架构</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支持Hadoop集群构建，支持通过HBase数据仓库实现数据存储，支持通过可视化调度工具实现数据指标计算任务的构建与运行，支持通过接口自动化技术实现数据结果集快速输出。</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5</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数据汇聚中心</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*库表采集管理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采集服务端管理：支持对采集服务端的上下线管理，支持采集服务端下发采集指令，收集采集代理端上传的数据包，并进行数据包的加解密。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采集代理端管理：支持采集代理端的上下线管理，支持代理端的密码设置与密码更新策略配置。</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离线库表任务管理：支持库表任务管理，支持可视化配置库表采集任务，支持修改已配置的任务，支持任务的定时调度与立即触发执行，支持任务定时设置，支持任务执行日志记录查询。支持库表任务的执行，从源数据库拉取数据同步到数据库，包括MySQL、Hive、HBase等数据库。</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*数据对账管理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数据对账管理：通过库表采集，文件采集，表单填报、接口采集等方式采集交换的数据异常信息进行管理，包括数据处理时间、采集量7入库量、采集异常信息等</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*文件采集管理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文件模板配置：通过在线选择数据对象，即可生成在线execl文件填报模板，支持基于execl模板自定义适配。</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文件模板下载：支持选择不同的数据对象，生成该数据对象的Excle文件模板，用户根据该模板可填报数据进行上报。</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文件上传：支持选择与文件模板一致的数据对象，上传文件，支持读取文件数据并写入数据库，包括MySQL、Hive、HBase等数据库。</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*文件在线填报管理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文件在线填报数据上报：支持根据表单模板填写数据，支持基于execl在线填报数据，提供数据字体、数据格式等自定义适配。支持在线填报记录查询，包括填报时间、填报人、数据异常反馈信息等。支持在线数据上报后数据入库，包括MySQL、Hive、HBase等数据库。</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6</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数据资产中心</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*数据资产管理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业务管理：支持管理和维护数据中台承接的业务信息,业务信息可以维护。</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应用管理：支持管理和维护数据中台承接的应用信息,应用信息关联业务信息,应用信息可以维护。</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资产目录管理:以数据项为数据模型的最小组织单位，重新构建学校标准数据实例模型，并实现资源目录的注册、编辑与删除以及日常资源的维护，支持数据资产目录的排序变更，支持数据资产目录的层级划分。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资产对象管理:支持数据对象信息的维护，支持数据对象选择不同的数据资产目录，支持数据对象分层级构建，支持数据对象与数据仓库的结构同步，支持数据对象字段信息维护，支持标准SQL语句快速创建数据对象。</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数据明细：支持基于每个业务系统不同的数据资产明细查看，并提供基于自定义筛选条件进行数据查询导出，提供数据导出下载功能</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*数据标准管理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标准目录管理:以标准项项为数据标准的最小组织单位，梳理学校数据标准体系，并实现标准目录的注册、编辑与删除以及日常资源的维护，支持数据标准目录的排序变更，支持数据标准目录的层级划分。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标准配置管理:支持根据数据标准目录创建不同的数据标准项，支持数据标准项代码及含义的创建与维护，支持数据标准项是否启用管理。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标准映射管理:支持数据标准项与数据对象字段进行关联，支持执行数据标准转换任务，支持将非标准值转换为标准项值，支持数据标准转换任务执行结果的查询。</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*数据质量管理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质量规则管理:支持质量规则模板设置，支持内嵌的多种数据质量校验规则，如：非空校验、身份证校验、类型校验等，支持数据质量校验内容扩展，可以通过其他方式扩展数据质量校验规则，支持质量校验规则模板的维护。</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质量规则映射:支持数据质量检测规则与数据对象字段的映射关系,支持数据质量检测任务执行,支持查看数据质量检测执行结果等功能,支持对映射关系的维护。</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7</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任务调度中心</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任务总览</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根据任务运行状态、流程状态等不同运行情况，基于饼图方式呈现任务在不同执行过程的运行情况</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*工作流定义</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支持以可视化拖拉拽的方式配置shell，hive，python，Flink，datax等10多种任务模式，支持任务定时并行触发，提供上线，下线，编辑，定时管理，工作流执行日志查看，任务重跑，优先级，告警，任务导出等功能</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*资源中心</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文件管理，UDF管理，资源管理，函数管理。支持一键上传，编辑，删除等，支持工作流任务全局参数调用资源</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8</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数据查询中心</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*服务接口管理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接口分组管理：用于配置基于不同业务分组管理接口,支持接口分组维护,支持对数据服务接口进行划分分组。</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接口信息管理：支持在线生成数据服务接口，支持热部署方式使数据服务接口生效，支持对数据服务接口进行版本控制,支持自定义接口访问路径,接口脚本,接口请求参数等,支持在线接口测试,在线填写查询参数,在线获取接口返回信息,支持接口注册信息的维护,支持接口调用过程加解密，支持设置接口是否共享。</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接口发布管理：支持对已注册接口进行上线与下线管理。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*授权管理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应用授权管理：支持第三方应用调用申请，支持对第三方应用进行授权管理，支持对第三方应用分配key与调用密钥，支持第三方应用过期时间设置，支持第三方应用在线申请需要调用的数据服务接口，支持对申请的数据服务接口的授权管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接口授权管理：支持对第三方应用申请的数据服务接口的授权管理。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9</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系统配置中心</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*数据源管理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数据源列表：支持新建数据源，对数据源进行连接信息配置；支持数据源编辑与删除。</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数据源测试：支持对数据源进行连通测试，确保数据源能够正常连通，获取数据。</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*系统监控</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对服务器基本信息进行查看,如CPU\内存\磁盘信息等进行查看,超过预警值则会进行报警</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*集群监控</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对大数据组件集群状态进行查看,集群节点是否正常,集群节点状态异常时会进行报警</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*服务监控</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对数据中台后端微服务进行监控,包括运行时长\CPU利用率\内存使用率等状态进行查看,提供图表查看界面,并提供实时查看功能</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用户组管理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用于对数据中台系统用户组进行新建\编辑\删除等功能</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用户管理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用于对数据中台系统用户设置用户名\密码,所属角色与所属用户组等信息,可对用户进行密码重置,用户删除等</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角色管理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用于对数据中台系统用户角色进行新建\编辑\删除等功能,设置用户角色的权限</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系统日志管理</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查看系统用户登录日志\系统用户操作日志等</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10</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数据中台可视化大屏</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*数据采集中心可视化大屏</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以数据大屏得方式展示数据中台多种不同的数据采集方式分别采集汇聚的数据量，展示数据中台运行的数据采集任务，展示数据中台累计采集数据量，展示数据中台近七天的数据采集量趋势变化。</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*数据资产中心可视化大屏</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以数据大屏得方式展示数据中台的数据资产，按照数据分层的方式展示学校基础层数据、主题层数据、应用层数据的数据总量与数据对象总量，展示数据加密算法等安全性算法的使用情况，展示数据对象明细。</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*任务调度中心可视化大屏</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以数据大屏得方式展示数据中台大数据分析任务的执行情况。</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*数据服务中心可视化大屏</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以数据大屏得方式展示数据服务接口的调用情况，展示数据服务接口调用排行榜，展示数据服务接口响应时间排行榜，展示数据服务接口按业务域分组统计情况。</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*学校校务管理可视化大屏</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根据数据对接平台采集的数据，根据校方的要求，定制一套展示学校教学、管理、服务等维度的可视化大屏</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仿宋_GB2312" w:hAnsi="等线" w:eastAsia="仿宋_GB2312" w:cs="仿宋_GB2312"/>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*系统监控中心可视化大屏</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以数据大屏得方式展示数据中台服务器资源使用情况，实时展示CPU利用率与内存利用率，展示数据硬盘存储大小等监控信息。</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11</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智慧大脑/领导驾驶舱</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智慧大脑/领导驾驶舱</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提供教育数据指标分析。打破数据隔离，实现指标分析及决策场景落地。通过详尽的指标体系，实时反映本校教学运行状态，将采集的数据形象化、直观化、具体化，通过基于主题的分析帮助领导和业务处室更科学、便捷的进行决策和服务，优化管理工作。</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auto"/>
                <w:sz w:val="16"/>
                <w:szCs w:val="16"/>
                <w:u w:val="none"/>
              </w:rPr>
            </w:pPr>
            <w:r>
              <w:rPr>
                <w:rFonts w:hint="eastAsia" w:ascii="等线" w:hAnsi="等线" w:eastAsia="等线" w:cs="等线"/>
                <w:i w:val="0"/>
                <w:iCs w:val="0"/>
                <w:color w:val="auto"/>
                <w:kern w:val="0"/>
                <w:sz w:val="16"/>
                <w:szCs w:val="16"/>
                <w:u w:val="none"/>
                <w:lang w:val="en-US" w:eastAsia="zh-CN" w:bidi="ar"/>
              </w:rPr>
              <w:t>12</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第三方应用数据对接</w:t>
            </w: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数据采集对接服务</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厂商系统数据调研分析：支持与对接的厂商或业务系统明确数据需求、业务逻辑关系、数据结构、技术限制等，在保证满足数据中台数据采集与使用规范的基础上，形成数据接入方案。</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个/应用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制定数据标准及数据资产目录：支持根据厂商数据调研与分析结果，结合数据中台及其它应用与厂商的数据需求，对数据标准实施数据资产的分类、标准数据结构的定义、数据资产的标准化。</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个/应用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数据采集接入适配：支持根据与厂商已明确的技术接入方案的定义，实施厂商数据的增量、全量数据的远程采集接入适配与改造，并针对信息安全、服务器安全、接口安全实施技术加固。</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个/应用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数据能力输出服务</w:t>
            </w: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标准化数据模型输出：支持根据业务系统或其它厂商的数据需求，以数据中台标准化计算模型，实现特定数据资产的计算规则的定义、处理与存储，以数据中台标准输出规范输出结果数据或大数据视图。</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个/应用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56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非标准化数据输出：支持根据业务系统或其它厂商的特殊数据需求，对诸如用户、组织、音视频资源等非标准化的数据实现个性化开发，以非标准化的接口输出数据结果。</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个/应用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w:hAnsi="等线" w:eastAsia="等线" w:cs="等线"/>
                <w:i w:val="0"/>
                <w:iCs w:val="0"/>
                <w:color w:val="auto"/>
                <w:sz w:val="16"/>
                <w:szCs w:val="16"/>
                <w:u w:val="none"/>
              </w:rPr>
            </w:pPr>
            <w:r>
              <w:rPr>
                <w:rFonts w:hint="eastAsia" w:ascii="等线" w:hAnsi="等线" w:eastAsia="等线" w:cs="等线"/>
                <w:i w:val="0"/>
                <w:iCs w:val="0"/>
                <w:color w:val="auto"/>
                <w:kern w:val="0"/>
                <w:sz w:val="16"/>
                <w:szCs w:val="16"/>
                <w:u w:val="none"/>
                <w:lang w:val="en-US" w:eastAsia="zh-CN" w:bidi="ar"/>
              </w:rPr>
              <w:t>13</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运维服务</w:t>
            </w: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漏洞扫描</w:t>
            </w:r>
          </w:p>
        </w:tc>
        <w:tc>
          <w:tcPr>
            <w:tcW w:w="5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每月提供一次平台漏洞扫描，出具扫描报告，对出现的中高危漏洞及时修复；</w:t>
            </w:r>
          </w:p>
        </w:tc>
        <w:tc>
          <w:tcPr>
            <w:tcW w:w="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项/年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现场培训</w:t>
            </w:r>
          </w:p>
        </w:tc>
        <w:tc>
          <w:tcPr>
            <w:tcW w:w="5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平台上线后提供不少于2场的现场集中培训；</w:t>
            </w:r>
          </w:p>
        </w:tc>
        <w:tc>
          <w:tcPr>
            <w:tcW w:w="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项/年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运营报告</w:t>
            </w:r>
          </w:p>
        </w:tc>
        <w:tc>
          <w:tcPr>
            <w:tcW w:w="5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每月提供一次平台运营数据分析报告，为教育主管部门提供运营建议；</w:t>
            </w:r>
          </w:p>
        </w:tc>
        <w:tc>
          <w:tcPr>
            <w:tcW w:w="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项/年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远程支撑</w:t>
            </w:r>
          </w:p>
        </w:tc>
        <w:tc>
          <w:tcPr>
            <w:tcW w:w="5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提供5*8小时售后服务支撑，通过电话、QQ群、微信群解决用户问题；</w:t>
            </w:r>
          </w:p>
        </w:tc>
        <w:tc>
          <w:tcPr>
            <w:tcW w:w="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项/年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8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等线" w:hAnsi="等线" w:eastAsia="等线" w:cs="等线"/>
                <w:i w:val="0"/>
                <w:iCs w:val="0"/>
                <w:color w:val="auto"/>
                <w:sz w:val="16"/>
                <w:szCs w:val="16"/>
                <w:u w:val="none"/>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等线" w:eastAsia="仿宋_GB2312" w:cs="仿宋_GB2312"/>
                <w:i w:val="0"/>
                <w:iCs w:val="0"/>
                <w:color w:val="auto"/>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现场支撑</w:t>
            </w:r>
          </w:p>
        </w:tc>
        <w:tc>
          <w:tcPr>
            <w:tcW w:w="5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对远程无法解决的问题提供现场服务支撑；</w:t>
            </w:r>
          </w:p>
        </w:tc>
        <w:tc>
          <w:tcPr>
            <w:tcW w:w="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1</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等线" w:eastAsia="仿宋_GB2312" w:cs="仿宋_GB2312"/>
                <w:i w:val="0"/>
                <w:iCs w:val="0"/>
                <w:color w:val="auto"/>
                <w:sz w:val="16"/>
                <w:szCs w:val="16"/>
                <w:u w:val="none"/>
              </w:rPr>
            </w:pPr>
            <w:r>
              <w:rPr>
                <w:rFonts w:hint="default" w:ascii="仿宋_GB2312" w:hAnsi="等线" w:eastAsia="仿宋_GB2312" w:cs="仿宋_GB2312"/>
                <w:i w:val="0"/>
                <w:iCs w:val="0"/>
                <w:color w:val="auto"/>
                <w:kern w:val="0"/>
                <w:sz w:val="16"/>
                <w:szCs w:val="16"/>
                <w:u w:val="none"/>
                <w:lang w:val="en-US" w:eastAsia="zh-CN" w:bidi="ar"/>
              </w:rPr>
              <w:t>项/年</w:t>
            </w:r>
          </w:p>
        </w:tc>
      </w:tr>
    </w:tbl>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4"/>
        <w:rPr>
          <w:rFonts w:hint="eastAsia" w:ascii="仿宋" w:hAnsi="仿宋" w:eastAsia="仿宋" w:cs="仿宋"/>
          <w:color w:val="auto"/>
        </w:rPr>
      </w:pPr>
    </w:p>
    <w:p>
      <w:pPr>
        <w:pStyle w:val="2"/>
        <w:snapToGrid w:val="0"/>
        <w:spacing w:line="360" w:lineRule="auto"/>
        <w:ind w:left="420" w:leftChars="200"/>
        <w:rPr>
          <w:rFonts w:hint="eastAsia" w:ascii="仿宋" w:hAnsi="仿宋" w:eastAsia="仿宋" w:cs="仿宋"/>
          <w:color w:val="auto"/>
          <w:sz w:val="32"/>
          <w:szCs w:val="32"/>
        </w:rPr>
      </w:pPr>
      <w:bookmarkStart w:id="64" w:name="_Toc103602614"/>
    </w:p>
    <w:p>
      <w:pPr>
        <w:rPr>
          <w:rFonts w:hint="eastAsia" w:ascii="仿宋" w:hAnsi="仿宋" w:eastAsia="仿宋" w:cs="仿宋"/>
          <w:color w:val="auto"/>
          <w:sz w:val="32"/>
          <w:szCs w:val="32"/>
        </w:rPr>
      </w:pPr>
    </w:p>
    <w:p>
      <w:pPr>
        <w:rPr>
          <w:rFonts w:hint="eastAsia" w:ascii="仿宋" w:hAnsi="仿宋" w:eastAsia="仿宋" w:cs="仿宋"/>
          <w:color w:val="auto"/>
          <w:sz w:val="32"/>
          <w:szCs w:val="32"/>
        </w:rPr>
      </w:pPr>
    </w:p>
    <w:p>
      <w:pPr>
        <w:rPr>
          <w:rFonts w:hint="eastAsia" w:ascii="仿宋" w:hAnsi="仿宋" w:eastAsia="仿宋" w:cs="仿宋"/>
          <w:color w:val="auto"/>
          <w:sz w:val="32"/>
          <w:szCs w:val="32"/>
        </w:rPr>
      </w:pPr>
    </w:p>
    <w:p>
      <w:pPr>
        <w:rPr>
          <w:rFonts w:hint="eastAsia" w:ascii="仿宋" w:hAnsi="仿宋" w:eastAsia="仿宋" w:cs="仿宋"/>
          <w:color w:val="auto"/>
          <w:sz w:val="32"/>
          <w:szCs w:val="32"/>
        </w:rPr>
      </w:pPr>
    </w:p>
    <w:p>
      <w:pPr>
        <w:rPr>
          <w:rFonts w:hint="eastAsia" w:ascii="仿宋" w:hAnsi="仿宋" w:eastAsia="仿宋" w:cs="仿宋"/>
          <w:color w:val="auto"/>
          <w:sz w:val="32"/>
          <w:szCs w:val="32"/>
        </w:rPr>
      </w:pPr>
    </w:p>
    <w:p>
      <w:pPr>
        <w:pStyle w:val="2"/>
        <w:snapToGrid w:val="0"/>
        <w:spacing w:line="360" w:lineRule="auto"/>
        <w:ind w:left="420" w:leftChars="200"/>
        <w:jc w:val="center"/>
        <w:rPr>
          <w:rFonts w:hint="eastAsia" w:ascii="仿宋" w:hAnsi="仿宋" w:eastAsia="仿宋" w:cs="仿宋"/>
          <w:color w:val="auto"/>
          <w:sz w:val="32"/>
          <w:szCs w:val="32"/>
        </w:rPr>
      </w:pPr>
      <w:bookmarkStart w:id="65" w:name="_Toc4462"/>
      <w:r>
        <w:rPr>
          <w:rFonts w:hint="eastAsia" w:ascii="仿宋" w:hAnsi="仿宋" w:eastAsia="仿宋" w:cs="仿宋"/>
          <w:color w:val="auto"/>
          <w:sz w:val="32"/>
          <w:szCs w:val="32"/>
        </w:rPr>
        <w:t>第四</w:t>
      </w:r>
      <w:r>
        <w:rPr>
          <w:rFonts w:hint="eastAsia" w:ascii="仿宋" w:hAnsi="仿宋" w:eastAsia="仿宋" w:cs="仿宋"/>
          <w:color w:val="auto"/>
          <w:sz w:val="32"/>
          <w:szCs w:val="32"/>
          <w:lang w:val="en-US" w:eastAsia="zh-CN"/>
        </w:rPr>
        <w:t>部分</w:t>
      </w:r>
      <w:r>
        <w:rPr>
          <w:rFonts w:hint="eastAsia" w:ascii="仿宋" w:hAnsi="仿宋" w:eastAsia="仿宋" w:cs="仿宋"/>
          <w:color w:val="auto"/>
          <w:sz w:val="32"/>
          <w:szCs w:val="32"/>
        </w:rPr>
        <w:t xml:space="preserve">  合同条款</w:t>
      </w:r>
      <w:bookmarkEnd w:id="58"/>
      <w:bookmarkEnd w:id="59"/>
      <w:bookmarkEnd w:id="60"/>
      <w:bookmarkEnd w:id="61"/>
      <w:bookmarkEnd w:id="62"/>
      <w:bookmarkEnd w:id="64"/>
      <w:bookmarkEnd w:id="65"/>
    </w:p>
    <w:p>
      <w:pPr>
        <w:adjustRightInd w:val="0"/>
        <w:snapToGrid w:val="0"/>
        <w:spacing w:line="360" w:lineRule="auto"/>
        <w:ind w:left="420" w:leftChars="200"/>
        <w:jc w:val="center"/>
        <w:rPr>
          <w:rFonts w:hint="eastAsia" w:ascii="仿宋" w:hAnsi="仿宋" w:eastAsia="仿宋" w:cs="仿宋"/>
          <w:color w:val="auto"/>
          <w:sz w:val="24"/>
          <w:szCs w:val="24"/>
        </w:rPr>
      </w:pPr>
      <w:r>
        <w:rPr>
          <w:rFonts w:hint="eastAsia" w:ascii="仿宋" w:hAnsi="仿宋" w:eastAsia="仿宋" w:cs="仿宋"/>
          <w:color w:val="auto"/>
          <w:sz w:val="24"/>
          <w:szCs w:val="24"/>
        </w:rPr>
        <w:t>（合同样本）</w:t>
      </w: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jc w:val="center"/>
        <w:rPr>
          <w:rFonts w:hint="eastAsia" w:ascii="仿宋" w:hAnsi="仿宋" w:eastAsia="仿宋" w:cs="仿宋"/>
          <w:color w:val="auto"/>
          <w:sz w:val="24"/>
          <w:szCs w:val="24"/>
        </w:rPr>
      </w:pPr>
    </w:p>
    <w:p>
      <w:pPr>
        <w:spacing w:line="600" w:lineRule="auto"/>
        <w:rPr>
          <w:rFonts w:hint="eastAsia" w:ascii="仿宋" w:hAnsi="仿宋" w:eastAsia="仿宋" w:cs="仿宋"/>
          <w:b/>
          <w:bCs/>
          <w:color w:val="auto"/>
          <w:sz w:val="36"/>
          <w:szCs w:val="36"/>
          <w:highlight w:val="cyan"/>
        </w:rPr>
      </w:pPr>
    </w:p>
    <w:p>
      <w:pPr>
        <w:pStyle w:val="64"/>
        <w:autoSpaceDE w:val="0"/>
        <w:autoSpaceDN w:val="0"/>
        <w:snapToGrid w:val="0"/>
        <w:spacing w:line="432" w:lineRule="auto"/>
        <w:jc w:val="center"/>
        <w:textAlignment w:val="bottom"/>
        <w:rPr>
          <w:rFonts w:hint="eastAsia" w:ascii="仿宋" w:hAnsi="仿宋" w:eastAsia="仿宋" w:cs="仿宋"/>
          <w:b/>
          <w:color w:val="auto"/>
          <w:sz w:val="36"/>
          <w:szCs w:val="36"/>
        </w:rPr>
      </w:pPr>
      <w:r>
        <w:rPr>
          <w:rFonts w:hint="eastAsia" w:ascii="仿宋" w:hAnsi="仿宋" w:eastAsia="仿宋" w:cs="仿宋"/>
          <w:b/>
          <w:color w:val="auto"/>
          <w:sz w:val="44"/>
          <w:szCs w:val="44"/>
          <w:highlight w:val="cyan"/>
        </w:rPr>
        <w:br w:type="page"/>
      </w:r>
      <w:r>
        <w:rPr>
          <w:rFonts w:hint="eastAsia" w:ascii="仿宋" w:hAnsi="仿宋" w:eastAsia="仿宋" w:cs="仿宋"/>
          <w:b/>
          <w:color w:val="auto"/>
          <w:sz w:val="36"/>
          <w:szCs w:val="36"/>
        </w:rPr>
        <w:t>招标委托代理协议</w:t>
      </w:r>
    </w:p>
    <w:p>
      <w:pPr>
        <w:adjustRightInd w:val="0"/>
        <w:snapToGrid w:val="0"/>
        <w:spacing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甲  方：***********</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地  址：************</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邮  编：****</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联系电话 ********</w:t>
      </w:r>
    </w:p>
    <w:p>
      <w:pPr>
        <w:adjustRightInd w:val="0"/>
        <w:snapToGrid w:val="0"/>
        <w:spacing w:line="360" w:lineRule="auto"/>
        <w:ind w:firstLine="422"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乙  方：************</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地  址：*****************8</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邮　编：****</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电　话：************</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E-Mail: ****************</w:t>
      </w:r>
    </w:p>
    <w:p>
      <w:pPr>
        <w:adjustRightInd w:val="0"/>
        <w:snapToGrid w:val="0"/>
        <w:spacing w:line="360" w:lineRule="auto"/>
        <w:ind w:firstLine="420" w:firstLineChars="200"/>
        <w:rPr>
          <w:rFonts w:hint="eastAsia" w:ascii="仿宋" w:hAnsi="仿宋" w:eastAsia="仿宋" w:cs="仿宋"/>
          <w:color w:val="auto"/>
          <w:sz w:val="21"/>
          <w:szCs w:val="21"/>
        </w:rPr>
      </w:pP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根据按照《中华人民共和国政府采购法》、《中华人民共和国政府采购法实施条例》、《政府采购货物和服务招标投标管理办法》（财政部令第 87 号）、《中华人民共和国合同法》和有关法律、法规，甲乙双方本着诚实信用、平等互利的原则，就招标代理业务开展签订本协议。</w:t>
      </w:r>
    </w:p>
    <w:p>
      <w:pPr>
        <w:adjustRightInd w:val="0"/>
        <w:snapToGrid w:val="0"/>
        <w:spacing w:line="360" w:lineRule="auto"/>
        <w:ind w:firstLine="420" w:firstLineChars="200"/>
        <w:rPr>
          <w:rFonts w:hint="eastAsia" w:ascii="仿宋" w:hAnsi="仿宋" w:eastAsia="仿宋" w:cs="仿宋"/>
          <w:color w:val="auto"/>
          <w:sz w:val="21"/>
          <w:szCs w:val="21"/>
        </w:rPr>
      </w:pPr>
    </w:p>
    <w:p>
      <w:pPr>
        <w:pStyle w:val="54"/>
        <w:adjustRightInd w:val="0"/>
        <w:snapToGrid w:val="0"/>
        <w:spacing w:line="360" w:lineRule="auto"/>
        <w:ind w:firstLine="413" w:firstLineChars="196"/>
        <w:rPr>
          <w:rFonts w:hint="eastAsia" w:ascii="仿宋" w:hAnsi="仿宋" w:eastAsia="仿宋" w:cs="仿宋"/>
          <w:b/>
          <w:color w:val="auto"/>
          <w:sz w:val="21"/>
          <w:szCs w:val="21"/>
          <w:u w:val="single"/>
        </w:rPr>
      </w:pPr>
      <w:r>
        <w:rPr>
          <w:rFonts w:hint="eastAsia" w:ascii="仿宋" w:hAnsi="仿宋" w:eastAsia="仿宋" w:cs="仿宋"/>
          <w:b/>
          <w:color w:val="auto"/>
          <w:sz w:val="21"/>
          <w:szCs w:val="21"/>
        </w:rPr>
        <w:t xml:space="preserve">第一条  </w:t>
      </w:r>
      <w:r>
        <w:rPr>
          <w:rFonts w:hint="eastAsia" w:ascii="仿宋" w:hAnsi="仿宋" w:eastAsia="仿宋" w:cs="仿宋"/>
          <w:color w:val="auto"/>
          <w:sz w:val="21"/>
          <w:szCs w:val="21"/>
        </w:rPr>
        <w:t>甲方愿意委托乙方，乙方接受甲方的委托，承担</w:t>
      </w:r>
      <w:r>
        <w:rPr>
          <w:rFonts w:hint="eastAsia" w:ascii="仿宋" w:hAnsi="仿宋" w:eastAsia="仿宋" w:cs="仿宋"/>
          <w:color w:val="auto"/>
          <w:sz w:val="21"/>
          <w:szCs w:val="21"/>
          <w:u w:val="single"/>
        </w:rPr>
        <w:t>********************项目</w:t>
      </w:r>
      <w:r>
        <w:rPr>
          <w:rFonts w:hint="eastAsia" w:ascii="仿宋" w:hAnsi="仿宋" w:eastAsia="仿宋" w:cs="仿宋"/>
          <w:color w:val="auto"/>
          <w:sz w:val="21"/>
          <w:szCs w:val="21"/>
        </w:rPr>
        <w:t>的招标工作,（采购方式：********</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采购预算：</w:t>
      </w:r>
      <w:r>
        <w:rPr>
          <w:rFonts w:hint="eastAsia" w:ascii="仿宋" w:hAnsi="仿宋" w:eastAsia="仿宋" w:cs="仿宋"/>
          <w:color w:val="auto"/>
          <w:sz w:val="21"/>
          <w:szCs w:val="21"/>
          <w:u w:val="single"/>
        </w:rPr>
        <w:t xml:space="preserve">         万元</w:t>
      </w:r>
      <w:r>
        <w:rPr>
          <w:rFonts w:hint="eastAsia" w:ascii="仿宋" w:hAnsi="仿宋" w:eastAsia="仿宋" w:cs="仿宋"/>
          <w:color w:val="auto"/>
          <w:sz w:val="21"/>
          <w:szCs w:val="21"/>
        </w:rPr>
        <w:t>）。双方授权代表经过友好协商，同意按照下列条款签定委托协议，以资双方共同遵守。</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 xml:space="preserve">第二条  </w:t>
      </w:r>
      <w:r>
        <w:rPr>
          <w:rFonts w:hint="eastAsia" w:ascii="仿宋" w:hAnsi="仿宋" w:eastAsia="仿宋" w:cs="仿宋"/>
          <w:color w:val="auto"/>
          <w:sz w:val="21"/>
          <w:szCs w:val="21"/>
        </w:rPr>
        <w:t>本项目委托期限</w:t>
      </w:r>
      <w:r>
        <w:rPr>
          <w:rFonts w:hint="eastAsia" w:ascii="仿宋" w:hAnsi="仿宋" w:eastAsia="仿宋" w:cs="仿宋"/>
          <w:color w:val="auto"/>
          <w:sz w:val="21"/>
          <w:szCs w:val="21"/>
          <w:u w:val="single"/>
        </w:rPr>
        <w:t>从委托之日起至合同签订之后</w:t>
      </w:r>
      <w:r>
        <w:rPr>
          <w:rFonts w:hint="eastAsia" w:ascii="仿宋" w:hAnsi="仿宋" w:eastAsia="仿宋" w:cs="仿宋"/>
          <w:color w:val="auto"/>
          <w:sz w:val="21"/>
          <w:szCs w:val="21"/>
        </w:rPr>
        <w:t>双方资料交接完毕止。</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第三条</w:t>
      </w:r>
      <w:r>
        <w:rPr>
          <w:rFonts w:hint="eastAsia" w:ascii="仿宋" w:hAnsi="仿宋" w:eastAsia="仿宋" w:cs="仿宋"/>
          <w:color w:val="auto"/>
          <w:sz w:val="21"/>
          <w:szCs w:val="21"/>
        </w:rPr>
        <w:t xml:space="preserve">  本协议的采购代理范围为本项目全程招标代理活动。</w:t>
      </w:r>
    </w:p>
    <w:p>
      <w:pPr>
        <w:adjustRightInd w:val="0"/>
        <w:snapToGrid w:val="0"/>
        <w:spacing w:line="360" w:lineRule="auto"/>
        <w:ind w:firstLine="422" w:firstLineChars="200"/>
        <w:rPr>
          <w:rFonts w:hint="eastAsia" w:ascii="仿宋" w:hAnsi="仿宋" w:eastAsia="仿宋" w:cs="仿宋"/>
          <w:b/>
          <w:color w:val="auto"/>
          <w:sz w:val="21"/>
          <w:szCs w:val="21"/>
        </w:rPr>
      </w:pPr>
      <w:r>
        <w:rPr>
          <w:rFonts w:hint="eastAsia" w:ascii="仿宋" w:hAnsi="仿宋" w:eastAsia="仿宋" w:cs="仿宋"/>
          <w:b/>
          <w:color w:val="auto"/>
          <w:sz w:val="21"/>
          <w:szCs w:val="21"/>
        </w:rPr>
        <w:t>第四条  甲方的责任</w:t>
      </w:r>
    </w:p>
    <w:p>
      <w:pPr>
        <w:adjustRightInd w:val="0"/>
        <w:snapToGrid w:val="0"/>
        <w:spacing w:line="360" w:lineRule="auto"/>
        <w:ind w:left="210" w:leftChars="100"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1、甲方委托乙方具体组织实施的政府采购项目，应经过政府采购监督管理部门审核批准，并保证采购资金已落实到位；</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2、甲方指定人员作为项目负责人，代表甲方联系和处理采购过程中的有关具体事项；</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3、向乙方提供本项目采购需求以及合同特殊条款等资料，采购需求应明确完整，符合相关法律法规要求；</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4、甲方应对乙方编制的招标（采购）文件予以审核并签字确认；</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5、甲方有权对委托的项目提出合理、合法的要求，但不得指定供应商或指定品牌，不得提出含有倾向性、限制性或者排斥潜在供应商的要求；</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6、甲方需协助乙方进行有关招标（采购）文件的澄清、答疑和修改工作；</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7、负责派代表出席开标大会，并按照相关法规指派采购方专家参加评标工作；</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8、公开招标项目由甲方或者采购代理机构组建资格审查小组，负责依法对投标人的资格进行审查，并出具《政府采购项目资格审查小组人员名单》；</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9、甲方依法组建评标（审）委员会，依据有关规定派代表参加评标（审）活动，但不得非法干预、影响评标（审）过程和结果，并出具《招标人代表参加评标授权委托书》；</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10、甲方须在政府采购项目开标（公开招标、竞争性谈判、单一来源采购、竞争性磋商等）前半天，配合乙方从省级评标专家库中随机抽取评审专家；</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11、在评审过程中，甲方应对评审内容保密；</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12、甲方有权确定中标候选人，但必须按照评审报告中推荐的中标、成交候选人的顺序确定；</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13、根据乙方发出的中标（成交）通知书, 甲方在规定的时间内与中标（成交）供应商签订合同，所签合同不得对招标（采购）文件实质性内容进行修改； </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14、甲方负责在合同签订之日起2个工作日内，将政府采购合同在省级政府采购网上公告；</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15、甲方应按照采购合同和招标（采购）文件的约定，组织对政府采购项目的验收。 </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16、供应商对采购需求的质疑，由甲方在法定时间内负责回复，并将回复函报乙方一份。如供应商提出投诉的，应配合政府采购监督管理部门处理供应商投诉调查；</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17、法律和法规规定的其他权力与义务;</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18、甲方需于</w:t>
      </w:r>
      <w:r>
        <w:rPr>
          <w:rFonts w:hint="eastAsia" w:ascii="仿宋" w:hAnsi="仿宋" w:eastAsia="仿宋" w:cs="仿宋"/>
          <w:color w:val="auto"/>
          <w:sz w:val="21"/>
          <w:szCs w:val="21"/>
          <w:u w:val="single"/>
        </w:rPr>
        <w:t xml:space="preserve">   个工作</w:t>
      </w:r>
      <w:r>
        <w:rPr>
          <w:rFonts w:hint="eastAsia" w:ascii="仿宋" w:hAnsi="仿宋" w:eastAsia="仿宋" w:cs="仿宋"/>
          <w:color w:val="auto"/>
          <w:sz w:val="21"/>
          <w:szCs w:val="21"/>
        </w:rPr>
        <w:t>日内向乙方提供本项目的采购需求和相关要求。</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第五条  乙方的责任</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1、乙方应按照甲方要求编写招标文件，2日内完成对文件的编制工作并报送甲方进行审核，及时向甲方通报采购进度, 保证采购的顺利实施；</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2、乙方指定一位项目负责人，代表乙方联系和处理采购过程中的有关具体事项；</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3、根据国家有关的法规政策的有关规定，负责在省级公共资源交易平台进行项目进场登记、发布本项目的公告、招标（采购）文件和中标（成交）结果等信息的发布、场地安排、资料收集等工作；</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4、负责采购文件的编制和解释工作，并报甲方确认；</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5、负责接受投标（响应）文件，组织开标评标及公开招标、竞争性谈判、单一来源采购、竞争性磋商、询价等工作；</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6、负责安排评标活动的相关事宜，并负责编写评标报告。根据评标委员会提出的书面评标报告，向甲方推荐中标候选人由甲方确定中标人；或依照甲方的要求，授权评标委员会直接确定中标人；</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7、保守采购活动中的商业秘密； </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8、按规定时间发放中标（成交）通知书，督促甲方与中标（成交）供应商签证合同；</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9、负责及时答复供应商的质疑并配合政府采购监督管理部门处理供应商投诉调查；</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10、负责保存该项目所有采购资料，不得伪造、变造、隐匿或者销毁采购文件（其中开标及评审活动中的全程录音录像均由省级公共资源交易平台统一存档保管）；采购文件的保存期限为从采购结束之日起至少十五年；</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11、法律和法规规定的其他权力与义务；</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第六条</w:t>
      </w:r>
      <w:r>
        <w:rPr>
          <w:rFonts w:hint="eastAsia" w:ascii="仿宋" w:hAnsi="仿宋" w:eastAsia="仿宋" w:cs="仿宋"/>
          <w:color w:val="auto"/>
          <w:sz w:val="21"/>
          <w:szCs w:val="21"/>
        </w:rPr>
        <w:t xml:space="preserve">  乙方与甲方签订招标代理协议后，应诚实守信，严格履行协议，不得向他人转让代理业务。</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第七条</w:t>
      </w:r>
      <w:r>
        <w:rPr>
          <w:rFonts w:hint="eastAsia" w:ascii="仿宋" w:hAnsi="仿宋" w:eastAsia="仿宋" w:cs="仿宋"/>
          <w:color w:val="auto"/>
          <w:sz w:val="21"/>
          <w:szCs w:val="21"/>
        </w:rPr>
        <w:t xml:space="preserve">  根据计价格[2002]1980号《招标代理服务费管理暂行办法》、发改办价格[2003]857号《国家发展改革委办公厅关于招标代理服务收费有关问题的通知》等文件要求，乙方的代理手续费由中标方向乙方支付。</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第八条</w:t>
      </w:r>
      <w:r>
        <w:rPr>
          <w:rFonts w:hint="eastAsia" w:ascii="仿宋" w:hAnsi="仿宋" w:eastAsia="仿宋" w:cs="仿宋"/>
          <w:color w:val="auto"/>
          <w:sz w:val="21"/>
          <w:szCs w:val="21"/>
        </w:rPr>
        <w:t xml:space="preserve">  本框架协议未尽事宜，依照有关法律、法规执行，法律、法规未作规定的，双方经协商可以达成书面补充协议。</w:t>
      </w:r>
    </w:p>
    <w:p>
      <w:pPr>
        <w:adjustRightInd w:val="0"/>
        <w:snapToGrid w:val="0"/>
        <w:spacing w:line="360" w:lineRule="auto"/>
        <w:ind w:firstLine="422" w:firstLineChars="200"/>
        <w:rPr>
          <w:rFonts w:hint="eastAsia" w:ascii="仿宋" w:hAnsi="仿宋" w:eastAsia="仿宋" w:cs="仿宋"/>
          <w:b/>
          <w:color w:val="auto"/>
          <w:sz w:val="21"/>
          <w:szCs w:val="21"/>
        </w:rPr>
      </w:pPr>
      <w:r>
        <w:rPr>
          <w:rFonts w:hint="eastAsia" w:ascii="仿宋" w:hAnsi="仿宋" w:eastAsia="仿宋" w:cs="仿宋"/>
          <w:b/>
          <w:color w:val="auto"/>
          <w:sz w:val="21"/>
          <w:szCs w:val="21"/>
        </w:rPr>
        <w:t>第九条  代理合同的执行及争议的解决</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1、甲乙双方应及时相互通报本代理合同执行中所发生的问题，及时磋商解决办法，由于延误造成的损失由责任方承担；</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2、甲乙双方均应认真履行本代理合同,由于任何一方过错使代理合同不能履行,不能完全履行，迟延履行，或履行不符合约定条件的，由过错方承担责任；如属双方过错，则根据各自过错，分别承担相应的责任；</w:t>
      </w:r>
    </w:p>
    <w:p>
      <w:pPr>
        <w:adjustRightInd w:val="0"/>
        <w:snapToGrid w:val="0"/>
        <w:spacing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3、甲乙方双方同意，在执行本代理合同过程中所发生的一切争议，应通过双方协商解决。</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第十条</w:t>
      </w:r>
      <w:r>
        <w:rPr>
          <w:rFonts w:hint="eastAsia" w:ascii="仿宋" w:hAnsi="仿宋" w:eastAsia="仿宋" w:cs="仿宋"/>
          <w:color w:val="auto"/>
          <w:sz w:val="21"/>
          <w:szCs w:val="21"/>
        </w:rPr>
        <w:t xml:space="preserve">  本框架协议自签订之日起生效，本代理协议一式五份，甲方两份，乙方两份，公共资源交易平台一份，具有同等法律效力。</w:t>
      </w:r>
    </w:p>
    <w:p>
      <w:pPr>
        <w:adjustRightInd w:val="0"/>
        <w:snapToGrid w:val="0"/>
        <w:spacing w:line="360" w:lineRule="auto"/>
        <w:ind w:firstLine="422" w:firstLineChars="200"/>
        <w:rPr>
          <w:rFonts w:hint="eastAsia" w:ascii="仿宋" w:hAnsi="仿宋" w:eastAsia="仿宋" w:cs="仿宋"/>
          <w:color w:val="auto"/>
          <w:sz w:val="21"/>
          <w:szCs w:val="21"/>
        </w:rPr>
      </w:pPr>
      <w:r>
        <w:rPr>
          <w:rFonts w:hint="eastAsia" w:ascii="仿宋" w:hAnsi="仿宋" w:eastAsia="仿宋" w:cs="仿宋"/>
          <w:b/>
          <w:color w:val="auto"/>
          <w:sz w:val="21"/>
          <w:szCs w:val="21"/>
        </w:rPr>
        <w:t>第十一条</w:t>
      </w:r>
      <w:r>
        <w:rPr>
          <w:rFonts w:hint="eastAsia" w:ascii="仿宋" w:hAnsi="仿宋" w:eastAsia="仿宋" w:cs="仿宋"/>
          <w:color w:val="auto"/>
          <w:sz w:val="21"/>
          <w:szCs w:val="21"/>
        </w:rPr>
        <w:t xml:space="preserve">  在履行本协议过程中，如发生争议，双方应协商解决；协商不成，任何一方均可向甲方所在地有管辖权的人民法院起诉。</w:t>
      </w:r>
    </w:p>
    <w:p>
      <w:pPr>
        <w:adjustRightInd w:val="0"/>
        <w:snapToGrid w:val="0"/>
        <w:spacing w:line="360" w:lineRule="auto"/>
        <w:ind w:firstLine="420" w:firstLineChars="200"/>
        <w:rPr>
          <w:rFonts w:hint="eastAsia" w:ascii="仿宋" w:hAnsi="仿宋" w:eastAsia="仿宋" w:cs="仿宋"/>
          <w:color w:val="auto"/>
          <w:sz w:val="21"/>
          <w:szCs w:val="21"/>
        </w:rPr>
      </w:pPr>
    </w:p>
    <w:p>
      <w:pPr>
        <w:adjustRightInd w:val="0"/>
        <w:snapToGrid w:val="0"/>
        <w:spacing w:line="360" w:lineRule="auto"/>
        <w:rPr>
          <w:rFonts w:hint="eastAsia" w:ascii="仿宋" w:hAnsi="仿宋" w:eastAsia="仿宋" w:cs="仿宋"/>
          <w:b/>
          <w:color w:val="auto"/>
          <w:sz w:val="21"/>
          <w:szCs w:val="21"/>
        </w:rPr>
      </w:pPr>
      <w:r>
        <w:rPr>
          <w:rFonts w:hint="eastAsia" w:ascii="仿宋" w:hAnsi="仿宋" w:eastAsia="仿宋" w:cs="仿宋"/>
          <w:b/>
          <w:color w:val="auto"/>
          <w:sz w:val="21"/>
          <w:szCs w:val="21"/>
        </w:rPr>
        <w:t>甲方（盖章）：***********             乙方（盖章）：*****************</w:t>
      </w:r>
    </w:p>
    <w:p>
      <w:pPr>
        <w:adjustRightInd w:val="0"/>
        <w:snapToGrid w:val="0"/>
        <w:spacing w:line="360" w:lineRule="auto"/>
        <w:ind w:firstLine="5268" w:firstLineChars="2499"/>
        <w:rPr>
          <w:rFonts w:hint="eastAsia" w:ascii="仿宋" w:hAnsi="仿宋" w:eastAsia="仿宋" w:cs="仿宋"/>
          <w:b/>
          <w:color w:val="auto"/>
          <w:sz w:val="21"/>
          <w:szCs w:val="21"/>
        </w:rPr>
      </w:pPr>
      <w:r>
        <w:rPr>
          <w:rFonts w:hint="eastAsia" w:ascii="仿宋" w:hAnsi="仿宋" w:eastAsia="仿宋" w:cs="仿宋"/>
          <w:b/>
          <w:color w:val="auto"/>
          <w:sz w:val="21"/>
          <w:szCs w:val="21"/>
        </w:rPr>
        <w:t xml:space="preserve">                              </w:t>
      </w:r>
    </w:p>
    <w:p>
      <w:pPr>
        <w:adjustRightInd w:val="0"/>
        <w:snapToGrid w:val="0"/>
        <w:spacing w:line="360" w:lineRule="auto"/>
        <w:ind w:firstLine="420" w:firstLineChars="200"/>
        <w:rPr>
          <w:rFonts w:hint="eastAsia" w:ascii="仿宋" w:hAnsi="仿宋" w:eastAsia="仿宋" w:cs="仿宋"/>
          <w:color w:val="auto"/>
          <w:sz w:val="21"/>
          <w:szCs w:val="21"/>
        </w:rPr>
      </w:pPr>
    </w:p>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法定代表人：                         法定代表人：</w:t>
      </w:r>
    </w:p>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（授权委托人）：                      （授权委托人）：</w:t>
      </w:r>
    </w:p>
    <w:p>
      <w:pPr>
        <w:adjustRightInd w:val="0"/>
        <w:snapToGrid w:val="0"/>
        <w:spacing w:line="360" w:lineRule="auto"/>
        <w:rPr>
          <w:rFonts w:hint="eastAsia" w:ascii="仿宋" w:hAnsi="仿宋" w:eastAsia="仿宋" w:cs="仿宋"/>
          <w:color w:val="auto"/>
          <w:sz w:val="21"/>
          <w:szCs w:val="21"/>
        </w:rPr>
      </w:pPr>
    </w:p>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联系电话：                           联系电话： </w:t>
      </w:r>
    </w:p>
    <w:p>
      <w:pPr>
        <w:adjustRightInd w:val="0"/>
        <w:snapToGrid w:val="0"/>
        <w:spacing w:line="360" w:lineRule="auto"/>
        <w:rPr>
          <w:rFonts w:hint="eastAsia" w:ascii="仿宋" w:hAnsi="仿宋" w:eastAsia="仿宋" w:cs="仿宋"/>
          <w:color w:val="auto"/>
          <w:sz w:val="21"/>
          <w:szCs w:val="21"/>
        </w:rPr>
      </w:pPr>
    </w:p>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日期：  年  月   日                  日期：   年  月   日</w:t>
      </w:r>
    </w:p>
    <w:p>
      <w:pPr>
        <w:adjustRightInd w:val="0"/>
        <w:snapToGrid w:val="0"/>
        <w:spacing w:line="360" w:lineRule="auto"/>
        <w:ind w:left="420" w:leftChars="200"/>
        <w:jc w:val="center"/>
        <w:rPr>
          <w:rFonts w:hint="eastAsia" w:ascii="仿宋" w:hAnsi="仿宋" w:eastAsia="仿宋" w:cs="仿宋"/>
          <w:color w:val="auto"/>
          <w:sz w:val="21"/>
          <w:szCs w:val="21"/>
        </w:rPr>
      </w:pPr>
    </w:p>
    <w:p>
      <w:pPr>
        <w:adjustRightInd w:val="0"/>
        <w:snapToGrid w:val="0"/>
        <w:spacing w:line="360" w:lineRule="auto"/>
        <w:ind w:left="420" w:leftChars="200"/>
        <w:jc w:val="center"/>
        <w:rPr>
          <w:rFonts w:hint="eastAsia" w:ascii="仿宋" w:hAnsi="仿宋" w:eastAsia="仿宋" w:cs="仿宋"/>
          <w:color w:val="auto"/>
        </w:rPr>
      </w:pPr>
      <w:r>
        <w:rPr>
          <w:rFonts w:hint="eastAsia" w:ascii="仿宋" w:hAnsi="仿宋" w:eastAsia="仿宋" w:cs="仿宋"/>
          <w:color w:val="auto"/>
          <w:sz w:val="24"/>
          <w:szCs w:val="24"/>
        </w:rPr>
        <w:br w:type="page"/>
      </w:r>
      <w:bookmarkStart w:id="66" w:name="_Toc420957392"/>
      <w:bookmarkStart w:id="67" w:name="_Toc99946987"/>
      <w:bookmarkStart w:id="68" w:name="_Toc149637124"/>
      <w:r>
        <w:rPr>
          <w:rFonts w:hint="eastAsia" w:ascii="仿宋" w:hAnsi="仿宋" w:eastAsia="仿宋" w:cs="仿宋"/>
          <w:color w:val="auto"/>
        </w:rPr>
        <w:t xml:space="preserve"> </w:t>
      </w:r>
    </w:p>
    <w:p>
      <w:pPr>
        <w:pStyle w:val="2"/>
        <w:snapToGrid w:val="0"/>
        <w:spacing w:line="360" w:lineRule="auto"/>
        <w:ind w:left="420" w:leftChars="200"/>
        <w:jc w:val="center"/>
        <w:rPr>
          <w:rFonts w:hint="eastAsia" w:ascii="仿宋" w:hAnsi="仿宋" w:eastAsia="仿宋" w:cs="仿宋"/>
          <w:color w:val="auto"/>
          <w:sz w:val="36"/>
          <w:szCs w:val="36"/>
        </w:rPr>
      </w:pPr>
      <w:bookmarkStart w:id="69" w:name="_Toc103602615"/>
    </w:p>
    <w:p>
      <w:pPr>
        <w:rPr>
          <w:rFonts w:hint="eastAsia"/>
          <w:color w:val="auto"/>
        </w:rPr>
      </w:pPr>
    </w:p>
    <w:p>
      <w:pPr>
        <w:pStyle w:val="2"/>
        <w:snapToGrid w:val="0"/>
        <w:spacing w:line="360" w:lineRule="auto"/>
        <w:ind w:left="420" w:leftChars="200"/>
        <w:jc w:val="center"/>
        <w:rPr>
          <w:rFonts w:hint="eastAsia" w:ascii="仿宋" w:hAnsi="仿宋" w:eastAsia="仿宋" w:cs="仿宋"/>
          <w:color w:val="auto"/>
          <w:sz w:val="36"/>
          <w:szCs w:val="36"/>
        </w:rPr>
      </w:pPr>
    </w:p>
    <w:p>
      <w:pPr>
        <w:rPr>
          <w:rFonts w:hint="eastAsia"/>
          <w:color w:val="auto"/>
        </w:rPr>
      </w:pPr>
    </w:p>
    <w:p>
      <w:pPr>
        <w:pStyle w:val="2"/>
        <w:snapToGrid w:val="0"/>
        <w:spacing w:line="360" w:lineRule="auto"/>
        <w:ind w:left="420" w:leftChars="200"/>
        <w:jc w:val="center"/>
        <w:rPr>
          <w:rFonts w:hint="eastAsia" w:ascii="仿宋" w:hAnsi="仿宋" w:eastAsia="仿宋" w:cs="仿宋"/>
          <w:color w:val="auto"/>
          <w:sz w:val="36"/>
          <w:szCs w:val="36"/>
        </w:rPr>
      </w:pPr>
    </w:p>
    <w:p>
      <w:pPr>
        <w:pStyle w:val="2"/>
        <w:snapToGrid w:val="0"/>
        <w:spacing w:line="360" w:lineRule="auto"/>
        <w:ind w:left="420" w:leftChars="200"/>
        <w:jc w:val="center"/>
        <w:rPr>
          <w:rFonts w:hint="eastAsia" w:ascii="仿宋" w:hAnsi="仿宋" w:eastAsia="仿宋" w:cs="仿宋"/>
          <w:color w:val="auto"/>
          <w:sz w:val="36"/>
          <w:szCs w:val="36"/>
        </w:rPr>
      </w:pPr>
      <w:bookmarkStart w:id="70" w:name="_Toc7634"/>
      <w:r>
        <w:rPr>
          <w:rFonts w:hint="eastAsia" w:ascii="仿宋" w:hAnsi="仿宋" w:eastAsia="仿宋" w:cs="仿宋"/>
          <w:color w:val="auto"/>
          <w:sz w:val="36"/>
          <w:szCs w:val="36"/>
        </w:rPr>
        <w:t>第五</w:t>
      </w:r>
      <w:r>
        <w:rPr>
          <w:rFonts w:hint="eastAsia" w:ascii="仿宋" w:hAnsi="仿宋" w:eastAsia="仿宋" w:cs="仿宋"/>
          <w:color w:val="auto"/>
          <w:sz w:val="36"/>
          <w:szCs w:val="36"/>
          <w:lang w:val="en-US" w:eastAsia="zh-CN"/>
        </w:rPr>
        <w:t>部分</w:t>
      </w:r>
      <w:r>
        <w:rPr>
          <w:rFonts w:hint="eastAsia" w:ascii="仿宋" w:hAnsi="仿宋" w:eastAsia="仿宋" w:cs="仿宋"/>
          <w:color w:val="auto"/>
          <w:sz w:val="36"/>
          <w:szCs w:val="36"/>
        </w:rPr>
        <w:t xml:space="preserve">  竞争性磋商响应文件格式</w:t>
      </w:r>
      <w:bookmarkEnd w:id="66"/>
      <w:bookmarkEnd w:id="67"/>
      <w:bookmarkEnd w:id="68"/>
      <w:bookmarkEnd w:id="69"/>
      <w:bookmarkEnd w:id="70"/>
    </w:p>
    <w:p>
      <w:pPr>
        <w:adjustRightInd w:val="0"/>
        <w:snapToGrid w:val="0"/>
        <w:spacing w:line="360" w:lineRule="auto"/>
        <w:ind w:left="420" w:leftChars="200" w:firstLine="422" w:firstLineChars="200"/>
        <w:rPr>
          <w:rFonts w:hint="eastAsia" w:ascii="仿宋" w:hAnsi="仿宋" w:eastAsia="仿宋" w:cs="仿宋"/>
          <w:b/>
          <w:color w:val="auto"/>
          <w:sz w:val="21"/>
          <w:szCs w:val="21"/>
        </w:rPr>
      </w:pPr>
    </w:p>
    <w:p>
      <w:pPr>
        <w:pStyle w:val="15"/>
        <w:rPr>
          <w:rFonts w:hint="eastAsia" w:ascii="仿宋" w:hAnsi="仿宋" w:eastAsia="仿宋" w:cs="仿宋"/>
          <w:b/>
          <w:color w:val="auto"/>
          <w:sz w:val="21"/>
          <w:szCs w:val="21"/>
        </w:rPr>
      </w:pPr>
    </w:p>
    <w:p>
      <w:pPr>
        <w:pStyle w:val="15"/>
        <w:rPr>
          <w:rFonts w:hint="eastAsia" w:ascii="仿宋" w:hAnsi="仿宋" w:eastAsia="仿宋" w:cs="仿宋"/>
          <w:b/>
          <w:color w:val="auto"/>
          <w:sz w:val="21"/>
          <w:szCs w:val="21"/>
        </w:rPr>
      </w:pPr>
    </w:p>
    <w:p>
      <w:pPr>
        <w:pStyle w:val="15"/>
        <w:rPr>
          <w:rFonts w:hint="eastAsia" w:ascii="仿宋" w:hAnsi="仿宋" w:eastAsia="仿宋" w:cs="仿宋"/>
          <w:b/>
          <w:color w:val="auto"/>
          <w:sz w:val="21"/>
          <w:szCs w:val="21"/>
        </w:rPr>
      </w:pPr>
    </w:p>
    <w:p>
      <w:pPr>
        <w:pStyle w:val="15"/>
        <w:rPr>
          <w:rFonts w:hint="eastAsia" w:ascii="仿宋" w:hAnsi="仿宋" w:eastAsia="仿宋" w:cs="仿宋"/>
          <w:b/>
          <w:color w:val="auto"/>
          <w:sz w:val="21"/>
          <w:szCs w:val="21"/>
        </w:rPr>
      </w:pPr>
    </w:p>
    <w:p>
      <w:pPr>
        <w:pStyle w:val="15"/>
        <w:rPr>
          <w:rFonts w:hint="eastAsia" w:ascii="仿宋" w:hAnsi="仿宋" w:eastAsia="仿宋" w:cs="仿宋"/>
          <w:b/>
          <w:color w:val="auto"/>
          <w:sz w:val="21"/>
          <w:szCs w:val="21"/>
        </w:rPr>
      </w:pPr>
    </w:p>
    <w:p>
      <w:pPr>
        <w:pStyle w:val="15"/>
        <w:rPr>
          <w:rFonts w:hint="eastAsia" w:ascii="仿宋" w:hAnsi="仿宋" w:eastAsia="仿宋" w:cs="仿宋"/>
          <w:b/>
          <w:color w:val="auto"/>
          <w:sz w:val="21"/>
          <w:szCs w:val="21"/>
        </w:rPr>
      </w:pPr>
    </w:p>
    <w:p>
      <w:pPr>
        <w:pStyle w:val="15"/>
        <w:rPr>
          <w:rFonts w:hint="eastAsia" w:ascii="仿宋" w:hAnsi="仿宋" w:eastAsia="仿宋" w:cs="仿宋"/>
          <w:b/>
          <w:color w:val="auto"/>
          <w:sz w:val="21"/>
          <w:szCs w:val="21"/>
        </w:rPr>
      </w:pPr>
    </w:p>
    <w:p>
      <w:pPr>
        <w:adjustRightInd w:val="0"/>
        <w:snapToGrid w:val="0"/>
        <w:spacing w:line="360" w:lineRule="auto"/>
        <w:jc w:val="center"/>
        <w:rPr>
          <w:rFonts w:hint="eastAsia" w:ascii="仿宋" w:hAnsi="仿宋" w:eastAsia="仿宋" w:cs="仿宋"/>
          <w:b/>
          <w:color w:val="auto"/>
          <w:sz w:val="24"/>
          <w:szCs w:val="24"/>
        </w:rPr>
      </w:pPr>
      <w:bookmarkStart w:id="71" w:name="_Toc480942349"/>
      <w:bookmarkStart w:id="72" w:name="_Ref467988698"/>
      <w:bookmarkStart w:id="73" w:name="_Toc520356217"/>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b/>
          <w:color w:val="auto"/>
          <w:sz w:val="24"/>
          <w:szCs w:val="24"/>
        </w:rPr>
      </w:pPr>
    </w:p>
    <w:p>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b/>
          <w:color w:val="auto"/>
          <w:sz w:val="24"/>
          <w:szCs w:val="24"/>
        </w:rPr>
        <w:t>1、商务部分</w:t>
      </w:r>
    </w:p>
    <w:p>
      <w:pPr>
        <w:pStyle w:val="5"/>
        <w:jc w:val="center"/>
        <w:rPr>
          <w:rFonts w:hint="eastAsia" w:ascii="仿宋" w:hAnsi="仿宋" w:eastAsia="仿宋" w:cs="仿宋"/>
          <w:color w:val="auto"/>
          <w:sz w:val="24"/>
          <w:szCs w:val="24"/>
        </w:rPr>
      </w:pPr>
      <w:bookmarkStart w:id="74" w:name="_Toc103602616"/>
      <w:bookmarkStart w:id="75" w:name="_Toc420957393"/>
      <w:bookmarkStart w:id="76" w:name="_Toc11380"/>
      <w:bookmarkStart w:id="77" w:name="_Toc35423918"/>
      <w:r>
        <w:rPr>
          <w:rFonts w:hint="eastAsia" w:ascii="仿宋" w:hAnsi="仿宋" w:eastAsia="仿宋" w:cs="仿宋"/>
          <w:color w:val="auto"/>
          <w:szCs w:val="24"/>
          <w:u w:val="none"/>
        </w:rPr>
        <w:t>附件1</w:t>
      </w:r>
      <w:bookmarkStart w:id="78" w:name="_Hlt520355504"/>
      <w:bookmarkEnd w:id="78"/>
      <w:r>
        <w:rPr>
          <w:rFonts w:hint="eastAsia" w:ascii="仿宋" w:hAnsi="仿宋" w:eastAsia="仿宋" w:cs="仿宋"/>
          <w:color w:val="auto"/>
          <w:szCs w:val="24"/>
          <w:u w:val="none"/>
        </w:rPr>
        <w:t xml:space="preserve">  投标</w:t>
      </w:r>
      <w:bookmarkEnd w:id="71"/>
      <w:bookmarkEnd w:id="72"/>
      <w:r>
        <w:rPr>
          <w:rFonts w:hint="eastAsia" w:ascii="仿宋" w:hAnsi="仿宋" w:eastAsia="仿宋" w:cs="仿宋"/>
          <w:color w:val="auto"/>
          <w:szCs w:val="24"/>
          <w:u w:val="none"/>
        </w:rPr>
        <w:t>书</w:t>
      </w:r>
      <w:bookmarkEnd w:id="73"/>
      <w:r>
        <w:rPr>
          <w:rFonts w:hint="eastAsia" w:ascii="仿宋" w:hAnsi="仿宋" w:eastAsia="仿宋" w:cs="仿宋"/>
          <w:color w:val="auto"/>
          <w:szCs w:val="24"/>
          <w:u w:val="none"/>
        </w:rPr>
        <w:t>（格式）</w:t>
      </w:r>
      <w:bookmarkEnd w:id="74"/>
      <w:bookmarkEnd w:id="75"/>
      <w:bookmarkEnd w:id="76"/>
      <w:bookmarkEnd w:id="77"/>
    </w:p>
    <w:p>
      <w:pPr>
        <w:tabs>
          <w:tab w:val="left" w:pos="5580"/>
        </w:tabs>
        <w:adjustRightInd w:val="0"/>
        <w:snapToGrid w:val="0"/>
        <w:spacing w:before="120" w:line="360" w:lineRule="auto"/>
        <w:rPr>
          <w:rFonts w:hint="eastAsia" w:ascii="仿宋" w:hAnsi="仿宋" w:eastAsia="仿宋" w:cs="仿宋"/>
          <w:color w:val="auto"/>
          <w:sz w:val="21"/>
          <w:szCs w:val="21"/>
          <w:u w:val="single"/>
        </w:rPr>
      </w:pPr>
      <w:r>
        <w:rPr>
          <w:rFonts w:hint="eastAsia" w:ascii="仿宋" w:hAnsi="仿宋" w:eastAsia="仿宋" w:cs="仿宋"/>
          <w:color w:val="auto"/>
          <w:sz w:val="21"/>
          <w:szCs w:val="21"/>
        </w:rPr>
        <w:t>致：</w:t>
      </w:r>
      <w:r>
        <w:rPr>
          <w:rFonts w:hint="eastAsia" w:ascii="仿宋" w:hAnsi="仿宋" w:eastAsia="仿宋" w:cs="仿宋"/>
          <w:color w:val="auto"/>
          <w:sz w:val="21"/>
          <w:szCs w:val="21"/>
          <w:u w:val="single"/>
        </w:rPr>
        <w:t xml:space="preserve">             </w:t>
      </w:r>
    </w:p>
    <w:p>
      <w:pPr>
        <w:tabs>
          <w:tab w:val="left" w:pos="5580"/>
        </w:tabs>
        <w:adjustRightInd w:val="0"/>
        <w:snapToGrid w:val="0"/>
        <w:spacing w:before="120" w:line="36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根据贵方为</w:t>
      </w:r>
      <w:r>
        <w:rPr>
          <w:rFonts w:hint="eastAsia" w:ascii="仿宋" w:hAnsi="仿宋" w:eastAsia="仿宋" w:cs="仿宋"/>
          <w:color w:val="auto"/>
          <w:sz w:val="21"/>
          <w:szCs w:val="21"/>
          <w:u w:val="single"/>
        </w:rPr>
        <w:t xml:space="preserve">  （</w:t>
      </w:r>
      <w:r>
        <w:rPr>
          <w:rFonts w:hint="eastAsia" w:ascii="仿宋" w:hAnsi="仿宋" w:eastAsia="仿宋" w:cs="仿宋"/>
          <w:i/>
          <w:color w:val="auto"/>
          <w:sz w:val="21"/>
          <w:szCs w:val="21"/>
          <w:u w:val="single"/>
        </w:rPr>
        <w:t>项目名称）</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项目招标采购服务的投标邀请</w:t>
      </w:r>
      <w:r>
        <w:rPr>
          <w:rFonts w:hint="eastAsia" w:ascii="仿宋" w:hAnsi="仿宋" w:eastAsia="仿宋" w:cs="仿宋"/>
          <w:color w:val="auto"/>
          <w:sz w:val="21"/>
          <w:szCs w:val="21"/>
          <w:u w:val="single"/>
        </w:rPr>
        <w:t xml:space="preserve"> （</w:t>
      </w:r>
      <w:r>
        <w:rPr>
          <w:rFonts w:hint="eastAsia" w:ascii="仿宋" w:hAnsi="仿宋" w:eastAsia="仿宋" w:cs="仿宋"/>
          <w:i/>
          <w:color w:val="auto"/>
          <w:sz w:val="21"/>
          <w:szCs w:val="21"/>
          <w:u w:val="single"/>
        </w:rPr>
        <w:t>招标编号）</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,签字代表</w:t>
      </w:r>
      <w:r>
        <w:rPr>
          <w:rFonts w:hint="eastAsia" w:ascii="仿宋" w:hAnsi="仿宋" w:eastAsia="仿宋" w:cs="仿宋"/>
          <w:color w:val="auto"/>
          <w:sz w:val="21"/>
          <w:szCs w:val="21"/>
          <w:u w:val="single"/>
        </w:rPr>
        <w:t xml:space="preserve"> （</w:t>
      </w:r>
      <w:r>
        <w:rPr>
          <w:rFonts w:hint="eastAsia" w:ascii="仿宋" w:hAnsi="仿宋" w:eastAsia="仿宋" w:cs="仿宋"/>
          <w:i/>
          <w:color w:val="auto"/>
          <w:sz w:val="21"/>
          <w:szCs w:val="21"/>
          <w:u w:val="single"/>
        </w:rPr>
        <w:t>姓名、职务）</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经正式授权并代表投标人</w:t>
      </w:r>
      <w:r>
        <w:rPr>
          <w:rFonts w:hint="eastAsia" w:ascii="仿宋" w:hAnsi="仿宋" w:eastAsia="仿宋" w:cs="仿宋"/>
          <w:color w:val="auto"/>
          <w:sz w:val="21"/>
          <w:szCs w:val="21"/>
          <w:u w:val="single"/>
        </w:rPr>
        <w:t>（</w:t>
      </w:r>
      <w:r>
        <w:rPr>
          <w:rFonts w:hint="eastAsia" w:ascii="仿宋" w:hAnsi="仿宋" w:eastAsia="仿宋" w:cs="仿宋"/>
          <w:i/>
          <w:color w:val="auto"/>
          <w:sz w:val="21"/>
          <w:szCs w:val="21"/>
          <w:u w:val="single"/>
        </w:rPr>
        <w:t>投标人名称、地址</w:t>
      </w:r>
      <w:r>
        <w:rPr>
          <w:rFonts w:hint="eastAsia" w:ascii="仿宋" w:hAnsi="仿宋" w:eastAsia="仿宋" w:cs="仿宋"/>
          <w:color w:val="auto"/>
          <w:sz w:val="21"/>
          <w:szCs w:val="21"/>
          <w:u w:val="single"/>
        </w:rPr>
        <w:t>）</w:t>
      </w:r>
      <w:r>
        <w:rPr>
          <w:rFonts w:hint="eastAsia" w:ascii="仿宋" w:hAnsi="仿宋" w:eastAsia="仿宋" w:cs="仿宋"/>
          <w:color w:val="auto"/>
          <w:sz w:val="21"/>
          <w:szCs w:val="21"/>
        </w:rPr>
        <w:t>提交下述文件正本一份及副本二份：</w:t>
      </w:r>
    </w:p>
    <w:p>
      <w:pPr>
        <w:pStyle w:val="19"/>
        <w:tabs>
          <w:tab w:val="left" w:pos="126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1.投标书</w:t>
      </w:r>
    </w:p>
    <w:p>
      <w:pPr>
        <w:pStyle w:val="19"/>
        <w:tabs>
          <w:tab w:val="left" w:pos="126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2.投标报价文件</w:t>
      </w:r>
    </w:p>
    <w:p>
      <w:pPr>
        <w:pStyle w:val="19"/>
        <w:tabs>
          <w:tab w:val="left" w:pos="126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3.资格证明文件</w:t>
      </w:r>
    </w:p>
    <w:p>
      <w:pPr>
        <w:pStyle w:val="19"/>
        <w:tabs>
          <w:tab w:val="left" w:pos="126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4.其他在投标人须知中应当提交的文件</w:t>
      </w:r>
    </w:p>
    <w:p>
      <w:pPr>
        <w:pStyle w:val="19"/>
        <w:tabs>
          <w:tab w:val="left" w:pos="0"/>
          <w:tab w:val="left" w:pos="5580"/>
        </w:tabs>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据此，签字代表宣布同意如下：</w:t>
      </w:r>
    </w:p>
    <w:p>
      <w:pPr>
        <w:pStyle w:val="19"/>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（1）投标人将按招标文件的规定履行合同责任和义务。</w:t>
      </w:r>
    </w:p>
    <w:p>
      <w:pPr>
        <w:pStyle w:val="19"/>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（2）投标人已详细审查全部招标文件，包括第</w:t>
      </w:r>
      <w:r>
        <w:rPr>
          <w:rFonts w:hint="eastAsia" w:ascii="仿宋" w:hAnsi="仿宋" w:eastAsia="仿宋" w:cs="仿宋"/>
          <w:color w:val="auto"/>
          <w:sz w:val="21"/>
          <w:szCs w:val="21"/>
          <w:u w:val="single"/>
        </w:rPr>
        <w:t xml:space="preserve">        号（招标编号、补充通知）</w:t>
      </w:r>
      <w:r>
        <w:rPr>
          <w:rFonts w:hint="eastAsia" w:ascii="仿宋" w:hAnsi="仿宋" w:eastAsia="仿宋" w:cs="仿宋"/>
          <w:color w:val="auto"/>
          <w:sz w:val="21"/>
          <w:szCs w:val="21"/>
        </w:rPr>
        <w:t>（如果有的话）。我们完全理解并同意放弃对这方面有不明及误解的权力。</w:t>
      </w:r>
    </w:p>
    <w:p>
      <w:pPr>
        <w:pStyle w:val="19"/>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（3)本投标有效期为自开标日起</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u w:val="single"/>
          <w:lang w:val="en-US" w:eastAsia="zh-CN"/>
        </w:rPr>
        <w:t>90</w:t>
      </w:r>
      <w:r>
        <w:rPr>
          <w:rFonts w:hint="eastAsia" w:ascii="仿宋" w:hAnsi="仿宋" w:eastAsia="仿宋" w:cs="仿宋"/>
          <w:color w:val="auto"/>
          <w:sz w:val="21"/>
          <w:szCs w:val="21"/>
        </w:rPr>
        <w:t>个日历日。</w:t>
      </w:r>
    </w:p>
    <w:p>
      <w:pPr>
        <w:pStyle w:val="19"/>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 (4）根据投标人须知规定，我方承诺，与招标采购单位聘请的为此项目提供咨询服务的公司及任何附属机构均无关联，我方不是招标采购单位的附属机构。</w:t>
      </w:r>
    </w:p>
    <w:p>
      <w:pPr>
        <w:pStyle w:val="19"/>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（5）投标人同意提供按照贵方可能要求的与其投标有关的一切数据或资料。</w:t>
      </w:r>
    </w:p>
    <w:p>
      <w:pPr>
        <w:pStyle w:val="19"/>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（6）完全理解贵方不一定接受最低价的投标或收到的任何投标。</w:t>
      </w:r>
    </w:p>
    <w:p>
      <w:pPr>
        <w:pStyle w:val="19"/>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（7）承诺完全满足和响应招标文件中的各项商务和技术要求，若有偏差，已在投标文件中显著处予以明确特别说明。</w:t>
      </w:r>
    </w:p>
    <w:p>
      <w:pPr>
        <w:pStyle w:val="19"/>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（8）我方愿意向贵方提供任何与本项有关的数据、情况和技术资料。若贵方需要，我方愿意提供我方做出的一切承诺的证明材料。</w:t>
      </w:r>
    </w:p>
    <w:p>
      <w:pPr>
        <w:pStyle w:val="19"/>
        <w:tabs>
          <w:tab w:val="left" w:pos="162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本投标有关的一切正式往来信函请寄：</w:t>
      </w:r>
    </w:p>
    <w:p>
      <w:pPr>
        <w:pStyle w:val="19"/>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地址</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w:t>
      </w:r>
    </w:p>
    <w:p>
      <w:pPr>
        <w:pStyle w:val="19"/>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电话</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传真</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w:t>
      </w:r>
    </w:p>
    <w:p>
      <w:pPr>
        <w:pStyle w:val="19"/>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电子函件</w:t>
      </w:r>
      <w:r>
        <w:rPr>
          <w:rFonts w:hint="eastAsia" w:ascii="仿宋" w:hAnsi="仿宋" w:eastAsia="仿宋" w:cs="仿宋"/>
          <w:color w:val="auto"/>
          <w:sz w:val="21"/>
          <w:szCs w:val="21"/>
          <w:u w:val="single"/>
        </w:rPr>
        <w:t xml:space="preserve">                                    </w:t>
      </w:r>
    </w:p>
    <w:p>
      <w:pPr>
        <w:pStyle w:val="19"/>
        <w:tabs>
          <w:tab w:val="left" w:pos="5580"/>
        </w:tabs>
        <w:adjustRightInd w:val="0"/>
        <w:snapToGrid w:val="0"/>
        <w:spacing w:line="360" w:lineRule="auto"/>
        <w:ind w:left="420" w:leftChars="200"/>
        <w:rPr>
          <w:rFonts w:hint="eastAsia" w:ascii="仿宋" w:hAnsi="仿宋" w:eastAsia="仿宋" w:cs="仿宋"/>
          <w:color w:val="auto"/>
          <w:sz w:val="21"/>
          <w:szCs w:val="21"/>
        </w:rPr>
      </w:pPr>
    </w:p>
    <w:p>
      <w:pPr>
        <w:pStyle w:val="19"/>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投标人法定代表人或其授权代表签字或盖章</w:t>
      </w:r>
      <w:r>
        <w:rPr>
          <w:rFonts w:hint="eastAsia" w:ascii="仿宋" w:hAnsi="仿宋" w:eastAsia="仿宋" w:cs="仿宋"/>
          <w:color w:val="auto"/>
          <w:sz w:val="21"/>
          <w:szCs w:val="21"/>
          <w:u w:val="single"/>
        </w:rPr>
        <w:t xml:space="preserve">      </w:t>
      </w:r>
    </w:p>
    <w:p>
      <w:pPr>
        <w:pStyle w:val="19"/>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投标人名称（全称）</w:t>
      </w:r>
      <w:r>
        <w:rPr>
          <w:rFonts w:hint="eastAsia" w:ascii="仿宋" w:hAnsi="仿宋" w:eastAsia="仿宋" w:cs="仿宋"/>
          <w:color w:val="auto"/>
          <w:sz w:val="21"/>
          <w:szCs w:val="21"/>
          <w:u w:val="single"/>
        </w:rPr>
        <w:t xml:space="preserve">                          </w:t>
      </w:r>
    </w:p>
    <w:p>
      <w:pPr>
        <w:pStyle w:val="19"/>
        <w:tabs>
          <w:tab w:val="left" w:pos="5580"/>
        </w:tabs>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投标人公章</w:t>
      </w:r>
      <w:r>
        <w:rPr>
          <w:rFonts w:hint="eastAsia" w:ascii="仿宋" w:hAnsi="仿宋" w:eastAsia="仿宋" w:cs="仿宋"/>
          <w:color w:val="auto"/>
          <w:sz w:val="21"/>
          <w:szCs w:val="21"/>
          <w:u w:val="single"/>
        </w:rPr>
        <w:t xml:space="preserve">                                  </w:t>
      </w:r>
    </w:p>
    <w:p>
      <w:pPr>
        <w:pStyle w:val="19"/>
        <w:tabs>
          <w:tab w:val="left" w:pos="5580"/>
        </w:tabs>
        <w:adjustRightInd w:val="0"/>
        <w:snapToGrid w:val="0"/>
        <w:spacing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日期</w:t>
      </w:r>
      <w:r>
        <w:rPr>
          <w:rFonts w:hint="eastAsia" w:ascii="仿宋" w:hAnsi="仿宋" w:eastAsia="仿宋" w:cs="仿宋"/>
          <w:color w:val="auto"/>
          <w:sz w:val="21"/>
          <w:szCs w:val="21"/>
          <w:u w:val="single"/>
        </w:rPr>
        <w:t xml:space="preserve">                                        </w:t>
      </w:r>
    </w:p>
    <w:p>
      <w:pPr>
        <w:pStyle w:val="3"/>
        <w:numPr>
          <w:ilvl w:val="1"/>
          <w:numId w:val="0"/>
        </w:numPr>
        <w:snapToGrid w:val="0"/>
        <w:spacing w:line="360" w:lineRule="auto"/>
        <w:ind w:left="420" w:leftChars="200"/>
        <w:textAlignment w:val="baseline"/>
        <w:rPr>
          <w:rFonts w:hint="eastAsia" w:ascii="仿宋" w:hAnsi="仿宋" w:eastAsia="仿宋" w:cs="仿宋"/>
          <w:color w:val="auto"/>
          <w:sz w:val="21"/>
          <w:szCs w:val="21"/>
        </w:rPr>
        <w:sectPr>
          <w:headerReference r:id="rId11" w:type="default"/>
          <w:footerReference r:id="rId12" w:type="default"/>
          <w:pgSz w:w="11906" w:h="16838"/>
          <w:pgMar w:top="1440" w:right="1797" w:bottom="1440" w:left="1797" w:header="851" w:footer="992" w:gutter="0"/>
          <w:pgNumType w:fmt="decimal"/>
          <w:cols w:space="720" w:num="1"/>
          <w:docGrid w:linePitch="312" w:charSpace="0"/>
        </w:sectPr>
      </w:pPr>
      <w:bookmarkStart w:id="79" w:name="_Toc497546920"/>
      <w:bookmarkStart w:id="80" w:name="_Toc497551822"/>
      <w:bookmarkStart w:id="81" w:name="_Toc497711587"/>
      <w:bookmarkStart w:id="82" w:name="_Toc492955461"/>
      <w:bookmarkStart w:id="83" w:name="_Toc497712135"/>
      <w:bookmarkStart w:id="84" w:name="_Toc153346195"/>
      <w:bookmarkStart w:id="85" w:name="_Toc115514548"/>
      <w:bookmarkStart w:id="86" w:name="_Toc153347056"/>
      <w:bookmarkStart w:id="87" w:name="_Toc106381650"/>
    </w:p>
    <w:p>
      <w:pPr>
        <w:pStyle w:val="5"/>
        <w:jc w:val="center"/>
        <w:rPr>
          <w:rFonts w:hint="eastAsia" w:ascii="仿宋" w:hAnsi="仿宋" w:eastAsia="仿宋" w:cs="仿宋"/>
          <w:color w:val="auto"/>
          <w:sz w:val="21"/>
          <w:szCs w:val="21"/>
          <w:u w:val="none"/>
        </w:rPr>
      </w:pPr>
      <w:bookmarkStart w:id="88" w:name="_Toc420957394"/>
      <w:bookmarkStart w:id="89" w:name="_Toc103602617"/>
      <w:bookmarkStart w:id="90" w:name="_Toc6801"/>
      <w:bookmarkStart w:id="91" w:name="_Toc35423919"/>
      <w:r>
        <w:rPr>
          <w:rFonts w:hint="eastAsia" w:ascii="仿宋" w:hAnsi="仿宋" w:eastAsia="仿宋" w:cs="仿宋"/>
          <w:color w:val="auto"/>
          <w:sz w:val="21"/>
          <w:szCs w:val="21"/>
          <w:u w:val="none"/>
        </w:rPr>
        <w:t>附件</w:t>
      </w:r>
      <w:bookmarkStart w:id="92" w:name="_Hlt491765515"/>
      <w:r>
        <w:rPr>
          <w:rFonts w:hint="eastAsia" w:ascii="仿宋" w:hAnsi="仿宋" w:eastAsia="仿宋" w:cs="仿宋"/>
          <w:color w:val="auto"/>
          <w:sz w:val="21"/>
          <w:szCs w:val="21"/>
          <w:u w:val="none"/>
        </w:rPr>
        <w:t xml:space="preserve">2  </w:t>
      </w:r>
      <w:bookmarkEnd w:id="79"/>
      <w:bookmarkEnd w:id="80"/>
      <w:bookmarkEnd w:id="81"/>
      <w:bookmarkEnd w:id="82"/>
      <w:bookmarkEnd w:id="83"/>
      <w:bookmarkEnd w:id="92"/>
      <w:bookmarkStart w:id="93" w:name="_Hlt491572840"/>
      <w:bookmarkEnd w:id="93"/>
      <w:r>
        <w:rPr>
          <w:rFonts w:hint="eastAsia" w:ascii="仿宋" w:hAnsi="仿宋" w:eastAsia="仿宋" w:cs="仿宋"/>
          <w:color w:val="auto"/>
          <w:sz w:val="21"/>
          <w:szCs w:val="21"/>
          <w:u w:val="none"/>
          <w:lang w:eastAsia="zh-CN"/>
        </w:rPr>
        <w:t>报价</w:t>
      </w:r>
      <w:r>
        <w:rPr>
          <w:rFonts w:hint="eastAsia" w:ascii="仿宋" w:hAnsi="仿宋" w:eastAsia="仿宋" w:cs="仿宋"/>
          <w:color w:val="auto"/>
          <w:sz w:val="21"/>
          <w:szCs w:val="21"/>
          <w:u w:val="none"/>
        </w:rPr>
        <w:t>表</w:t>
      </w:r>
      <w:bookmarkEnd w:id="84"/>
      <w:bookmarkEnd w:id="85"/>
      <w:bookmarkEnd w:id="86"/>
      <w:bookmarkEnd w:id="87"/>
      <w:bookmarkEnd w:id="88"/>
      <w:bookmarkEnd w:id="89"/>
      <w:bookmarkEnd w:id="90"/>
      <w:bookmarkEnd w:id="91"/>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一、项目名称： </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二、编号：                                                                              </w:t>
      </w:r>
    </w:p>
    <w:tbl>
      <w:tblPr>
        <w:tblStyle w:val="38"/>
        <w:tblW w:w="14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4707"/>
        <w:gridCol w:w="4706"/>
        <w:gridCol w:w="3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09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序号</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firstLine="1050" w:firstLineChars="500"/>
              <w:jc w:val="both"/>
              <w:rPr>
                <w:rFonts w:hint="eastAsia" w:ascii="仿宋" w:hAnsi="仿宋" w:eastAsia="仿宋" w:cs="仿宋"/>
                <w:color w:val="auto"/>
                <w:sz w:val="21"/>
                <w:szCs w:val="21"/>
              </w:rPr>
            </w:pPr>
            <w:r>
              <w:rPr>
                <w:rFonts w:hint="eastAsia" w:ascii="仿宋" w:hAnsi="仿宋" w:eastAsia="仿宋" w:cs="仿宋"/>
                <w:color w:val="auto"/>
                <w:sz w:val="21"/>
                <w:szCs w:val="21"/>
              </w:rPr>
              <w:t>项目名称</w:t>
            </w:r>
          </w:p>
        </w:tc>
        <w:tc>
          <w:tcPr>
            <w:tcW w:w="47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投标报价</w:t>
            </w:r>
          </w:p>
          <w:p>
            <w:pPr>
              <w:adjustRightInd w:val="0"/>
              <w:snapToGrid w:val="0"/>
              <w:spacing w:line="360" w:lineRule="auto"/>
              <w:ind w:left="420" w:leftChars="20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（中标服务费取费标准</w:t>
            </w:r>
            <w:r>
              <w:rPr>
                <w:rFonts w:hint="eastAsia" w:ascii="仿宋" w:hAnsi="仿宋" w:eastAsia="仿宋" w:cs="仿宋"/>
                <w:color w:val="auto"/>
                <w:sz w:val="21"/>
                <w:szCs w:val="21"/>
                <w:highlight w:val="none"/>
                <w:lang w:val="en-US" w:eastAsia="zh-CN"/>
              </w:rPr>
              <w:t>下浮%</w:t>
            </w:r>
            <w:r>
              <w:rPr>
                <w:rFonts w:hint="eastAsia" w:ascii="仿宋" w:hAnsi="仿宋" w:eastAsia="仿宋" w:cs="仿宋"/>
                <w:color w:val="auto"/>
                <w:sz w:val="21"/>
                <w:szCs w:val="21"/>
                <w:highlight w:val="none"/>
              </w:rPr>
              <w:t>）</w:t>
            </w:r>
          </w:p>
        </w:tc>
        <w:tc>
          <w:tcPr>
            <w:tcW w:w="37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服务期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1099"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420" w:leftChars="200"/>
              <w:jc w:val="both"/>
              <w:rPr>
                <w:rFonts w:hint="eastAsia" w:ascii="仿宋" w:hAnsi="仿宋" w:eastAsia="仿宋" w:cs="仿宋"/>
                <w:color w:val="auto"/>
                <w:sz w:val="21"/>
                <w:szCs w:val="21"/>
              </w:rPr>
            </w:pPr>
            <w:r>
              <w:rPr>
                <w:rFonts w:hint="eastAsia" w:ascii="仿宋" w:hAnsi="仿宋" w:eastAsia="仿宋" w:cs="仿宋"/>
                <w:color w:val="auto"/>
                <w:sz w:val="21"/>
                <w:szCs w:val="21"/>
              </w:rPr>
              <w:t>1</w:t>
            </w:r>
          </w:p>
        </w:tc>
        <w:tc>
          <w:tcPr>
            <w:tcW w:w="4707"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1260" w:leftChars="200" w:hanging="840" w:hangingChars="400"/>
              <w:jc w:val="center"/>
              <w:rPr>
                <w:rFonts w:hint="eastAsia" w:ascii="仿宋" w:hAnsi="仿宋" w:eastAsia="仿宋" w:cs="仿宋"/>
                <w:color w:val="auto"/>
                <w:sz w:val="21"/>
                <w:szCs w:val="21"/>
              </w:rPr>
            </w:pPr>
            <w:r>
              <w:rPr>
                <w:rFonts w:hint="eastAsia" w:ascii="仿宋" w:hAnsi="仿宋" w:eastAsia="仿宋" w:cs="仿宋"/>
                <w:color w:val="auto"/>
                <w:sz w:val="21"/>
                <w:szCs w:val="21"/>
              </w:rPr>
              <w:t xml:space="preserve"> </w:t>
            </w:r>
          </w:p>
        </w:tc>
        <w:tc>
          <w:tcPr>
            <w:tcW w:w="4706"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420" w:leftChars="200"/>
              <w:jc w:val="left"/>
              <w:rPr>
                <w:rFonts w:hint="eastAsia" w:ascii="仿宋" w:hAnsi="仿宋" w:eastAsia="仿宋" w:cs="仿宋"/>
                <w:color w:val="auto"/>
                <w:sz w:val="21"/>
                <w:szCs w:val="21"/>
                <w:highlight w:val="none"/>
              </w:rPr>
            </w:pPr>
          </w:p>
        </w:tc>
        <w:tc>
          <w:tcPr>
            <w:tcW w:w="3745"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二年</w:t>
            </w:r>
          </w:p>
        </w:tc>
      </w:tr>
    </w:tbl>
    <w:p>
      <w:pPr>
        <w:adjustRightInd w:val="0"/>
        <w:snapToGrid w:val="0"/>
        <w:spacing w:line="360" w:lineRule="auto"/>
        <w:ind w:left="420" w:leftChars="200" w:right="600"/>
        <w:rPr>
          <w:rFonts w:hint="eastAsia" w:ascii="仿宋" w:hAnsi="仿宋" w:eastAsia="仿宋" w:cs="仿宋"/>
          <w:color w:val="auto"/>
          <w:sz w:val="21"/>
          <w:szCs w:val="21"/>
        </w:rPr>
      </w:pPr>
    </w:p>
    <w:p>
      <w:pPr>
        <w:adjustRightInd w:val="0"/>
        <w:snapToGrid w:val="0"/>
        <w:spacing w:line="360" w:lineRule="auto"/>
        <w:ind w:right="600" w:firstLine="5670" w:firstLineChars="270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投标人法定代表人或其授权代表（签字或盖章）：</w:t>
      </w:r>
      <w:r>
        <w:rPr>
          <w:rFonts w:hint="eastAsia" w:ascii="仿宋" w:hAnsi="仿宋" w:eastAsia="仿宋" w:cs="仿宋"/>
          <w:color w:val="auto"/>
          <w:sz w:val="21"/>
          <w:szCs w:val="21"/>
          <w:u w:val="single"/>
        </w:rPr>
        <w:t xml:space="preserve">                 </w:t>
      </w:r>
    </w:p>
    <w:p>
      <w:pPr>
        <w:adjustRightInd w:val="0"/>
        <w:snapToGrid w:val="0"/>
        <w:spacing w:line="360" w:lineRule="auto"/>
        <w:ind w:left="420" w:leftChars="200" w:right="600" w:firstLine="8925" w:firstLineChars="4250"/>
        <w:rPr>
          <w:rFonts w:hint="eastAsia" w:ascii="仿宋" w:hAnsi="仿宋" w:eastAsia="仿宋" w:cs="仿宋"/>
          <w:color w:val="auto"/>
          <w:sz w:val="21"/>
          <w:szCs w:val="21"/>
        </w:rPr>
      </w:pPr>
    </w:p>
    <w:p>
      <w:pPr>
        <w:adjustRightInd w:val="0"/>
        <w:snapToGrid w:val="0"/>
        <w:spacing w:line="360" w:lineRule="auto"/>
        <w:ind w:right="600" w:firstLine="5670" w:firstLineChars="270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投标人名称（盖章）：</w:t>
      </w:r>
      <w:r>
        <w:rPr>
          <w:rFonts w:hint="eastAsia" w:ascii="仿宋" w:hAnsi="仿宋" w:eastAsia="仿宋" w:cs="仿宋"/>
          <w:color w:val="auto"/>
          <w:sz w:val="21"/>
          <w:szCs w:val="21"/>
          <w:u w:val="single"/>
        </w:rPr>
        <w:t xml:space="preserve">                   </w:t>
      </w:r>
    </w:p>
    <w:p>
      <w:pPr>
        <w:adjustRightInd w:val="0"/>
        <w:snapToGrid w:val="0"/>
        <w:spacing w:line="360" w:lineRule="auto"/>
        <w:ind w:left="420" w:leftChars="200" w:right="600" w:firstLine="8925" w:firstLineChars="4250"/>
        <w:rPr>
          <w:rFonts w:hint="eastAsia" w:ascii="仿宋" w:hAnsi="仿宋" w:eastAsia="仿宋" w:cs="仿宋"/>
          <w:color w:val="auto"/>
          <w:sz w:val="21"/>
          <w:szCs w:val="21"/>
        </w:rPr>
      </w:pPr>
    </w:p>
    <w:p>
      <w:pPr>
        <w:adjustRightInd w:val="0"/>
        <w:snapToGrid w:val="0"/>
        <w:spacing w:line="360" w:lineRule="auto"/>
        <w:ind w:right="600" w:firstLine="5670" w:firstLineChars="2700"/>
        <w:rPr>
          <w:rFonts w:hint="eastAsia" w:ascii="仿宋" w:hAnsi="仿宋" w:eastAsia="仿宋" w:cs="仿宋"/>
          <w:color w:val="auto"/>
          <w:sz w:val="24"/>
          <w:szCs w:val="24"/>
        </w:rPr>
      </w:pPr>
      <w:r>
        <w:rPr>
          <w:rFonts w:hint="eastAsia" w:ascii="仿宋" w:hAnsi="仿宋" w:eastAsia="仿宋" w:cs="仿宋"/>
          <w:color w:val="auto"/>
          <w:sz w:val="21"/>
          <w:szCs w:val="21"/>
        </w:rPr>
        <w:t>日期：</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w:t>
      </w:r>
    </w:p>
    <w:p>
      <w:pPr>
        <w:pStyle w:val="3"/>
        <w:numPr>
          <w:ilvl w:val="1"/>
          <w:numId w:val="0"/>
        </w:numPr>
        <w:snapToGrid w:val="0"/>
        <w:spacing w:line="360" w:lineRule="auto"/>
        <w:ind w:left="420" w:leftChars="200"/>
        <w:jc w:val="both"/>
        <w:textAlignment w:val="baseline"/>
        <w:rPr>
          <w:rFonts w:hint="eastAsia" w:ascii="仿宋" w:hAnsi="仿宋" w:eastAsia="仿宋" w:cs="仿宋"/>
          <w:color w:val="auto"/>
          <w:sz w:val="24"/>
          <w:szCs w:val="24"/>
          <w:u w:val="single"/>
        </w:rPr>
        <w:sectPr>
          <w:footerReference r:id="rId13" w:type="default"/>
          <w:pgSz w:w="16838" w:h="11906" w:orient="landscape"/>
          <w:pgMar w:top="1797" w:right="1440" w:bottom="1797" w:left="1440" w:header="851" w:footer="992" w:gutter="0"/>
          <w:pgNumType w:fmt="decimal"/>
          <w:cols w:space="720" w:num="1"/>
          <w:docGrid w:linePitch="312" w:charSpace="0"/>
        </w:sectPr>
      </w:pPr>
      <w:bookmarkStart w:id="94" w:name="_Hlt491572848"/>
      <w:bookmarkEnd w:id="94"/>
      <w:bookmarkStart w:id="95" w:name="_Toc153347057"/>
      <w:bookmarkStart w:id="96" w:name="_Toc85330544"/>
      <w:bookmarkStart w:id="97" w:name="_Toc115514549"/>
      <w:bookmarkStart w:id="98" w:name="_Toc153346196"/>
      <w:bookmarkStart w:id="99" w:name="_Toc106381651"/>
    </w:p>
    <w:bookmarkEnd w:id="95"/>
    <w:bookmarkEnd w:id="96"/>
    <w:bookmarkEnd w:id="97"/>
    <w:bookmarkEnd w:id="98"/>
    <w:bookmarkEnd w:id="99"/>
    <w:p>
      <w:pPr>
        <w:pStyle w:val="5"/>
        <w:jc w:val="center"/>
        <w:rPr>
          <w:rFonts w:hint="eastAsia" w:ascii="仿宋" w:hAnsi="仿宋" w:eastAsia="仿宋" w:cs="仿宋"/>
          <w:color w:val="auto"/>
          <w:szCs w:val="24"/>
          <w:u w:val="none"/>
        </w:rPr>
      </w:pPr>
      <w:bookmarkStart w:id="100" w:name="_Toc8670"/>
      <w:bookmarkStart w:id="101" w:name="_Toc103602618"/>
      <w:bookmarkStart w:id="102" w:name="_Toc35423920"/>
      <w:bookmarkStart w:id="103" w:name="_Toc420957397"/>
      <w:bookmarkStart w:id="104" w:name="_Toc120589356"/>
      <w:bookmarkStart w:id="105" w:name="_Toc115081956"/>
      <w:r>
        <w:rPr>
          <w:rFonts w:hint="eastAsia" w:ascii="仿宋" w:hAnsi="仿宋" w:eastAsia="仿宋" w:cs="仿宋"/>
          <w:color w:val="auto"/>
          <w:szCs w:val="24"/>
          <w:u w:val="none"/>
        </w:rPr>
        <w:t>附件3  投标人服务团队人员一览表</w:t>
      </w:r>
      <w:bookmarkEnd w:id="100"/>
      <w:bookmarkEnd w:id="101"/>
      <w:bookmarkEnd w:id="102"/>
      <w:bookmarkEnd w:id="103"/>
      <w:bookmarkEnd w:id="104"/>
      <w:bookmarkEnd w:id="105"/>
    </w:p>
    <w:p>
      <w:pPr>
        <w:pStyle w:val="19"/>
        <w:adjustRightInd w:val="0"/>
        <w:snapToGrid w:val="0"/>
        <w:spacing w:line="360" w:lineRule="auto"/>
        <w:ind w:left="420" w:leftChars="200"/>
        <w:rPr>
          <w:rFonts w:hint="eastAsia" w:ascii="仿宋" w:hAnsi="仿宋" w:eastAsia="仿宋" w:cs="仿宋"/>
          <w:color w:val="auto"/>
          <w:sz w:val="21"/>
          <w:szCs w:val="21"/>
        </w:rPr>
      </w:pPr>
    </w:p>
    <w:p>
      <w:pPr>
        <w:pStyle w:val="19"/>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投标人名称:</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招标编号:</w:t>
      </w:r>
      <w:r>
        <w:rPr>
          <w:rFonts w:hint="eastAsia" w:ascii="仿宋" w:hAnsi="仿宋" w:eastAsia="仿宋" w:cs="仿宋"/>
          <w:color w:val="auto"/>
          <w:sz w:val="21"/>
          <w:szCs w:val="21"/>
          <w:u w:val="single"/>
        </w:rPr>
        <w:t xml:space="preserve">                      </w:t>
      </w:r>
    </w:p>
    <w:tbl>
      <w:tblPr>
        <w:tblStyle w:val="38"/>
        <w:tblW w:w="90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134"/>
        <w:gridCol w:w="953"/>
        <w:gridCol w:w="868"/>
        <w:gridCol w:w="397"/>
        <w:gridCol w:w="501"/>
        <w:gridCol w:w="1419"/>
        <w:gridCol w:w="395"/>
        <w:gridCol w:w="2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姓  名</w:t>
            </w:r>
          </w:p>
        </w:tc>
        <w:tc>
          <w:tcPr>
            <w:tcW w:w="1087"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8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both"/>
              <w:rPr>
                <w:rFonts w:hint="eastAsia" w:ascii="仿宋" w:hAnsi="仿宋" w:eastAsia="仿宋" w:cs="仿宋"/>
                <w:color w:val="auto"/>
                <w:sz w:val="21"/>
                <w:szCs w:val="21"/>
              </w:rPr>
            </w:pPr>
            <w:r>
              <w:rPr>
                <w:rFonts w:hint="eastAsia" w:ascii="仿宋" w:hAnsi="仿宋" w:eastAsia="仿宋" w:cs="仿宋"/>
                <w:color w:val="auto"/>
                <w:sz w:val="21"/>
                <w:szCs w:val="21"/>
              </w:rPr>
              <w:t>性 别</w:t>
            </w: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出生日期</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1"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毕业院校及专业</w:t>
            </w:r>
          </w:p>
        </w:tc>
        <w:tc>
          <w:tcPr>
            <w:tcW w:w="2853"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毕业时间</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从事招标代理时间</w:t>
            </w:r>
          </w:p>
        </w:tc>
        <w:tc>
          <w:tcPr>
            <w:tcW w:w="2853"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项目经理任职时间</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职称/专业资格</w:t>
            </w:r>
          </w:p>
        </w:tc>
        <w:tc>
          <w:tcPr>
            <w:tcW w:w="2853"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学位</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拟在本项目中担任职务</w:t>
            </w:r>
          </w:p>
        </w:tc>
        <w:tc>
          <w:tcPr>
            <w:tcW w:w="7214" w:type="dxa"/>
            <w:gridSpan w:val="8"/>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9087" w:type="dxa"/>
            <w:gridSpan w:val="9"/>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与本项目相同或相似项目的成功经验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2007"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时   间</w:t>
            </w:r>
          </w:p>
        </w:tc>
        <w:tc>
          <w:tcPr>
            <w:tcW w:w="2218"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参加过的项目名称及规模</w:t>
            </w:r>
          </w:p>
        </w:tc>
        <w:tc>
          <w:tcPr>
            <w:tcW w:w="2315"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该项目中任职</w:t>
            </w:r>
          </w:p>
        </w:tc>
        <w:tc>
          <w:tcPr>
            <w:tcW w:w="254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该项目业主方联系人和联系电话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007"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2218"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231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254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007"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2218"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231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254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r>
    </w:tbl>
    <w:p>
      <w:pPr>
        <w:pStyle w:val="19"/>
        <w:tabs>
          <w:tab w:val="left" w:pos="6105"/>
        </w:tabs>
        <w:adjustRightInd w:val="0"/>
        <w:snapToGrid w:val="0"/>
        <w:spacing w:before="120"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投标人(盖章):</w:t>
      </w:r>
      <w:r>
        <w:rPr>
          <w:rFonts w:hint="eastAsia" w:ascii="仿宋" w:hAnsi="仿宋" w:eastAsia="仿宋" w:cs="仿宋"/>
          <w:color w:val="auto"/>
          <w:sz w:val="21"/>
          <w:szCs w:val="21"/>
          <w:u w:val="single"/>
        </w:rPr>
        <w:tab/>
      </w:r>
    </w:p>
    <w:p>
      <w:pPr>
        <w:pStyle w:val="19"/>
        <w:tabs>
          <w:tab w:val="left" w:pos="5370"/>
        </w:tabs>
        <w:adjustRightInd w:val="0"/>
        <w:snapToGrid w:val="0"/>
        <w:spacing w:before="120"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法定代表人或其授权代表（签字或盖章）:</w:t>
      </w:r>
      <w:r>
        <w:rPr>
          <w:rFonts w:hint="eastAsia" w:ascii="仿宋" w:hAnsi="仿宋" w:eastAsia="仿宋" w:cs="仿宋"/>
          <w:color w:val="auto"/>
          <w:sz w:val="21"/>
          <w:szCs w:val="21"/>
          <w:u w:val="single"/>
        </w:rPr>
        <w:t xml:space="preserve">______________________   </w:t>
      </w:r>
    </w:p>
    <w:p>
      <w:pPr>
        <w:pStyle w:val="19"/>
        <w:tabs>
          <w:tab w:val="left" w:pos="5370"/>
        </w:tabs>
        <w:adjustRightInd w:val="0"/>
        <w:snapToGrid w:val="0"/>
        <w:spacing w:before="120"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日期：</w:t>
      </w:r>
      <w:r>
        <w:rPr>
          <w:rFonts w:hint="eastAsia" w:ascii="仿宋" w:hAnsi="仿宋" w:eastAsia="仿宋" w:cs="仿宋"/>
          <w:color w:val="auto"/>
          <w:sz w:val="21"/>
          <w:szCs w:val="21"/>
          <w:u w:val="single"/>
        </w:rPr>
        <w:t xml:space="preserve">                                                    </w:t>
      </w:r>
    </w:p>
    <w:p>
      <w:pPr>
        <w:adjustRightInd w:val="0"/>
        <w:snapToGrid w:val="0"/>
        <w:spacing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u w:val="single"/>
        </w:rPr>
        <w:br w:type="page"/>
      </w:r>
    </w:p>
    <w:p>
      <w:pPr>
        <w:adjustRightInd w:val="0"/>
        <w:snapToGrid w:val="0"/>
        <w:spacing w:before="120" w:beforeLines="50" w:after="120" w:afterLines="50" w:line="360" w:lineRule="auto"/>
        <w:rPr>
          <w:rFonts w:hint="eastAsia" w:ascii="仿宋" w:hAnsi="仿宋" w:eastAsia="仿宋" w:cs="仿宋"/>
          <w:b/>
          <w:color w:val="auto"/>
          <w:sz w:val="21"/>
          <w:szCs w:val="21"/>
        </w:rPr>
      </w:pPr>
      <w:r>
        <w:rPr>
          <w:rFonts w:hint="eastAsia" w:ascii="仿宋" w:hAnsi="仿宋" w:eastAsia="仿宋" w:cs="仿宋"/>
          <w:b/>
          <w:color w:val="auto"/>
          <w:sz w:val="21"/>
          <w:szCs w:val="21"/>
        </w:rPr>
        <w:t>附件</w:t>
      </w:r>
      <w:r>
        <w:rPr>
          <w:rFonts w:hint="eastAsia" w:ascii="仿宋" w:hAnsi="仿宋" w:eastAsia="仿宋" w:cs="仿宋"/>
          <w:b/>
          <w:color w:val="auto"/>
          <w:sz w:val="21"/>
          <w:szCs w:val="21"/>
          <w:lang w:val="en-US" w:eastAsia="zh-CN"/>
        </w:rPr>
        <w:t>4</w:t>
      </w:r>
      <w:r>
        <w:rPr>
          <w:rFonts w:hint="eastAsia" w:ascii="仿宋" w:hAnsi="仿宋" w:eastAsia="仿宋" w:cs="仿宋"/>
          <w:b/>
          <w:color w:val="auto"/>
          <w:sz w:val="21"/>
          <w:szCs w:val="21"/>
        </w:rPr>
        <w:t>：拟投入本项目的主要招标服务人员简历表</w:t>
      </w:r>
    </w:p>
    <w:p>
      <w:pPr>
        <w:pStyle w:val="19"/>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t>投标人名称:</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 xml:space="preserve">          招标编号:</w:t>
      </w:r>
      <w:r>
        <w:rPr>
          <w:rFonts w:hint="eastAsia" w:ascii="仿宋" w:hAnsi="仿宋" w:eastAsia="仿宋" w:cs="仿宋"/>
          <w:color w:val="auto"/>
          <w:sz w:val="21"/>
          <w:szCs w:val="21"/>
          <w:u w:val="single"/>
        </w:rPr>
        <w:t xml:space="preserve">                      </w:t>
      </w:r>
    </w:p>
    <w:tbl>
      <w:tblPr>
        <w:tblStyle w:val="38"/>
        <w:tblW w:w="91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1"/>
        <w:gridCol w:w="1080"/>
        <w:gridCol w:w="1064"/>
        <w:gridCol w:w="405"/>
        <w:gridCol w:w="286"/>
        <w:gridCol w:w="1410"/>
        <w:gridCol w:w="3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姓  名</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both"/>
              <w:rPr>
                <w:rFonts w:hint="eastAsia" w:ascii="仿宋" w:hAnsi="仿宋" w:eastAsia="仿宋" w:cs="仿宋"/>
                <w:color w:val="auto"/>
                <w:sz w:val="21"/>
                <w:szCs w:val="21"/>
              </w:rPr>
            </w:pPr>
            <w:r>
              <w:rPr>
                <w:rFonts w:hint="eastAsia" w:ascii="仿宋" w:hAnsi="仿宋" w:eastAsia="仿宋" w:cs="仿宋"/>
                <w:color w:val="auto"/>
                <w:sz w:val="21"/>
                <w:szCs w:val="21"/>
              </w:rPr>
              <w:t>性 别</w:t>
            </w:r>
          </w:p>
        </w:tc>
        <w:tc>
          <w:tcPr>
            <w:tcW w:w="69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出生日期</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0"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毕业院校及专业</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毕业时间</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从事本专业时间</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项目经理任职时间</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职称/专业资格</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学位</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拟在本项目中担任职务</w:t>
            </w:r>
          </w:p>
        </w:tc>
        <w:tc>
          <w:tcPr>
            <w:tcW w:w="7299"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9160" w:type="dxa"/>
            <w:gridSpan w:val="7"/>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color w:val="auto"/>
                <w:sz w:val="21"/>
                <w:szCs w:val="21"/>
              </w:rPr>
            </w:pPr>
            <w:r>
              <w:rPr>
                <w:rFonts w:hint="eastAsia" w:ascii="仿宋" w:hAnsi="仿宋" w:eastAsia="仿宋" w:cs="仿宋"/>
                <w:color w:val="auto"/>
                <w:sz w:val="21"/>
                <w:szCs w:val="21"/>
              </w:rPr>
              <w:t>与本项目相同或相似项目的成功经验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时   间</w:t>
            </w:r>
          </w:p>
        </w:tc>
        <w:tc>
          <w:tcPr>
            <w:tcW w:w="2549"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参加过的项目名称及规模</w:t>
            </w:r>
          </w:p>
        </w:tc>
        <w:tc>
          <w:tcPr>
            <w:tcW w:w="169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该项目中任职</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该项目业主方联系人和</w:t>
            </w:r>
          </w:p>
          <w:p>
            <w:pPr>
              <w:adjustRightInd w:val="0"/>
              <w:snapToGrid w:val="0"/>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6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2549"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169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305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6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color w:val="auto"/>
                <w:sz w:val="21"/>
                <w:szCs w:val="21"/>
              </w:rPr>
            </w:pPr>
          </w:p>
        </w:tc>
        <w:tc>
          <w:tcPr>
            <w:tcW w:w="2549"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169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c>
          <w:tcPr>
            <w:tcW w:w="305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color w:val="auto"/>
                <w:sz w:val="21"/>
                <w:szCs w:val="21"/>
              </w:rPr>
            </w:pPr>
          </w:p>
        </w:tc>
      </w:tr>
    </w:tbl>
    <w:p>
      <w:pPr>
        <w:pStyle w:val="19"/>
        <w:adjustRightInd w:val="0"/>
        <w:snapToGrid w:val="0"/>
        <w:spacing w:line="360" w:lineRule="auto"/>
        <w:ind w:left="420" w:leftChars="200"/>
        <w:rPr>
          <w:rFonts w:hint="eastAsia" w:ascii="仿宋" w:hAnsi="仿宋" w:eastAsia="仿宋" w:cs="仿宋"/>
          <w:color w:val="auto"/>
          <w:sz w:val="21"/>
          <w:szCs w:val="21"/>
        </w:rPr>
      </w:pPr>
    </w:p>
    <w:p>
      <w:pPr>
        <w:pStyle w:val="19"/>
        <w:tabs>
          <w:tab w:val="left" w:pos="6105"/>
        </w:tabs>
        <w:adjustRightInd w:val="0"/>
        <w:snapToGrid w:val="0"/>
        <w:spacing w:before="120"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投标人(盖章):</w:t>
      </w:r>
      <w:r>
        <w:rPr>
          <w:rFonts w:hint="eastAsia" w:ascii="仿宋" w:hAnsi="仿宋" w:eastAsia="仿宋" w:cs="仿宋"/>
          <w:color w:val="auto"/>
          <w:sz w:val="21"/>
          <w:szCs w:val="21"/>
          <w:u w:val="single"/>
        </w:rPr>
        <w:tab/>
      </w:r>
    </w:p>
    <w:p>
      <w:pPr>
        <w:pStyle w:val="19"/>
        <w:tabs>
          <w:tab w:val="left" w:pos="5580"/>
        </w:tabs>
        <w:adjustRightInd w:val="0"/>
        <w:snapToGrid w:val="0"/>
        <w:spacing w:before="120"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法定代表人或其授权代表（签字或盖章）:</w:t>
      </w:r>
      <w:r>
        <w:rPr>
          <w:rFonts w:hint="eastAsia" w:ascii="仿宋" w:hAnsi="仿宋" w:eastAsia="仿宋" w:cs="仿宋"/>
          <w:color w:val="auto"/>
          <w:sz w:val="21"/>
          <w:szCs w:val="21"/>
          <w:u w:val="single"/>
        </w:rPr>
        <w:t xml:space="preserve">                         </w:t>
      </w:r>
    </w:p>
    <w:p>
      <w:pPr>
        <w:pStyle w:val="19"/>
        <w:adjustRightInd w:val="0"/>
        <w:snapToGrid w:val="0"/>
        <w:spacing w:line="360" w:lineRule="auto"/>
        <w:ind w:left="420" w:leftChars="200"/>
        <w:rPr>
          <w:rFonts w:hint="eastAsia" w:ascii="仿宋" w:hAnsi="仿宋" w:eastAsia="仿宋" w:cs="仿宋"/>
          <w:color w:val="auto"/>
          <w:sz w:val="21"/>
          <w:szCs w:val="21"/>
          <w:u w:val="single"/>
        </w:rPr>
      </w:pPr>
      <w:r>
        <w:rPr>
          <w:rFonts w:hint="eastAsia" w:ascii="仿宋" w:hAnsi="仿宋" w:eastAsia="仿宋" w:cs="仿宋"/>
          <w:color w:val="auto"/>
          <w:sz w:val="21"/>
          <w:szCs w:val="21"/>
        </w:rPr>
        <w:t>日期：</w:t>
      </w:r>
      <w:r>
        <w:rPr>
          <w:rFonts w:hint="eastAsia" w:ascii="仿宋" w:hAnsi="仿宋" w:eastAsia="仿宋" w:cs="仿宋"/>
          <w:color w:val="auto"/>
          <w:sz w:val="21"/>
          <w:szCs w:val="21"/>
          <w:u w:val="single"/>
        </w:rPr>
        <w:t xml:space="preserve">                                                    </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rPr>
        <w:br w:type="page"/>
      </w:r>
      <w:bookmarkStart w:id="106" w:name="_Toc106381656"/>
      <w:bookmarkStart w:id="107" w:name="_Toc60460259"/>
      <w:bookmarkStart w:id="108" w:name="_Toc133319532"/>
      <w:bookmarkStart w:id="109" w:name="_Toc535633953"/>
      <w:bookmarkStart w:id="110" w:name="_Toc56592682"/>
      <w:bookmarkStart w:id="111" w:name="_Toc153347062"/>
      <w:bookmarkStart w:id="112" w:name="_Toc46738294"/>
      <w:bookmarkStart w:id="113" w:name="_Toc115514554"/>
      <w:bookmarkStart w:id="114" w:name="_Toc46738421"/>
      <w:bookmarkStart w:id="115" w:name="_Toc56784831"/>
      <w:bookmarkStart w:id="116" w:name="_Toc12118377"/>
      <w:bookmarkStart w:id="117" w:name="_Toc46738160"/>
      <w:bookmarkStart w:id="118" w:name="_Toc153346201"/>
      <w:bookmarkStart w:id="119" w:name="_Toc536777263"/>
      <w:bookmarkStart w:id="120" w:name="_Toc56592593"/>
      <w:bookmarkStart w:id="121" w:name="_Toc518605396"/>
    </w:p>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Pr>
        <w:pStyle w:val="5"/>
        <w:jc w:val="center"/>
        <w:rPr>
          <w:rFonts w:hint="eastAsia" w:ascii="仿宋" w:hAnsi="仿宋" w:eastAsia="仿宋" w:cs="仿宋"/>
          <w:color w:val="auto"/>
          <w:sz w:val="21"/>
          <w:szCs w:val="21"/>
          <w:u w:val="none"/>
        </w:rPr>
      </w:pPr>
      <w:bookmarkStart w:id="122" w:name="_Toc20162"/>
      <w:bookmarkStart w:id="123" w:name="_Toc35423923"/>
      <w:bookmarkStart w:id="124" w:name="_Toc103602621"/>
      <w:r>
        <w:rPr>
          <w:rFonts w:hint="eastAsia" w:ascii="仿宋" w:hAnsi="仿宋" w:eastAsia="仿宋" w:cs="仿宋"/>
          <w:color w:val="auto"/>
          <w:sz w:val="21"/>
          <w:szCs w:val="21"/>
          <w:u w:val="none"/>
        </w:rPr>
        <w:t>附件</w:t>
      </w:r>
      <w:r>
        <w:rPr>
          <w:rFonts w:hint="eastAsia" w:ascii="仿宋" w:hAnsi="仿宋" w:eastAsia="仿宋" w:cs="仿宋"/>
          <w:color w:val="auto"/>
          <w:sz w:val="21"/>
          <w:szCs w:val="21"/>
          <w:u w:val="none"/>
          <w:lang w:val="en-US" w:eastAsia="zh-CN"/>
        </w:rPr>
        <w:t>5</w:t>
      </w:r>
      <w:r>
        <w:rPr>
          <w:rFonts w:hint="eastAsia" w:ascii="仿宋" w:hAnsi="仿宋" w:eastAsia="仿宋" w:cs="仿宋"/>
          <w:color w:val="auto"/>
          <w:sz w:val="21"/>
          <w:szCs w:val="21"/>
          <w:u w:val="none"/>
        </w:rPr>
        <w:t xml:space="preserve"> 项目业绩一览表</w:t>
      </w:r>
      <w:bookmarkEnd w:id="122"/>
      <w:bookmarkEnd w:id="123"/>
      <w:bookmarkEnd w:id="124"/>
    </w:p>
    <w:p>
      <w:pPr>
        <w:pStyle w:val="4"/>
        <w:rPr>
          <w:rFonts w:hint="eastAsia" w:ascii="仿宋" w:hAnsi="仿宋" w:eastAsia="仿宋" w:cs="仿宋"/>
          <w:color w:val="auto"/>
          <w:sz w:val="21"/>
          <w:szCs w:val="21"/>
        </w:r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49"/>
        <w:gridCol w:w="1739"/>
        <w:gridCol w:w="1134"/>
        <w:gridCol w:w="1375"/>
        <w:gridCol w:w="1623"/>
        <w:gridCol w:w="148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tcBorders>
              <w:top w:val="single" w:color="auto" w:sz="4" w:space="0"/>
            </w:tcBorders>
            <w:noWrap w:val="0"/>
            <w:vAlign w:val="center"/>
          </w:tcPr>
          <w:p>
            <w:pPr>
              <w:pStyle w:val="19"/>
              <w:adjustRightInd w:val="0"/>
              <w:snapToGrid w:val="0"/>
              <w:spacing w:line="360" w:lineRule="auto"/>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年份</w:t>
            </w:r>
          </w:p>
        </w:tc>
        <w:tc>
          <w:tcPr>
            <w:tcW w:w="1739" w:type="dxa"/>
            <w:noWrap w:val="0"/>
            <w:vAlign w:val="center"/>
          </w:tcPr>
          <w:p>
            <w:pPr>
              <w:pStyle w:val="19"/>
              <w:adjustRightInd w:val="0"/>
              <w:snapToGrid w:val="0"/>
              <w:spacing w:line="360" w:lineRule="auto"/>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采购人名称</w:t>
            </w:r>
          </w:p>
        </w:tc>
        <w:tc>
          <w:tcPr>
            <w:tcW w:w="1134" w:type="dxa"/>
            <w:noWrap w:val="0"/>
            <w:vAlign w:val="center"/>
          </w:tcPr>
          <w:p>
            <w:pPr>
              <w:pStyle w:val="19"/>
              <w:adjustRightInd w:val="0"/>
              <w:snapToGrid w:val="0"/>
              <w:spacing w:line="360" w:lineRule="auto"/>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项目名称</w:t>
            </w:r>
          </w:p>
        </w:tc>
        <w:tc>
          <w:tcPr>
            <w:tcW w:w="1375" w:type="dxa"/>
            <w:noWrap w:val="0"/>
            <w:vAlign w:val="center"/>
          </w:tcPr>
          <w:p>
            <w:pPr>
              <w:pStyle w:val="19"/>
              <w:adjustRightInd w:val="0"/>
              <w:snapToGrid w:val="0"/>
              <w:spacing w:line="360" w:lineRule="auto"/>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项目编号</w:t>
            </w:r>
          </w:p>
        </w:tc>
        <w:tc>
          <w:tcPr>
            <w:tcW w:w="1623" w:type="dxa"/>
            <w:noWrap w:val="0"/>
            <w:vAlign w:val="center"/>
          </w:tcPr>
          <w:p>
            <w:pPr>
              <w:pStyle w:val="19"/>
              <w:adjustRightInd w:val="0"/>
              <w:snapToGrid w:val="0"/>
              <w:spacing w:line="360" w:lineRule="auto"/>
              <w:ind w:left="420" w:leftChars="200"/>
              <w:jc w:val="both"/>
              <w:rPr>
                <w:rFonts w:hint="eastAsia" w:ascii="仿宋" w:hAnsi="仿宋" w:eastAsia="仿宋" w:cs="仿宋"/>
                <w:b/>
                <w:color w:val="auto"/>
                <w:sz w:val="21"/>
                <w:szCs w:val="21"/>
              </w:rPr>
            </w:pPr>
            <w:r>
              <w:rPr>
                <w:rFonts w:hint="eastAsia" w:ascii="仿宋" w:hAnsi="仿宋" w:eastAsia="仿宋" w:cs="仿宋"/>
                <w:b/>
                <w:color w:val="auto"/>
                <w:sz w:val="21"/>
                <w:szCs w:val="21"/>
              </w:rPr>
              <w:t>合同金额</w:t>
            </w:r>
          </w:p>
        </w:tc>
        <w:tc>
          <w:tcPr>
            <w:tcW w:w="1485" w:type="dxa"/>
            <w:tcBorders>
              <w:right w:val="single" w:color="auto" w:sz="4" w:space="0"/>
            </w:tcBorders>
            <w:noWrap w:val="0"/>
            <w:vAlign w:val="center"/>
          </w:tcPr>
          <w:p>
            <w:pPr>
              <w:pStyle w:val="19"/>
              <w:adjustRightInd w:val="0"/>
              <w:snapToGrid w:val="0"/>
              <w:spacing w:line="360" w:lineRule="auto"/>
              <w:ind w:left="420" w:leftChars="200"/>
              <w:jc w:val="both"/>
              <w:rPr>
                <w:rFonts w:hint="eastAsia" w:ascii="仿宋" w:hAnsi="仿宋" w:eastAsia="仿宋" w:cs="仿宋"/>
                <w:b/>
                <w:color w:val="auto"/>
                <w:sz w:val="21"/>
                <w:szCs w:val="21"/>
              </w:rPr>
            </w:pPr>
            <w:r>
              <w:rPr>
                <w:rFonts w:hint="eastAsia" w:ascii="仿宋" w:hAnsi="仿宋" w:eastAsia="仿宋" w:cs="仿宋"/>
                <w:b/>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color w:val="auto"/>
                <w:sz w:val="21"/>
                <w:szCs w:val="21"/>
              </w:rPr>
            </w:pPr>
          </w:p>
        </w:tc>
        <w:tc>
          <w:tcPr>
            <w:tcW w:w="1739" w:type="dxa"/>
            <w:noWrap w:val="0"/>
            <w:vAlign w:val="center"/>
          </w:tcPr>
          <w:p>
            <w:pPr>
              <w:spacing w:line="400" w:lineRule="exact"/>
              <w:jc w:val="center"/>
              <w:rPr>
                <w:rFonts w:hint="eastAsia" w:ascii="仿宋" w:hAnsi="仿宋" w:eastAsia="仿宋" w:cs="仿宋"/>
                <w:color w:val="auto"/>
                <w:sz w:val="21"/>
                <w:szCs w:val="21"/>
              </w:rPr>
            </w:pPr>
          </w:p>
        </w:tc>
        <w:tc>
          <w:tcPr>
            <w:tcW w:w="1134" w:type="dxa"/>
            <w:noWrap w:val="0"/>
            <w:vAlign w:val="center"/>
          </w:tcPr>
          <w:p>
            <w:pPr>
              <w:spacing w:line="400" w:lineRule="exact"/>
              <w:jc w:val="center"/>
              <w:rPr>
                <w:rFonts w:hint="eastAsia" w:ascii="仿宋" w:hAnsi="仿宋" w:eastAsia="仿宋" w:cs="仿宋"/>
                <w:color w:val="auto"/>
                <w:sz w:val="21"/>
                <w:szCs w:val="21"/>
              </w:rPr>
            </w:pPr>
          </w:p>
        </w:tc>
        <w:tc>
          <w:tcPr>
            <w:tcW w:w="1375" w:type="dxa"/>
            <w:noWrap w:val="0"/>
            <w:vAlign w:val="center"/>
          </w:tcPr>
          <w:p>
            <w:pPr>
              <w:spacing w:line="400" w:lineRule="exact"/>
              <w:jc w:val="center"/>
              <w:rPr>
                <w:rFonts w:hint="eastAsia" w:ascii="仿宋" w:hAnsi="仿宋" w:eastAsia="仿宋" w:cs="仿宋"/>
                <w:color w:val="auto"/>
                <w:sz w:val="21"/>
                <w:szCs w:val="21"/>
              </w:rPr>
            </w:pPr>
          </w:p>
        </w:tc>
        <w:tc>
          <w:tcPr>
            <w:tcW w:w="1623" w:type="dxa"/>
            <w:noWrap w:val="0"/>
            <w:vAlign w:val="center"/>
          </w:tcPr>
          <w:p>
            <w:pPr>
              <w:spacing w:line="400" w:lineRule="exact"/>
              <w:jc w:val="center"/>
              <w:rPr>
                <w:rFonts w:hint="eastAsia" w:ascii="仿宋" w:hAnsi="仿宋" w:eastAsia="仿宋" w:cs="仿宋"/>
                <w:color w:val="auto"/>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color w:val="auto"/>
                <w:sz w:val="21"/>
                <w:szCs w:val="21"/>
              </w:rPr>
            </w:pPr>
          </w:p>
        </w:tc>
        <w:tc>
          <w:tcPr>
            <w:tcW w:w="1739" w:type="dxa"/>
            <w:noWrap w:val="0"/>
            <w:vAlign w:val="center"/>
          </w:tcPr>
          <w:p>
            <w:pPr>
              <w:spacing w:line="400" w:lineRule="exact"/>
              <w:jc w:val="center"/>
              <w:rPr>
                <w:rFonts w:hint="eastAsia" w:ascii="仿宋" w:hAnsi="仿宋" w:eastAsia="仿宋" w:cs="仿宋"/>
                <w:color w:val="auto"/>
                <w:sz w:val="21"/>
                <w:szCs w:val="21"/>
              </w:rPr>
            </w:pPr>
          </w:p>
        </w:tc>
        <w:tc>
          <w:tcPr>
            <w:tcW w:w="1134" w:type="dxa"/>
            <w:noWrap w:val="0"/>
            <w:vAlign w:val="center"/>
          </w:tcPr>
          <w:p>
            <w:pPr>
              <w:spacing w:line="400" w:lineRule="exact"/>
              <w:jc w:val="center"/>
              <w:rPr>
                <w:rFonts w:hint="eastAsia" w:ascii="仿宋" w:hAnsi="仿宋" w:eastAsia="仿宋" w:cs="仿宋"/>
                <w:color w:val="auto"/>
                <w:sz w:val="21"/>
                <w:szCs w:val="21"/>
              </w:rPr>
            </w:pPr>
          </w:p>
        </w:tc>
        <w:tc>
          <w:tcPr>
            <w:tcW w:w="1375" w:type="dxa"/>
            <w:noWrap w:val="0"/>
            <w:vAlign w:val="center"/>
          </w:tcPr>
          <w:p>
            <w:pPr>
              <w:spacing w:line="400" w:lineRule="exact"/>
              <w:jc w:val="center"/>
              <w:rPr>
                <w:rFonts w:hint="eastAsia" w:ascii="仿宋" w:hAnsi="仿宋" w:eastAsia="仿宋" w:cs="仿宋"/>
                <w:color w:val="auto"/>
                <w:sz w:val="21"/>
                <w:szCs w:val="21"/>
              </w:rPr>
            </w:pPr>
          </w:p>
        </w:tc>
        <w:tc>
          <w:tcPr>
            <w:tcW w:w="1623" w:type="dxa"/>
            <w:noWrap w:val="0"/>
            <w:vAlign w:val="center"/>
          </w:tcPr>
          <w:p>
            <w:pPr>
              <w:spacing w:line="400" w:lineRule="exact"/>
              <w:jc w:val="center"/>
              <w:rPr>
                <w:rFonts w:hint="eastAsia" w:ascii="仿宋" w:hAnsi="仿宋" w:eastAsia="仿宋" w:cs="仿宋"/>
                <w:color w:val="auto"/>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color w:val="auto"/>
                <w:sz w:val="21"/>
                <w:szCs w:val="21"/>
              </w:rPr>
            </w:pPr>
          </w:p>
        </w:tc>
        <w:tc>
          <w:tcPr>
            <w:tcW w:w="1739" w:type="dxa"/>
            <w:noWrap w:val="0"/>
            <w:vAlign w:val="center"/>
          </w:tcPr>
          <w:p>
            <w:pPr>
              <w:spacing w:line="400" w:lineRule="exact"/>
              <w:jc w:val="center"/>
              <w:rPr>
                <w:rFonts w:hint="eastAsia" w:ascii="仿宋" w:hAnsi="仿宋" w:eastAsia="仿宋" w:cs="仿宋"/>
                <w:color w:val="auto"/>
                <w:sz w:val="21"/>
                <w:szCs w:val="21"/>
              </w:rPr>
            </w:pPr>
          </w:p>
        </w:tc>
        <w:tc>
          <w:tcPr>
            <w:tcW w:w="1134" w:type="dxa"/>
            <w:noWrap w:val="0"/>
            <w:vAlign w:val="center"/>
          </w:tcPr>
          <w:p>
            <w:pPr>
              <w:spacing w:line="400" w:lineRule="exact"/>
              <w:jc w:val="center"/>
              <w:rPr>
                <w:rFonts w:hint="eastAsia" w:ascii="仿宋" w:hAnsi="仿宋" w:eastAsia="仿宋" w:cs="仿宋"/>
                <w:color w:val="auto"/>
                <w:sz w:val="21"/>
                <w:szCs w:val="21"/>
              </w:rPr>
            </w:pPr>
          </w:p>
        </w:tc>
        <w:tc>
          <w:tcPr>
            <w:tcW w:w="1375" w:type="dxa"/>
            <w:noWrap w:val="0"/>
            <w:vAlign w:val="center"/>
          </w:tcPr>
          <w:p>
            <w:pPr>
              <w:spacing w:line="400" w:lineRule="exact"/>
              <w:jc w:val="center"/>
              <w:rPr>
                <w:rFonts w:hint="eastAsia" w:ascii="仿宋" w:hAnsi="仿宋" w:eastAsia="仿宋" w:cs="仿宋"/>
                <w:color w:val="auto"/>
                <w:sz w:val="21"/>
                <w:szCs w:val="21"/>
              </w:rPr>
            </w:pPr>
          </w:p>
        </w:tc>
        <w:tc>
          <w:tcPr>
            <w:tcW w:w="1623" w:type="dxa"/>
            <w:noWrap w:val="0"/>
            <w:vAlign w:val="center"/>
          </w:tcPr>
          <w:p>
            <w:pPr>
              <w:spacing w:line="400" w:lineRule="exact"/>
              <w:jc w:val="center"/>
              <w:rPr>
                <w:rFonts w:hint="eastAsia" w:ascii="仿宋" w:hAnsi="仿宋" w:eastAsia="仿宋" w:cs="仿宋"/>
                <w:color w:val="auto"/>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color w:val="auto"/>
                <w:sz w:val="21"/>
                <w:szCs w:val="21"/>
              </w:rPr>
            </w:pPr>
          </w:p>
        </w:tc>
        <w:tc>
          <w:tcPr>
            <w:tcW w:w="1739" w:type="dxa"/>
            <w:tcBorders>
              <w:righ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c>
          <w:tcPr>
            <w:tcW w:w="1134" w:type="dxa"/>
            <w:tcBorders>
              <w:lef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c>
          <w:tcPr>
            <w:tcW w:w="1375" w:type="dxa"/>
            <w:noWrap w:val="0"/>
            <w:vAlign w:val="center"/>
          </w:tcPr>
          <w:p>
            <w:pPr>
              <w:spacing w:line="400" w:lineRule="exact"/>
              <w:jc w:val="center"/>
              <w:rPr>
                <w:rFonts w:hint="eastAsia" w:ascii="仿宋" w:hAnsi="仿宋" w:eastAsia="仿宋" w:cs="仿宋"/>
                <w:color w:val="auto"/>
                <w:sz w:val="21"/>
                <w:szCs w:val="21"/>
              </w:rPr>
            </w:pPr>
          </w:p>
        </w:tc>
        <w:tc>
          <w:tcPr>
            <w:tcW w:w="1623" w:type="dxa"/>
            <w:noWrap w:val="0"/>
            <w:vAlign w:val="center"/>
          </w:tcPr>
          <w:p>
            <w:pPr>
              <w:spacing w:line="400" w:lineRule="exact"/>
              <w:jc w:val="center"/>
              <w:rPr>
                <w:rFonts w:hint="eastAsia" w:ascii="仿宋" w:hAnsi="仿宋" w:eastAsia="仿宋" w:cs="仿宋"/>
                <w:color w:val="auto"/>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tcBorders>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739"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134"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375"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623"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485"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rPr>
                <w:rFonts w:hint="eastAsia" w:ascii="仿宋" w:hAnsi="仿宋" w:eastAsia="仿宋" w:cs="仿宋"/>
                <w:color w:val="auto"/>
                <w:sz w:val="21"/>
                <w:szCs w:val="21"/>
              </w:rPr>
            </w:pPr>
          </w:p>
        </w:tc>
        <w:tc>
          <w:tcPr>
            <w:tcW w:w="1739" w:type="dxa"/>
            <w:noWrap w:val="0"/>
            <w:vAlign w:val="center"/>
          </w:tcPr>
          <w:p>
            <w:pPr>
              <w:spacing w:line="400" w:lineRule="exact"/>
              <w:rPr>
                <w:rFonts w:hint="eastAsia" w:ascii="仿宋" w:hAnsi="仿宋" w:eastAsia="仿宋" w:cs="仿宋"/>
                <w:color w:val="auto"/>
                <w:sz w:val="21"/>
                <w:szCs w:val="21"/>
              </w:rPr>
            </w:pPr>
          </w:p>
        </w:tc>
        <w:tc>
          <w:tcPr>
            <w:tcW w:w="1134" w:type="dxa"/>
            <w:noWrap w:val="0"/>
            <w:vAlign w:val="center"/>
          </w:tcPr>
          <w:p>
            <w:pPr>
              <w:spacing w:line="400" w:lineRule="exact"/>
              <w:rPr>
                <w:rFonts w:hint="eastAsia" w:ascii="仿宋" w:hAnsi="仿宋" w:eastAsia="仿宋" w:cs="仿宋"/>
                <w:color w:val="auto"/>
                <w:sz w:val="21"/>
                <w:szCs w:val="21"/>
              </w:rPr>
            </w:pPr>
          </w:p>
        </w:tc>
        <w:tc>
          <w:tcPr>
            <w:tcW w:w="1375" w:type="dxa"/>
            <w:noWrap w:val="0"/>
            <w:vAlign w:val="center"/>
          </w:tcPr>
          <w:p>
            <w:pPr>
              <w:spacing w:line="400" w:lineRule="exact"/>
              <w:rPr>
                <w:rFonts w:hint="eastAsia" w:ascii="仿宋" w:hAnsi="仿宋" w:eastAsia="仿宋" w:cs="仿宋"/>
                <w:color w:val="auto"/>
                <w:sz w:val="21"/>
                <w:szCs w:val="21"/>
              </w:rPr>
            </w:pPr>
          </w:p>
        </w:tc>
        <w:tc>
          <w:tcPr>
            <w:tcW w:w="1623" w:type="dxa"/>
            <w:tcBorders>
              <w:right w:val="single" w:color="auto" w:sz="4" w:space="0"/>
            </w:tcBorders>
            <w:noWrap w:val="0"/>
            <w:vAlign w:val="center"/>
          </w:tcPr>
          <w:p>
            <w:pPr>
              <w:spacing w:line="400" w:lineRule="exact"/>
              <w:rPr>
                <w:rFonts w:hint="eastAsia" w:ascii="仿宋" w:hAnsi="仿宋" w:eastAsia="仿宋" w:cs="仿宋"/>
                <w:color w:val="auto"/>
                <w:sz w:val="21"/>
                <w:szCs w:val="21"/>
              </w:rPr>
            </w:pPr>
          </w:p>
        </w:tc>
        <w:tc>
          <w:tcPr>
            <w:tcW w:w="1485" w:type="dxa"/>
            <w:tcBorders>
              <w:left w:val="single" w:color="auto" w:sz="4" w:space="0"/>
              <w:right w:val="single" w:color="auto" w:sz="4" w:space="0"/>
            </w:tcBorders>
            <w:noWrap w:val="0"/>
            <w:vAlign w:val="center"/>
          </w:tcPr>
          <w:p>
            <w:pPr>
              <w:spacing w:line="400" w:lineRule="exact"/>
              <w:rPr>
                <w:rFonts w:hint="eastAsia" w:ascii="仿宋" w:hAnsi="仿宋" w:eastAsia="仿宋" w:cs="仿宋"/>
                <w:color w:val="auto"/>
                <w:sz w:val="21"/>
                <w:szCs w:val="21"/>
              </w:rPr>
            </w:pPr>
          </w:p>
        </w:tc>
      </w:tr>
    </w:tbl>
    <w:p>
      <w:pPr>
        <w:spacing w:line="400" w:lineRule="exact"/>
        <w:ind w:left="360"/>
        <w:jc w:val="center"/>
        <w:rPr>
          <w:rFonts w:hint="eastAsia" w:ascii="仿宋" w:hAnsi="仿宋" w:eastAsia="仿宋" w:cs="仿宋"/>
          <w:color w:val="auto"/>
          <w:sz w:val="21"/>
          <w:szCs w:val="21"/>
        </w:rPr>
      </w:pPr>
    </w:p>
    <w:p>
      <w:pPr>
        <w:adjustRightInd w:val="0"/>
        <w:spacing w:line="400" w:lineRule="exact"/>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 xml:space="preserve">投标人（盖章）：         </w:t>
      </w:r>
    </w:p>
    <w:p>
      <w:pPr>
        <w:adjustRightInd w:val="0"/>
        <w:spacing w:line="400" w:lineRule="exact"/>
        <w:jc w:val="left"/>
        <w:rPr>
          <w:rFonts w:hint="eastAsia" w:ascii="仿宋" w:hAnsi="仿宋" w:eastAsia="仿宋" w:cs="仿宋"/>
          <w:bCs/>
          <w:color w:val="auto"/>
          <w:sz w:val="21"/>
          <w:szCs w:val="21"/>
        </w:rPr>
      </w:pPr>
      <w:r>
        <w:rPr>
          <w:rFonts w:hint="eastAsia" w:ascii="仿宋" w:hAnsi="仿宋" w:eastAsia="仿宋" w:cs="仿宋"/>
          <w:color w:val="auto"/>
          <w:sz w:val="21"/>
          <w:szCs w:val="21"/>
        </w:rPr>
        <w:t xml:space="preserve">    法定代表人或委托代理人（签字）：</w:t>
      </w:r>
    </w:p>
    <w:p>
      <w:pPr>
        <w:spacing w:line="400" w:lineRule="exact"/>
        <w:ind w:firstLine="420" w:firstLineChars="200"/>
        <w:rPr>
          <w:rFonts w:hint="eastAsia" w:ascii="仿宋" w:hAnsi="仿宋" w:eastAsia="仿宋" w:cs="仿宋"/>
          <w:color w:val="auto"/>
          <w:sz w:val="21"/>
          <w:szCs w:val="21"/>
        </w:rPr>
      </w:pPr>
      <w:r>
        <w:rPr>
          <w:rFonts w:hint="eastAsia" w:ascii="仿宋" w:hAnsi="仿宋" w:eastAsia="仿宋" w:cs="仿宋"/>
          <w:bCs/>
          <w:color w:val="auto"/>
          <w:sz w:val="21"/>
          <w:szCs w:val="21"/>
        </w:rPr>
        <w:t>日  期:</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年</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月</w:t>
      </w:r>
      <w:r>
        <w:rPr>
          <w:rFonts w:hint="eastAsia" w:ascii="仿宋" w:hAnsi="仿宋" w:eastAsia="仿宋" w:cs="仿宋"/>
          <w:color w:val="auto"/>
          <w:sz w:val="21"/>
          <w:szCs w:val="21"/>
          <w:u w:val="single"/>
        </w:rPr>
        <w:t xml:space="preserve">    </w:t>
      </w:r>
      <w:r>
        <w:rPr>
          <w:rFonts w:hint="eastAsia" w:ascii="仿宋" w:hAnsi="仿宋" w:eastAsia="仿宋" w:cs="仿宋"/>
          <w:color w:val="auto"/>
          <w:sz w:val="21"/>
          <w:szCs w:val="21"/>
        </w:rPr>
        <w:t>日</w:t>
      </w:r>
    </w:p>
    <w:p>
      <w:pPr>
        <w:adjustRightInd w:val="0"/>
        <w:snapToGrid w:val="0"/>
        <w:spacing w:line="360" w:lineRule="auto"/>
        <w:ind w:left="420" w:leftChars="200"/>
        <w:rPr>
          <w:rFonts w:hint="eastAsia" w:ascii="仿宋" w:hAnsi="仿宋" w:eastAsia="仿宋" w:cs="仿宋"/>
          <w:color w:val="auto"/>
          <w:sz w:val="24"/>
          <w:szCs w:val="24"/>
        </w:rPr>
      </w:pPr>
      <w:r>
        <w:rPr>
          <w:rFonts w:hint="eastAsia" w:ascii="仿宋" w:hAnsi="仿宋" w:eastAsia="仿宋" w:cs="仿宋"/>
          <w:color w:val="auto"/>
          <w:sz w:val="24"/>
          <w:szCs w:val="24"/>
        </w:rPr>
        <w:br w:type="page"/>
      </w:r>
      <w:bookmarkStart w:id="125" w:name="_Toc487900386"/>
      <w:r>
        <w:rPr>
          <w:rFonts w:hint="eastAsia" w:ascii="仿宋" w:hAnsi="仿宋" w:eastAsia="仿宋" w:cs="仿宋"/>
          <w:color w:val="auto"/>
          <w:sz w:val="24"/>
          <w:szCs w:val="24"/>
        </w:rPr>
        <w:t xml:space="preserve"> </w:t>
      </w:r>
    </w:p>
    <w:bookmarkEnd w:id="125"/>
    <w:p>
      <w:pPr>
        <w:pStyle w:val="5"/>
        <w:jc w:val="center"/>
        <w:rPr>
          <w:rFonts w:hint="eastAsia" w:ascii="仿宋" w:hAnsi="仿宋" w:eastAsia="仿宋" w:cs="仿宋"/>
          <w:color w:val="auto"/>
          <w:szCs w:val="24"/>
          <w:u w:val="none"/>
          <w:lang w:eastAsia="zh-CN"/>
        </w:rPr>
      </w:pPr>
      <w:bookmarkStart w:id="126" w:name="_Toc520356224"/>
      <w:bookmarkStart w:id="127" w:name="_Toc480942355"/>
      <w:bookmarkStart w:id="128" w:name="_Ref467988543"/>
      <w:bookmarkStart w:id="129" w:name="_Toc10113"/>
      <w:bookmarkStart w:id="130" w:name="_Toc103602622"/>
      <w:bookmarkStart w:id="131" w:name="_Toc420957400"/>
      <w:bookmarkStart w:id="132" w:name="_Toc35423924"/>
      <w:r>
        <w:rPr>
          <w:rFonts w:hint="eastAsia" w:ascii="仿宋" w:hAnsi="仿宋" w:eastAsia="仿宋" w:cs="仿宋"/>
          <w:color w:val="auto"/>
          <w:szCs w:val="24"/>
          <w:u w:val="none"/>
        </w:rPr>
        <w:t>附件</w:t>
      </w:r>
      <w:r>
        <w:rPr>
          <w:rFonts w:hint="eastAsia" w:ascii="仿宋" w:hAnsi="仿宋" w:eastAsia="仿宋" w:cs="仿宋"/>
          <w:color w:val="auto"/>
          <w:szCs w:val="24"/>
          <w:u w:val="none"/>
          <w:lang w:val="en-US" w:eastAsia="zh-CN"/>
        </w:rPr>
        <w:t>6</w:t>
      </w:r>
      <w:r>
        <w:rPr>
          <w:rFonts w:hint="eastAsia" w:ascii="仿宋" w:hAnsi="仿宋" w:eastAsia="仿宋" w:cs="仿宋"/>
          <w:color w:val="auto"/>
          <w:szCs w:val="24"/>
          <w:u w:val="none"/>
        </w:rPr>
        <w:t xml:space="preserve">  资格证明文件（格式</w:t>
      </w:r>
      <w:bookmarkEnd w:id="126"/>
      <w:bookmarkEnd w:id="127"/>
      <w:bookmarkEnd w:id="128"/>
      <w:r>
        <w:rPr>
          <w:rFonts w:hint="eastAsia" w:ascii="仿宋" w:hAnsi="仿宋" w:eastAsia="仿宋" w:cs="仿宋"/>
          <w:color w:val="auto"/>
          <w:szCs w:val="24"/>
          <w:u w:val="none"/>
        </w:rPr>
        <w:t>）</w:t>
      </w:r>
      <w:bookmarkEnd w:id="129"/>
      <w:bookmarkEnd w:id="130"/>
      <w:bookmarkEnd w:id="131"/>
      <w:bookmarkEnd w:id="132"/>
    </w:p>
    <w:p>
      <w:pPr>
        <w:pStyle w:val="4"/>
        <w:rPr>
          <w:rFonts w:hint="eastAsia"/>
          <w:color w:val="auto"/>
          <w:lang w:eastAsia="zh-CN"/>
        </w:rPr>
      </w:pPr>
    </w:p>
    <w:p>
      <w:pPr>
        <w:adjustRightInd w:val="0"/>
        <w:snapToGrid w:val="0"/>
        <w:spacing w:line="360" w:lineRule="auto"/>
        <w:ind w:left="420" w:leftChars="200"/>
        <w:rPr>
          <w:rFonts w:hint="eastAsia" w:ascii="仿宋" w:hAnsi="仿宋" w:eastAsia="仿宋" w:cs="仿宋"/>
          <w:color w:val="auto"/>
          <w:sz w:val="24"/>
          <w:szCs w:val="24"/>
        </w:rPr>
      </w:pP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.1营业执照、税务登记证、组织机构代码证或三证合一的营业执照复印件及基本账户开户许可证（须加盖本单位公章）</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.2法定代表人授权书（格式）（注：非法定代表人签字或盖章时提供）</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.3已在财政部“中国政府采购网”上注册登记，并且是“甘肃政府采购网”备案企业（提供“中国政府采购网”及“甘肃政府采购网”公示名单网页截图）</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.4甘肃省内政府采购业绩及甘肃省级交易平台交易项目业绩</w:t>
      </w:r>
    </w:p>
    <w:p>
      <w:pPr>
        <w:adjustRightInd w:val="0"/>
        <w:snapToGrid w:val="0"/>
        <w:spacing w:line="360" w:lineRule="auto"/>
        <w:ind w:left="420" w:leftChars="200"/>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6.5</w:t>
      </w:r>
      <w:r>
        <w:rPr>
          <w:rFonts w:hint="eastAsia" w:ascii="仿宋" w:hAnsi="仿宋" w:eastAsia="仿宋" w:cs="仿宋"/>
          <w:color w:val="auto"/>
          <w:sz w:val="21"/>
          <w:szCs w:val="21"/>
        </w:rPr>
        <w:t>资格承诺声明函</w:t>
      </w:r>
    </w:p>
    <w:p>
      <w:pPr>
        <w:pStyle w:val="46"/>
        <w:numPr>
          <w:ilvl w:val="1"/>
          <w:numId w:val="0"/>
        </w:numPr>
        <w:ind w:firstLine="422" w:firstLineChars="200"/>
        <w:jc w:val="left"/>
        <w:rPr>
          <w:rFonts w:hint="eastAsia"/>
          <w:color w:val="auto"/>
        </w:rPr>
      </w:pPr>
    </w:p>
    <w:p>
      <w:pPr>
        <w:spacing w:line="360" w:lineRule="auto"/>
        <w:jc w:val="center"/>
        <w:rPr>
          <w:rFonts w:hint="eastAsia" w:ascii="宋体" w:hAnsi="宋体" w:cs="宋体"/>
          <w:color w:val="auto"/>
          <w:sz w:val="28"/>
          <w:szCs w:val="28"/>
          <w:highlight w:val="none"/>
        </w:rPr>
      </w:pPr>
    </w:p>
    <w:p>
      <w:pPr>
        <w:adjustRightInd w:val="0"/>
        <w:snapToGrid w:val="0"/>
        <w:spacing w:line="360" w:lineRule="auto"/>
        <w:ind w:left="420" w:leftChars="200"/>
        <w:rPr>
          <w:rFonts w:hint="eastAsia" w:ascii="仿宋" w:hAnsi="仿宋" w:eastAsia="仿宋" w:cs="仿宋"/>
          <w:color w:val="auto"/>
          <w:sz w:val="24"/>
          <w:szCs w:val="24"/>
        </w:rPr>
      </w:pPr>
      <w:r>
        <w:rPr>
          <w:rFonts w:hint="eastAsia" w:ascii="仿宋" w:hAnsi="仿宋" w:eastAsia="仿宋" w:cs="仿宋"/>
          <w:color w:val="auto"/>
          <w:sz w:val="24"/>
          <w:szCs w:val="24"/>
        </w:rPr>
        <w:br w:type="page"/>
      </w:r>
      <w:bookmarkStart w:id="133" w:name="_Hlt520350108"/>
      <w:bookmarkEnd w:id="133"/>
      <w:bookmarkStart w:id="134" w:name="_Ref467990100"/>
      <w:bookmarkStart w:id="135" w:name="_Ref467990101"/>
      <w:bookmarkStart w:id="136" w:name="_Toc480942357"/>
      <w:bookmarkStart w:id="137" w:name="_Ref467990058"/>
      <w:bookmarkStart w:id="138" w:name="_Toc520356228"/>
      <w:bookmarkStart w:id="139" w:name="_Ref467988479"/>
      <w:bookmarkStart w:id="140" w:name="_Ref467990064"/>
      <w:bookmarkStart w:id="141" w:name="_Toc520125061"/>
      <w:bookmarkStart w:id="142" w:name="_Toc520125062"/>
      <w:bookmarkStart w:id="143" w:name="_Toc480942358"/>
      <w:bookmarkStart w:id="144" w:name="_Toc520356229"/>
      <w:bookmarkStart w:id="145" w:name="_Ref467988485"/>
      <w:bookmarkStart w:id="146" w:name="_Ref467988471"/>
    </w:p>
    <w:p>
      <w:pPr>
        <w:adjustRightInd w:val="0"/>
        <w:snapToGrid w:val="0"/>
        <w:spacing w:line="360" w:lineRule="auto"/>
        <w:ind w:left="420" w:leftChars="200"/>
        <w:jc w:val="center"/>
        <w:rPr>
          <w:rFonts w:hint="eastAsia" w:ascii="仿宋" w:hAnsi="仿宋" w:eastAsia="仿宋" w:cs="仿宋"/>
          <w:b/>
          <w:color w:val="auto"/>
          <w:sz w:val="21"/>
          <w:szCs w:val="21"/>
          <w:u w:val="single"/>
        </w:rPr>
      </w:pPr>
      <w:r>
        <w:rPr>
          <w:rFonts w:hint="eastAsia" w:ascii="仿宋" w:hAnsi="仿宋" w:eastAsia="仿宋" w:cs="仿宋"/>
          <w:b/>
          <w:color w:val="auto"/>
          <w:sz w:val="21"/>
          <w:szCs w:val="21"/>
        </w:rPr>
        <w:t>附件</w:t>
      </w:r>
      <w:r>
        <w:rPr>
          <w:rFonts w:hint="eastAsia" w:ascii="仿宋" w:hAnsi="仿宋" w:eastAsia="仿宋" w:cs="仿宋"/>
          <w:b/>
          <w:color w:val="auto"/>
          <w:sz w:val="21"/>
          <w:szCs w:val="21"/>
          <w:lang w:val="en-US" w:eastAsia="zh-CN"/>
        </w:rPr>
        <w:t>6</w:t>
      </w:r>
      <w:r>
        <w:rPr>
          <w:rFonts w:hint="eastAsia" w:ascii="仿宋" w:hAnsi="仿宋" w:eastAsia="仿宋" w:cs="仿宋"/>
          <w:b/>
          <w:color w:val="auto"/>
          <w:sz w:val="21"/>
          <w:szCs w:val="21"/>
        </w:rPr>
        <w:t>.2   法定代表人授权书(格式)</w:t>
      </w:r>
    </w:p>
    <w:p>
      <w:pPr>
        <w:spacing w:line="360" w:lineRule="auto"/>
        <w:jc w:val="center"/>
        <w:rPr>
          <w:rFonts w:hint="eastAsia" w:ascii="仿宋" w:hAnsi="仿宋" w:eastAsia="仿宋" w:cs="仿宋"/>
          <w:color w:val="auto"/>
          <w:sz w:val="21"/>
          <w:szCs w:val="21"/>
          <w:u w:val="single"/>
        </w:rPr>
      </w:pPr>
    </w:p>
    <w:p>
      <w:pPr>
        <w:spacing w:line="360" w:lineRule="auto"/>
        <w:jc w:val="center"/>
        <w:rPr>
          <w:rFonts w:hint="eastAsia" w:ascii="仿宋" w:hAnsi="仿宋" w:eastAsia="仿宋" w:cs="仿宋"/>
          <w:color w:val="auto"/>
          <w:sz w:val="21"/>
          <w:szCs w:val="21"/>
          <w:u w:val="single"/>
          <w:lang w:eastAsia="zh-CN"/>
        </w:rPr>
      </w:pPr>
      <w:r>
        <w:rPr>
          <w:rFonts w:hint="eastAsia" w:ascii="仿宋" w:hAnsi="仿宋" w:eastAsia="仿宋" w:cs="仿宋"/>
          <w:color w:val="auto"/>
          <w:sz w:val="21"/>
          <w:szCs w:val="21"/>
          <w:u w:val="single"/>
        </w:rPr>
        <w:t>（注：非法定代表人签字或盖章时的提供）</w:t>
      </w:r>
    </w:p>
    <w:p>
      <w:pPr>
        <w:spacing w:line="360" w:lineRule="auto"/>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法定代表人授权书</w:t>
      </w:r>
    </w:p>
    <w:p>
      <w:pPr>
        <w:autoSpaceDE w:val="0"/>
        <w:autoSpaceDN w:val="0"/>
        <w:adjustRightInd w:val="0"/>
        <w:spacing w:before="240" w:beforeLines="100" w:line="360" w:lineRule="auto"/>
        <w:ind w:firstLine="420" w:firstLineChars="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本人</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（姓名） 系</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（供应商名称） 的法定代表人， 现委托</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（姓名）为我方代理人。代理人根据授权，以我方名义签署、澄清、说明、补正、递交、撤回、修改</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（项目名称）</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 xml:space="preserve"> （标段名称）投标文件、签订合同和处理有关事宜，其法律后果由我方承担。</w:t>
      </w:r>
    </w:p>
    <w:p>
      <w:pPr>
        <w:autoSpaceDE w:val="0"/>
        <w:autoSpaceDN w:val="0"/>
        <w:adjustRightInd w:val="0"/>
        <w:spacing w:before="240" w:beforeLines="100" w:line="360" w:lineRule="auto"/>
        <w:ind w:firstLine="420" w:firstLineChars="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特此声明。</w:t>
      </w: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法人身份证：</w:t>
      </w:r>
    </w:p>
    <w:p>
      <w:pPr>
        <w:autoSpaceDE w:val="0"/>
        <w:autoSpaceDN w:val="0"/>
        <w:adjustRightInd w:val="0"/>
        <w:spacing w:line="360" w:lineRule="auto"/>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mc:AlternateContent>
          <mc:Choice Requires="wps">
            <w:drawing>
              <wp:anchor distT="0" distB="0" distL="114300" distR="114300" simplePos="0" relativeHeight="251661312"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5" name="矩形 5"/>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wps:txbx>
                      <wps:bodyPr upright="1"/>
                    </wps:wsp>
                  </a:graphicData>
                </a:graphic>
              </wp:anchor>
            </w:drawing>
          </mc:Choice>
          <mc:Fallback>
            <w:pict>
              <v:rect id="_x0000_s1026" o:spid="_x0000_s1026" o:spt="1" style="position:absolute;left:0pt;margin-left:226.25pt;margin-top:9.8pt;height:98.35pt;width:190.75pt;z-index:251661312;mso-width-relative:page;mso-height-relative:page;" fillcolor="#FFFFFF" filled="t" stroked="t" coordsize="21600,21600" o:gfxdata="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3xYgQNoAAAAKAQAADwAAAAAAAAABACAAAAAi&#10;AAAAZHJzL2Rvd25yZXYueG1sUEsBAhQAFAAAAAgAh07iQJeO4DYIAgAAKwQAAA4AAAAAAAAAAQAg&#10;AAAAKQEAAGRycy9lMm9Eb2MueG1sUEsFBgAAAAAGAAYAWQEAAKMFAAAAAA==&#10;">
                <v:fill on="t" focussize="0,0"/>
                <v:stroke weight="1.25pt" color="#739CC3" joinstyle="miter"/>
                <v:imagedata o:title=""/>
                <o:lock v:ext="edit" aspectratio="f"/>
                <v:textbox>
                  <w:txbxContent>
                    <w:p>
                      <w:pP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v:textbox>
              </v:rect>
            </w:pict>
          </mc:Fallback>
        </mc:AlternateContent>
      </w:r>
      <w:r>
        <w:rPr>
          <w:rFonts w:hint="eastAsia" w:ascii="仿宋" w:hAnsi="仿宋" w:eastAsia="仿宋" w:cs="仿宋"/>
          <w:color w:val="auto"/>
          <w:kern w:val="0"/>
          <w:sz w:val="21"/>
          <w:szCs w:val="21"/>
        </w:rPr>
        <mc:AlternateContent>
          <mc:Choice Requires="wps">
            <w:drawing>
              <wp:anchor distT="0" distB="0" distL="114300" distR="114300" simplePos="0" relativeHeight="251660288"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8" name="矩形 8"/>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wps:txbx>
                      <wps:bodyPr upright="1"/>
                    </wps:wsp>
                  </a:graphicData>
                </a:graphic>
              </wp:anchor>
            </w:drawing>
          </mc:Choice>
          <mc:Fallback>
            <w:pict>
              <v:rect id="_x0000_s1026" o:spid="_x0000_s1026" o:spt="1" style="position:absolute;left:0pt;margin-left:-15.05pt;margin-top:9.8pt;height:98.35pt;width:190.75pt;z-index:251660288;mso-width-relative:page;mso-height-relative:page;" fillcolor="#FFFFFF" filled="t" stroked="t" coordsize="21600,21600" o:gfxdata="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IBHSdoAAAAKAQAADwAAAAAAAAABACAAAAAiAAAA&#10;ZHJzL2Rvd25yZXYueG1sUEsBAhQAFAAAAAgAh07iQItj8l8FAgAAKwQAAA4AAAAAAAAAAQAgAAAA&#10;KQEAAGRycy9lMm9Eb2MueG1sUEsFBgAAAAAGAAYAWQEAAKAFAAAAAA==&#10;">
                <v:fill on="t" focussize="0,0"/>
                <v:stroke weight="1.25pt" color="#739CC3" joinstyle="miter"/>
                <v:imagedata o:title=""/>
                <o:lock v:ext="edit" aspectratio="f"/>
                <v:textbo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v:textbox>
              </v:rect>
            </w:pict>
          </mc:Fallback>
        </mc:AlternateContent>
      </w: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ind w:firstLine="1785" w:firstLineChars="850"/>
        <w:jc w:val="left"/>
        <w:rPr>
          <w:rFonts w:hint="eastAsia" w:ascii="仿宋" w:hAnsi="仿宋" w:eastAsia="仿宋" w:cs="仿宋"/>
          <w:color w:val="auto"/>
          <w:kern w:val="0"/>
          <w:sz w:val="21"/>
          <w:szCs w:val="21"/>
        </w:rPr>
      </w:pPr>
    </w:p>
    <w:p>
      <w:pPr>
        <w:autoSpaceDE w:val="0"/>
        <w:autoSpaceDN w:val="0"/>
        <w:adjustRightInd w:val="0"/>
        <w:spacing w:line="360" w:lineRule="auto"/>
        <w:ind w:firstLine="1785" w:firstLineChars="850"/>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委托人身份证：</w:t>
      </w:r>
    </w:p>
    <w:p>
      <w:pPr>
        <w:autoSpaceDE w:val="0"/>
        <w:autoSpaceDN w:val="0"/>
        <w:adjustRightInd w:val="0"/>
        <w:spacing w:line="360" w:lineRule="auto"/>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mc:AlternateContent>
          <mc:Choice Requires="wps">
            <w:drawing>
              <wp:anchor distT="0" distB="0" distL="114300" distR="114300" simplePos="0" relativeHeight="251663360"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6" name="矩形 6"/>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wps:txbx>
                      <wps:bodyPr upright="1"/>
                    </wps:wsp>
                  </a:graphicData>
                </a:graphic>
              </wp:anchor>
            </w:drawing>
          </mc:Choice>
          <mc:Fallback>
            <w:pict>
              <v:rect id="_x0000_s1026" o:spid="_x0000_s1026" o:spt="1" style="position:absolute;left:0pt;margin-left:226.25pt;margin-top:9.8pt;height:98.35pt;width:190.75pt;z-index:251663360;mso-width-relative:page;mso-height-relative:page;" fillcolor="#FFFFFF" filled="t" stroked="t" coordsize="21600,21600" o:gfxdata="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8WIEDaAAAACgEAAA8AAAAAAAAAAQAgAAAAIgAA&#10;AGRycy9kb3ducmV2LnhtbFBLAQIUABQAAAAIAIdO4kCNFOPWBgIAACsEAAAOAAAAAAAAAAEAIAAA&#10;ACkBAABkcnMvZTJvRG9jLnhtbFBLBQYAAAAABgAGAFkBAAChBQAAAAA=&#10;">
                <v:fill on="t" focussize="0,0"/>
                <v:stroke weight="1.25pt" color="#739CC3" joinstyle="miter"/>
                <v:imagedata o:title=""/>
                <o:lock v:ext="edit" aspectratio="f"/>
                <v:textbo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v:textbox>
              </v:rect>
            </w:pict>
          </mc:Fallback>
        </mc:AlternateContent>
      </w:r>
      <w:r>
        <w:rPr>
          <w:rFonts w:hint="eastAsia" w:ascii="仿宋" w:hAnsi="仿宋" w:eastAsia="仿宋" w:cs="仿宋"/>
          <w:color w:val="auto"/>
          <w:kern w:val="0"/>
          <w:sz w:val="21"/>
          <w:szCs w:val="21"/>
        </w:rPr>
        <mc:AlternateContent>
          <mc:Choice Requires="wps">
            <w:drawing>
              <wp:anchor distT="0" distB="0" distL="114300" distR="114300" simplePos="0" relativeHeight="251662336"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4" name="矩形 4"/>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wps:txbx>
                      <wps:bodyPr upright="1"/>
                    </wps:wsp>
                  </a:graphicData>
                </a:graphic>
              </wp:anchor>
            </w:drawing>
          </mc:Choice>
          <mc:Fallback>
            <w:pict>
              <v:rect id="_x0000_s1026" o:spid="_x0000_s1026" o:spt="1" style="position:absolute;left:0pt;margin-left:-15.05pt;margin-top:9.8pt;height:98.35pt;width:190.75pt;z-index:251662336;mso-width-relative:page;mso-height-relative:page;" fillcolor="#FFFFFF" filled="t" stroked="t" coordsize="21600,21600" o:gfxdata="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IBHSdoAAAAKAQAADwAAAAAAAAABACAAAAAiAAAA&#10;ZHJzL2Rvd25yZXYueG1sUEsBAhQAFAAAAAgAh07iQGEHHmkFAgAAKwQAAA4AAAAAAAAAAQAgAAAA&#10;KQEAAGRycy9lMm9Eb2MueG1sUEsFBgAAAAAGAAYAWQEAAKAFAAAAAA==&#10;">
                <v:fill on="t" focussize="0,0"/>
                <v:stroke weight="1.25pt" color="#739CC3" joinstyle="miter"/>
                <v:imagedata o:title=""/>
                <o:lock v:ext="edit" aspectratio="f"/>
                <v:textbo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v:textbox>
              </v:rect>
            </w:pict>
          </mc:Fallback>
        </mc:AlternateContent>
      </w: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jc w:val="left"/>
        <w:rPr>
          <w:rFonts w:hint="eastAsia" w:ascii="仿宋" w:hAnsi="仿宋" w:eastAsia="仿宋" w:cs="仿宋"/>
          <w:color w:val="auto"/>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 xml:space="preserve">供  应  商： </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（盖单位章）</w:t>
      </w: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 xml:space="preserve">法定代表人： </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（签字）</w:t>
      </w: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委托代理人：</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（签字）</w:t>
      </w:r>
    </w:p>
    <w:p>
      <w:pPr>
        <w:autoSpaceDE w:val="0"/>
        <w:autoSpaceDN w:val="0"/>
        <w:adjustRightInd w:val="0"/>
        <w:spacing w:line="360" w:lineRule="auto"/>
        <w:ind w:firstLine="2520" w:firstLineChars="1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日       期：</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年</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 xml:space="preserve"> 月</w:t>
      </w:r>
      <w:r>
        <w:rPr>
          <w:rFonts w:hint="eastAsia" w:ascii="仿宋" w:hAnsi="仿宋" w:eastAsia="仿宋" w:cs="仿宋"/>
          <w:color w:val="auto"/>
          <w:kern w:val="0"/>
          <w:sz w:val="21"/>
          <w:szCs w:val="21"/>
          <w:u w:val="single"/>
        </w:rPr>
        <w:t xml:space="preserve">      </w:t>
      </w:r>
      <w:r>
        <w:rPr>
          <w:rFonts w:hint="eastAsia" w:ascii="仿宋" w:hAnsi="仿宋" w:eastAsia="仿宋" w:cs="仿宋"/>
          <w:color w:val="auto"/>
          <w:kern w:val="0"/>
          <w:sz w:val="21"/>
          <w:szCs w:val="21"/>
        </w:rPr>
        <w:t xml:space="preserve"> 日</w:t>
      </w:r>
    </w:p>
    <w:p>
      <w:pPr>
        <w:spacing w:line="480" w:lineRule="auto"/>
        <w:rPr>
          <w:rFonts w:hint="eastAsia" w:ascii="仿宋" w:hAnsi="仿宋" w:eastAsia="仿宋" w:cs="仿宋"/>
          <w:b/>
          <w:color w:val="auto"/>
          <w:kern w:val="0"/>
          <w:sz w:val="21"/>
          <w:szCs w:val="21"/>
        </w:rPr>
      </w:pPr>
      <w:r>
        <w:rPr>
          <w:rFonts w:hint="eastAsia" w:ascii="仿宋" w:hAnsi="仿宋" w:eastAsia="仿宋" w:cs="仿宋"/>
          <w:b/>
          <w:color w:val="auto"/>
          <w:kern w:val="0"/>
          <w:sz w:val="21"/>
          <w:szCs w:val="21"/>
        </w:rPr>
        <w:t>*法人代表与被授权人身份证（复印件）需附在投标文件中。</w:t>
      </w:r>
    </w:p>
    <w:p>
      <w:pPr>
        <w:spacing w:line="480" w:lineRule="auto"/>
        <w:rPr>
          <w:rFonts w:hint="eastAsia" w:ascii="仿宋" w:hAnsi="仿宋" w:eastAsia="仿宋" w:cs="仿宋"/>
          <w:color w:val="auto"/>
          <w:sz w:val="21"/>
          <w:szCs w:val="21"/>
          <w:u w:val="single"/>
        </w:rPr>
      </w:pPr>
      <w:r>
        <w:rPr>
          <w:rFonts w:hint="eastAsia" w:ascii="仿宋" w:hAnsi="仿宋" w:eastAsia="仿宋" w:cs="仿宋"/>
          <w:b/>
          <w:color w:val="auto"/>
          <w:kern w:val="0"/>
          <w:sz w:val="21"/>
          <w:szCs w:val="21"/>
        </w:rPr>
        <w:t>被授权人需携带身份证原件至开标现场。</w:t>
      </w:r>
    </w:p>
    <w:bookmarkEnd w:id="134"/>
    <w:bookmarkEnd w:id="135"/>
    <w:bookmarkEnd w:id="136"/>
    <w:bookmarkEnd w:id="137"/>
    <w:bookmarkEnd w:id="138"/>
    <w:bookmarkEnd w:id="139"/>
    <w:bookmarkEnd w:id="140"/>
    <w:bookmarkEnd w:id="141"/>
    <w:bookmarkEnd w:id="142"/>
    <w:bookmarkEnd w:id="143"/>
    <w:bookmarkEnd w:id="144"/>
    <w:bookmarkEnd w:id="145"/>
    <w:bookmarkEnd w:id="146"/>
    <w:p>
      <w:pPr>
        <w:pStyle w:val="4"/>
        <w:ind w:firstLine="0" w:firstLineChars="0"/>
        <w:rPr>
          <w:rFonts w:hint="eastAsia" w:ascii="仿宋" w:hAnsi="仿宋" w:eastAsia="仿宋" w:cs="仿宋"/>
          <w:color w:val="auto"/>
        </w:rPr>
      </w:pPr>
    </w:p>
    <w:p>
      <w:pPr>
        <w:pStyle w:val="4"/>
        <w:ind w:firstLine="0" w:firstLineChars="0"/>
        <w:rPr>
          <w:rFonts w:hint="eastAsia" w:ascii="仿宋" w:hAnsi="仿宋" w:eastAsia="仿宋" w:cs="仿宋"/>
          <w:color w:val="auto"/>
        </w:rPr>
      </w:pPr>
    </w:p>
    <w:p>
      <w:pPr>
        <w:adjustRightInd w:val="0"/>
        <w:snapToGrid w:val="0"/>
        <w:spacing w:line="360" w:lineRule="auto"/>
        <w:ind w:left="420" w:leftChars="200"/>
        <w:jc w:val="center"/>
        <w:rPr>
          <w:rFonts w:hint="default" w:ascii="仿宋" w:hAnsi="仿宋" w:eastAsia="仿宋" w:cs="仿宋"/>
          <w:b/>
          <w:color w:val="auto"/>
          <w:sz w:val="21"/>
          <w:szCs w:val="21"/>
          <w:lang w:val="en-US" w:eastAsia="zh-CN"/>
        </w:rPr>
      </w:pPr>
      <w:r>
        <w:rPr>
          <w:rFonts w:hint="eastAsia" w:ascii="仿宋" w:hAnsi="仿宋" w:eastAsia="仿宋" w:cs="仿宋"/>
          <w:b/>
          <w:color w:val="auto"/>
          <w:sz w:val="21"/>
          <w:szCs w:val="21"/>
          <w:lang w:val="en-US" w:eastAsia="zh-CN"/>
        </w:rPr>
        <w:t>6.5资格承诺函格式</w:t>
      </w: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Pr>
        <w:pStyle w:val="4"/>
        <w:ind w:firstLine="0" w:firstLineChars="0"/>
        <w:rPr>
          <w:rFonts w:hint="eastAsia" w:ascii="仿宋" w:hAnsi="仿宋" w:eastAsia="仿宋" w:cs="仿宋"/>
          <w:color w:val="auto"/>
        </w:rPr>
      </w:pPr>
    </w:p>
    <w:sectPr>
      <w:footerReference r:id="rId15" w:type="first"/>
      <w:footerReference r:id="rId14" w:type="default"/>
      <w:pgSz w:w="11906" w:h="16838"/>
      <w:pgMar w:top="1191" w:right="1587" w:bottom="1191" w:left="1587"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jc w:val="center"/>
      <w:rPr>
        <w:rFonts w:ascii="仿宋" w:hAnsi="仿宋" w:eastAsia="仿宋"/>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framePr w:wrap="around" w:vAnchor="text" w:hAnchor="margin" w:xAlign="right" w:y="1"/>
      <w:rPr>
        <w:rStyle w:val="42"/>
      </w:rPr>
    </w:pPr>
    <w:r>
      <w:fldChar w:fldCharType="begin"/>
    </w:r>
    <w:r>
      <w:rPr>
        <w:rStyle w:val="42"/>
      </w:rPr>
      <w:instrText xml:space="preserve">PAGE  </w:instrText>
    </w:r>
    <w:r>
      <w:fldChar w:fldCharType="separate"/>
    </w:r>
    <w:r>
      <w:rPr>
        <w:rStyle w:val="42"/>
      </w:rPr>
      <w:t>1</w:t>
    </w:r>
    <w:r>
      <w:fldChar w:fldCharType="end"/>
    </w:r>
  </w:p>
  <w:p>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thinThickSmallGap" w:color="622423" w:sz="24" w:space="1"/>
      </w:pBdr>
      <w:tabs>
        <w:tab w:val="right" w:pos="8463"/>
        <w:tab w:val="clear" w:pos="4153"/>
        <w:tab w:val="clear" w:pos="8306"/>
      </w:tabs>
      <w:rPr>
        <w:rFonts w:ascii="仿宋" w:hAnsi="仿宋" w:eastAsia="仿宋"/>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4"/>
                    </w:pPr>
                    <w:r>
                      <w:fldChar w:fldCharType="begin"/>
                    </w:r>
                    <w:r>
                      <w:instrText xml:space="preserve"> PAGE  \* MERGEFORMAT </w:instrText>
                    </w:r>
                    <w:r>
                      <w:fldChar w:fldCharType="separate"/>
                    </w:r>
                    <w:r>
                      <w:t>0</w:t>
                    </w:r>
                    <w:r>
                      <w:fldChar w:fldCharType="end"/>
                    </w:r>
                  </w:p>
                </w:txbxContent>
              </v:textbox>
            </v:shape>
          </w:pict>
        </mc:Fallback>
      </mc:AlternateContent>
    </w: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2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24"/>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2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4"/>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24"/>
                    </w:pPr>
                    <w:r>
                      <w:fldChar w:fldCharType="begin"/>
                    </w:r>
                    <w:r>
                      <w:instrText xml:space="preserve"> PAGE  \* MERGEFORMAT </w:instrText>
                    </w:r>
                    <w:r>
                      <w:fldChar w:fldCharType="separate"/>
                    </w:r>
                    <w:r>
                      <w:t>25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tabs>
        <w:tab w:val="left" w:pos="4498"/>
      </w:tabs>
      <w:rPr>
        <w:rFonts w:ascii="仿宋" w:hAnsi="仿宋" w:eastAsia="仿宋"/>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E4C6C"/>
    <w:multiLevelType w:val="singleLevel"/>
    <w:tmpl w:val="AA2E4C6C"/>
    <w:lvl w:ilvl="0" w:tentative="0">
      <w:start w:val="1"/>
      <w:numFmt w:val="chineseCounting"/>
      <w:suff w:val="nothing"/>
      <w:lvlText w:val="%1、"/>
      <w:lvlJc w:val="left"/>
      <w:rPr>
        <w:rFonts w:hint="eastAsia"/>
      </w:rPr>
    </w:lvl>
  </w:abstractNum>
  <w:abstractNum w:abstractNumId="1">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46"/>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2">
    <w:nsid w:val="46335E6F"/>
    <w:multiLevelType w:val="multilevel"/>
    <w:tmpl w:val="46335E6F"/>
    <w:lvl w:ilvl="0" w:tentative="0">
      <w:start w:val="1"/>
      <w:numFmt w:val="decimal"/>
      <w:pStyle w:val="47"/>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00944"/>
    <w:rsid w:val="000118A0"/>
    <w:rsid w:val="00022B64"/>
    <w:rsid w:val="000C3458"/>
    <w:rsid w:val="001064B9"/>
    <w:rsid w:val="0011703D"/>
    <w:rsid w:val="001405EF"/>
    <w:rsid w:val="00142369"/>
    <w:rsid w:val="0014673C"/>
    <w:rsid w:val="00167C64"/>
    <w:rsid w:val="00172A27"/>
    <w:rsid w:val="001D1BD3"/>
    <w:rsid w:val="00246A91"/>
    <w:rsid w:val="002C2FFB"/>
    <w:rsid w:val="002C328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97DFB"/>
    <w:rsid w:val="005C00F9"/>
    <w:rsid w:val="005E04DA"/>
    <w:rsid w:val="005F526C"/>
    <w:rsid w:val="00613FEA"/>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83B7C"/>
    <w:rsid w:val="00896973"/>
    <w:rsid w:val="008D6A07"/>
    <w:rsid w:val="008E32D8"/>
    <w:rsid w:val="009A1C09"/>
    <w:rsid w:val="009B0167"/>
    <w:rsid w:val="009B44BA"/>
    <w:rsid w:val="009B74E0"/>
    <w:rsid w:val="009D35D1"/>
    <w:rsid w:val="00A47163"/>
    <w:rsid w:val="00AA23E8"/>
    <w:rsid w:val="00B354AF"/>
    <w:rsid w:val="00B7693E"/>
    <w:rsid w:val="00BD4739"/>
    <w:rsid w:val="00C1747A"/>
    <w:rsid w:val="00C45ADD"/>
    <w:rsid w:val="00C83489"/>
    <w:rsid w:val="00C85A18"/>
    <w:rsid w:val="00CA444E"/>
    <w:rsid w:val="00CC0A5D"/>
    <w:rsid w:val="00D12117"/>
    <w:rsid w:val="00D56DA9"/>
    <w:rsid w:val="00D849D3"/>
    <w:rsid w:val="00DC05A9"/>
    <w:rsid w:val="00DE3B45"/>
    <w:rsid w:val="00DE59EE"/>
    <w:rsid w:val="00E4546D"/>
    <w:rsid w:val="00EE1895"/>
    <w:rsid w:val="00EE3965"/>
    <w:rsid w:val="00EE3D87"/>
    <w:rsid w:val="00F169A5"/>
    <w:rsid w:val="00F43231"/>
    <w:rsid w:val="00F73BB2"/>
    <w:rsid w:val="00F9235C"/>
    <w:rsid w:val="00FB08FF"/>
    <w:rsid w:val="00FC173E"/>
    <w:rsid w:val="02BB609B"/>
    <w:rsid w:val="0356784B"/>
    <w:rsid w:val="04B23039"/>
    <w:rsid w:val="051D440B"/>
    <w:rsid w:val="057E5D2D"/>
    <w:rsid w:val="06FC2094"/>
    <w:rsid w:val="08C558E2"/>
    <w:rsid w:val="09C350C8"/>
    <w:rsid w:val="0B3D0482"/>
    <w:rsid w:val="0C692FF0"/>
    <w:rsid w:val="0CDC7E65"/>
    <w:rsid w:val="0EE65A4C"/>
    <w:rsid w:val="0F0A7030"/>
    <w:rsid w:val="105C6C2B"/>
    <w:rsid w:val="10923D18"/>
    <w:rsid w:val="118F497F"/>
    <w:rsid w:val="11D849E2"/>
    <w:rsid w:val="13A97003"/>
    <w:rsid w:val="13E3563B"/>
    <w:rsid w:val="13E87495"/>
    <w:rsid w:val="15B20422"/>
    <w:rsid w:val="15FA0846"/>
    <w:rsid w:val="160868D3"/>
    <w:rsid w:val="18B82C03"/>
    <w:rsid w:val="198513F6"/>
    <w:rsid w:val="1A00444C"/>
    <w:rsid w:val="1A272A15"/>
    <w:rsid w:val="1A9413D2"/>
    <w:rsid w:val="1BCE1F0F"/>
    <w:rsid w:val="21CB18BC"/>
    <w:rsid w:val="26D53495"/>
    <w:rsid w:val="26ED42E7"/>
    <w:rsid w:val="28D75308"/>
    <w:rsid w:val="28E614A9"/>
    <w:rsid w:val="28E86CA7"/>
    <w:rsid w:val="29076C89"/>
    <w:rsid w:val="292263C3"/>
    <w:rsid w:val="29235425"/>
    <w:rsid w:val="2991189E"/>
    <w:rsid w:val="2A2C2E1A"/>
    <w:rsid w:val="2ACC676B"/>
    <w:rsid w:val="2C9936B0"/>
    <w:rsid w:val="2D556F76"/>
    <w:rsid w:val="2DF26338"/>
    <w:rsid w:val="2DF640D6"/>
    <w:rsid w:val="2E870C09"/>
    <w:rsid w:val="2EC366A2"/>
    <w:rsid w:val="2F16524A"/>
    <w:rsid w:val="2FF82D77"/>
    <w:rsid w:val="320D35B4"/>
    <w:rsid w:val="32335EE1"/>
    <w:rsid w:val="32992D19"/>
    <w:rsid w:val="33670496"/>
    <w:rsid w:val="33C730C5"/>
    <w:rsid w:val="341D1502"/>
    <w:rsid w:val="35325358"/>
    <w:rsid w:val="35793E2D"/>
    <w:rsid w:val="35C52FB2"/>
    <w:rsid w:val="35CA52BD"/>
    <w:rsid w:val="37A30122"/>
    <w:rsid w:val="37C2247C"/>
    <w:rsid w:val="384707D6"/>
    <w:rsid w:val="38F50B8E"/>
    <w:rsid w:val="393C0DE5"/>
    <w:rsid w:val="397E6DBF"/>
    <w:rsid w:val="3A1A273B"/>
    <w:rsid w:val="3A4E4081"/>
    <w:rsid w:val="3A740D56"/>
    <w:rsid w:val="3A9B5D9F"/>
    <w:rsid w:val="3AC94C72"/>
    <w:rsid w:val="3B101E80"/>
    <w:rsid w:val="3D046A2B"/>
    <w:rsid w:val="3E597CEE"/>
    <w:rsid w:val="3EC217D3"/>
    <w:rsid w:val="408A5E09"/>
    <w:rsid w:val="41B8526F"/>
    <w:rsid w:val="42F8291A"/>
    <w:rsid w:val="43D1198F"/>
    <w:rsid w:val="440726DC"/>
    <w:rsid w:val="448E4E44"/>
    <w:rsid w:val="45565D69"/>
    <w:rsid w:val="463D107C"/>
    <w:rsid w:val="47F44944"/>
    <w:rsid w:val="48A721B3"/>
    <w:rsid w:val="48C1462E"/>
    <w:rsid w:val="49721264"/>
    <w:rsid w:val="4A112E6B"/>
    <w:rsid w:val="4A3D5F21"/>
    <w:rsid w:val="4A490744"/>
    <w:rsid w:val="4AC30A0D"/>
    <w:rsid w:val="4AE32A1C"/>
    <w:rsid w:val="4B360091"/>
    <w:rsid w:val="4B820D49"/>
    <w:rsid w:val="4CA86D16"/>
    <w:rsid w:val="4EE566F3"/>
    <w:rsid w:val="4FB40FA2"/>
    <w:rsid w:val="51154BF9"/>
    <w:rsid w:val="54AE2CD1"/>
    <w:rsid w:val="55634D84"/>
    <w:rsid w:val="578E5921"/>
    <w:rsid w:val="5878081B"/>
    <w:rsid w:val="587B44BC"/>
    <w:rsid w:val="58FD2FE4"/>
    <w:rsid w:val="5AF67C3D"/>
    <w:rsid w:val="5B1A6A9D"/>
    <w:rsid w:val="5B1E7634"/>
    <w:rsid w:val="5BA86C48"/>
    <w:rsid w:val="5BD40777"/>
    <w:rsid w:val="5F12053B"/>
    <w:rsid w:val="5FC85FD2"/>
    <w:rsid w:val="61946FF9"/>
    <w:rsid w:val="622E1B6D"/>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6DF057FB"/>
    <w:rsid w:val="713F5D1F"/>
    <w:rsid w:val="72024CC5"/>
    <w:rsid w:val="72035796"/>
    <w:rsid w:val="72E87F54"/>
    <w:rsid w:val="72F75DF0"/>
    <w:rsid w:val="73C72D8A"/>
    <w:rsid w:val="73D40F30"/>
    <w:rsid w:val="767B15BE"/>
    <w:rsid w:val="768236C4"/>
    <w:rsid w:val="76911A31"/>
    <w:rsid w:val="77B854C6"/>
    <w:rsid w:val="77BF670D"/>
    <w:rsid w:val="78334E1D"/>
    <w:rsid w:val="789A45DA"/>
    <w:rsid w:val="7A1F02B7"/>
    <w:rsid w:val="7A2E28E1"/>
    <w:rsid w:val="7B44777D"/>
    <w:rsid w:val="7B573CF1"/>
    <w:rsid w:val="7E0D213D"/>
    <w:rsid w:val="7E2B3E16"/>
    <w:rsid w:val="7F4F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3">
    <w:name w:val="heading 2"/>
    <w:basedOn w:val="1"/>
    <w:next w:val="4"/>
    <w:link w:val="86"/>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5">
    <w:name w:val="heading 3"/>
    <w:basedOn w:val="1"/>
    <w:next w:val="4"/>
    <w:link w:val="82"/>
    <w:qFormat/>
    <w:uiPriority w:val="0"/>
    <w:pPr>
      <w:keepNext/>
      <w:keepLines/>
      <w:adjustRightInd w:val="0"/>
      <w:spacing w:before="240" w:after="120" w:line="300" w:lineRule="auto"/>
      <w:jc w:val="left"/>
      <w:textAlignment w:val="baseline"/>
      <w:outlineLvl w:val="2"/>
    </w:pPr>
    <w:rPr>
      <w:b/>
      <w:kern w:val="0"/>
      <w:szCs w:val="20"/>
    </w:rPr>
  </w:style>
  <w:style w:type="paragraph" w:styleId="6">
    <w:name w:val="heading 4"/>
    <w:basedOn w:val="1"/>
    <w:next w:val="1"/>
    <w:link w:val="80"/>
    <w:qFormat/>
    <w:uiPriority w:val="0"/>
    <w:pPr>
      <w:keepNext/>
      <w:keepLines/>
      <w:spacing w:before="280" w:after="290" w:line="376" w:lineRule="auto"/>
      <w:outlineLvl w:val="3"/>
    </w:pPr>
    <w:rPr>
      <w:rFonts w:ascii="Arial" w:hAnsi="Arial" w:eastAsia="黑体"/>
      <w:b/>
      <w:sz w:val="28"/>
      <w:szCs w:val="20"/>
    </w:rPr>
  </w:style>
  <w:style w:type="paragraph" w:styleId="7">
    <w:name w:val="heading 5"/>
    <w:basedOn w:val="1"/>
    <w:next w:val="1"/>
    <w:link w:val="84"/>
    <w:qFormat/>
    <w:uiPriority w:val="0"/>
    <w:pPr>
      <w:keepNext/>
      <w:keepLines/>
      <w:spacing w:before="280" w:after="290" w:line="376" w:lineRule="auto"/>
      <w:outlineLvl w:val="4"/>
    </w:pPr>
    <w:rPr>
      <w:b/>
      <w:sz w:val="28"/>
      <w:szCs w:val="20"/>
    </w:rPr>
  </w:style>
  <w:style w:type="paragraph" w:styleId="8">
    <w:name w:val="heading 6"/>
    <w:basedOn w:val="1"/>
    <w:next w:val="4"/>
    <w:qFormat/>
    <w:uiPriority w:val="0"/>
    <w:pPr>
      <w:keepNext/>
      <w:keepLines/>
      <w:spacing w:before="240" w:after="64" w:line="320" w:lineRule="auto"/>
      <w:outlineLvl w:val="5"/>
    </w:pPr>
    <w:rPr>
      <w:rFonts w:ascii="Arial" w:hAnsi="Arial" w:eastAsia="黑体"/>
      <w:b/>
      <w:sz w:val="24"/>
      <w:szCs w:val="20"/>
    </w:rPr>
  </w:style>
  <w:style w:type="paragraph" w:styleId="9">
    <w:name w:val="heading 7"/>
    <w:basedOn w:val="1"/>
    <w:next w:val="4"/>
    <w:qFormat/>
    <w:uiPriority w:val="0"/>
    <w:pPr>
      <w:keepNext/>
      <w:keepLines/>
      <w:spacing w:before="240" w:after="64" w:line="320" w:lineRule="auto"/>
      <w:outlineLvl w:val="6"/>
    </w:pPr>
    <w:rPr>
      <w:b/>
      <w:sz w:val="24"/>
      <w:szCs w:val="20"/>
    </w:rPr>
  </w:style>
  <w:style w:type="paragraph" w:styleId="10">
    <w:name w:val="heading 8"/>
    <w:basedOn w:val="1"/>
    <w:next w:val="4"/>
    <w:qFormat/>
    <w:uiPriority w:val="0"/>
    <w:pPr>
      <w:keepNext/>
      <w:keepLines/>
      <w:spacing w:before="240" w:after="64" w:line="320" w:lineRule="auto"/>
      <w:outlineLvl w:val="7"/>
    </w:pPr>
    <w:rPr>
      <w:rFonts w:ascii="Arial" w:hAnsi="Arial" w:eastAsia="黑体"/>
      <w:sz w:val="24"/>
      <w:szCs w:val="20"/>
    </w:rPr>
  </w:style>
  <w:style w:type="paragraph" w:styleId="11">
    <w:name w:val="heading 9"/>
    <w:basedOn w:val="1"/>
    <w:next w:val="4"/>
    <w:qFormat/>
    <w:uiPriority w:val="0"/>
    <w:pPr>
      <w:keepNext/>
      <w:keepLines/>
      <w:spacing w:before="240" w:after="64" w:line="320" w:lineRule="auto"/>
      <w:outlineLvl w:val="8"/>
    </w:pPr>
    <w:rPr>
      <w:rFonts w:ascii="Arial" w:hAnsi="Arial" w:eastAsia="黑体"/>
      <w:szCs w:val="20"/>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link w:val="92"/>
    <w:qFormat/>
    <w:uiPriority w:val="0"/>
    <w:pPr>
      <w:ind w:firstLine="420" w:firstLineChars="200"/>
    </w:pPr>
  </w:style>
  <w:style w:type="paragraph" w:styleId="12">
    <w:name w:val="toc 7"/>
    <w:basedOn w:val="1"/>
    <w:next w:val="1"/>
    <w:qFormat/>
    <w:uiPriority w:val="0"/>
    <w:pPr>
      <w:ind w:left="1260"/>
      <w:jc w:val="left"/>
    </w:pPr>
    <w:rPr>
      <w:rFonts w:ascii="Calibri" w:hAnsi="Calibri"/>
      <w:sz w:val="18"/>
      <w:szCs w:val="18"/>
    </w:rPr>
  </w:style>
  <w:style w:type="paragraph" w:styleId="13">
    <w:name w:val="Document Map"/>
    <w:basedOn w:val="1"/>
    <w:link w:val="89"/>
    <w:qFormat/>
    <w:uiPriority w:val="0"/>
    <w:rPr>
      <w:rFonts w:ascii="宋体"/>
      <w:sz w:val="18"/>
      <w:szCs w:val="18"/>
    </w:rPr>
  </w:style>
  <w:style w:type="paragraph" w:styleId="14">
    <w:name w:val="annotation text"/>
    <w:basedOn w:val="1"/>
    <w:link w:val="85"/>
    <w:qFormat/>
    <w:uiPriority w:val="0"/>
    <w:pPr>
      <w:jc w:val="left"/>
    </w:pPr>
  </w:style>
  <w:style w:type="paragraph" w:styleId="15">
    <w:name w:val="Body Text"/>
    <w:basedOn w:val="1"/>
    <w:qFormat/>
    <w:uiPriority w:val="0"/>
    <w:pPr>
      <w:spacing w:line="480" w:lineRule="auto"/>
    </w:pPr>
    <w:rPr>
      <w:color w:val="000000"/>
      <w:sz w:val="24"/>
    </w:rPr>
  </w:style>
  <w:style w:type="paragraph" w:styleId="16">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17">
    <w:name w:val="toc 5"/>
    <w:basedOn w:val="1"/>
    <w:next w:val="1"/>
    <w:qFormat/>
    <w:uiPriority w:val="0"/>
    <w:pPr>
      <w:ind w:left="840"/>
      <w:jc w:val="left"/>
    </w:pPr>
    <w:rPr>
      <w:rFonts w:ascii="Calibri" w:hAnsi="Calibri"/>
      <w:sz w:val="18"/>
      <w:szCs w:val="18"/>
    </w:rPr>
  </w:style>
  <w:style w:type="paragraph" w:styleId="18">
    <w:name w:val="toc 3"/>
    <w:basedOn w:val="1"/>
    <w:next w:val="1"/>
    <w:qFormat/>
    <w:uiPriority w:val="39"/>
    <w:pPr>
      <w:ind w:left="420"/>
      <w:jc w:val="left"/>
    </w:pPr>
    <w:rPr>
      <w:rFonts w:ascii="Calibri" w:hAnsi="Calibri"/>
      <w:i/>
      <w:iCs/>
      <w:sz w:val="20"/>
      <w:szCs w:val="20"/>
    </w:rPr>
  </w:style>
  <w:style w:type="paragraph" w:styleId="19">
    <w:name w:val="Plain Text"/>
    <w:basedOn w:val="1"/>
    <w:next w:val="1"/>
    <w:link w:val="100"/>
    <w:qFormat/>
    <w:uiPriority w:val="0"/>
    <w:pPr>
      <w:jc w:val="left"/>
    </w:pPr>
    <w:rPr>
      <w:rFonts w:ascii="宋体" w:hAnsi="Courier New"/>
      <w:szCs w:val="20"/>
    </w:rPr>
  </w:style>
  <w:style w:type="paragraph" w:styleId="20">
    <w:name w:val="toc 8"/>
    <w:basedOn w:val="1"/>
    <w:next w:val="1"/>
    <w:qFormat/>
    <w:uiPriority w:val="0"/>
    <w:pPr>
      <w:ind w:left="1470"/>
      <w:jc w:val="left"/>
    </w:pPr>
    <w:rPr>
      <w:rFonts w:ascii="Calibri" w:hAnsi="Calibri"/>
      <w:sz w:val="18"/>
      <w:szCs w:val="18"/>
    </w:rPr>
  </w:style>
  <w:style w:type="paragraph" w:styleId="21">
    <w:name w:val="Date"/>
    <w:basedOn w:val="1"/>
    <w:next w:val="1"/>
    <w:link w:val="83"/>
    <w:qFormat/>
    <w:uiPriority w:val="0"/>
    <w:rPr>
      <w:sz w:val="24"/>
      <w:szCs w:val="20"/>
    </w:rPr>
  </w:style>
  <w:style w:type="paragraph" w:styleId="22">
    <w:name w:val="Body Text Indent 2"/>
    <w:basedOn w:val="1"/>
    <w:link w:val="102"/>
    <w:qFormat/>
    <w:uiPriority w:val="0"/>
    <w:pPr>
      <w:spacing w:before="240" w:line="560" w:lineRule="exact"/>
      <w:ind w:firstLine="480" w:firstLineChars="200"/>
    </w:pPr>
    <w:rPr>
      <w:sz w:val="24"/>
      <w:szCs w:val="32"/>
    </w:rPr>
  </w:style>
  <w:style w:type="paragraph" w:styleId="23">
    <w:name w:val="Balloon Text"/>
    <w:basedOn w:val="1"/>
    <w:link w:val="105"/>
    <w:qFormat/>
    <w:uiPriority w:val="0"/>
    <w:rPr>
      <w:sz w:val="18"/>
      <w:szCs w:val="18"/>
    </w:rPr>
  </w:style>
  <w:style w:type="paragraph" w:styleId="24">
    <w:name w:val="footer"/>
    <w:basedOn w:val="1"/>
    <w:link w:val="79"/>
    <w:qFormat/>
    <w:uiPriority w:val="99"/>
    <w:pPr>
      <w:tabs>
        <w:tab w:val="center" w:pos="4153"/>
        <w:tab w:val="right" w:pos="8306"/>
      </w:tabs>
      <w:snapToGrid w:val="0"/>
      <w:jc w:val="left"/>
    </w:pPr>
    <w:rPr>
      <w:sz w:val="18"/>
      <w:szCs w:val="18"/>
    </w:rPr>
  </w:style>
  <w:style w:type="paragraph" w:styleId="25">
    <w:name w:val="envelope return"/>
    <w:basedOn w:val="1"/>
    <w:qFormat/>
    <w:uiPriority w:val="0"/>
    <w:pPr>
      <w:snapToGrid w:val="0"/>
    </w:pPr>
    <w:rPr>
      <w:rFonts w:ascii="Arial" w:hAnsi="Arial"/>
    </w:rPr>
  </w:style>
  <w:style w:type="paragraph" w:styleId="26">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spacing w:before="120" w:after="120"/>
      <w:jc w:val="left"/>
    </w:pPr>
    <w:rPr>
      <w:rFonts w:ascii="Calibri" w:hAnsi="Calibri"/>
      <w:b/>
      <w:bCs/>
      <w:caps/>
      <w:sz w:val="20"/>
      <w:szCs w:val="20"/>
    </w:rPr>
  </w:style>
  <w:style w:type="paragraph" w:styleId="28">
    <w:name w:val="toc 4"/>
    <w:basedOn w:val="1"/>
    <w:next w:val="1"/>
    <w:qFormat/>
    <w:uiPriority w:val="0"/>
    <w:pPr>
      <w:ind w:left="630"/>
      <w:jc w:val="left"/>
    </w:pPr>
    <w:rPr>
      <w:rFonts w:ascii="Calibri" w:hAnsi="Calibri"/>
      <w:sz w:val="18"/>
      <w:szCs w:val="18"/>
    </w:rPr>
  </w:style>
  <w:style w:type="paragraph" w:styleId="29">
    <w:name w:val="toc 6"/>
    <w:basedOn w:val="1"/>
    <w:next w:val="1"/>
    <w:qFormat/>
    <w:uiPriority w:val="0"/>
    <w:pPr>
      <w:ind w:left="1050"/>
      <w:jc w:val="left"/>
    </w:pPr>
    <w:rPr>
      <w:rFonts w:ascii="Calibri" w:hAnsi="Calibri"/>
      <w:sz w:val="18"/>
      <w:szCs w:val="18"/>
    </w:rPr>
  </w:style>
  <w:style w:type="paragraph" w:styleId="30">
    <w:name w:val="Body Text Indent 3"/>
    <w:basedOn w:val="1"/>
    <w:link w:val="96"/>
    <w:qFormat/>
    <w:uiPriority w:val="0"/>
    <w:pPr>
      <w:spacing w:after="120"/>
      <w:ind w:left="420" w:leftChars="200"/>
    </w:pPr>
    <w:rPr>
      <w:rFonts w:eastAsia="仿宋_GB2312"/>
      <w:sz w:val="16"/>
      <w:szCs w:val="16"/>
    </w:rPr>
  </w:style>
  <w:style w:type="paragraph" w:styleId="31">
    <w:name w:val="toc 2"/>
    <w:basedOn w:val="1"/>
    <w:next w:val="1"/>
    <w:qFormat/>
    <w:uiPriority w:val="39"/>
    <w:pPr>
      <w:ind w:left="210"/>
      <w:jc w:val="left"/>
    </w:pPr>
    <w:rPr>
      <w:rFonts w:ascii="Calibri" w:hAnsi="Calibri"/>
      <w:smallCaps/>
      <w:sz w:val="20"/>
      <w:szCs w:val="20"/>
    </w:rPr>
  </w:style>
  <w:style w:type="paragraph" w:styleId="32">
    <w:name w:val="toc 9"/>
    <w:basedOn w:val="1"/>
    <w:next w:val="1"/>
    <w:qFormat/>
    <w:uiPriority w:val="0"/>
    <w:pPr>
      <w:ind w:left="1680"/>
      <w:jc w:val="left"/>
    </w:pPr>
    <w:rPr>
      <w:rFonts w:ascii="Calibri" w:hAnsi="Calibri"/>
      <w:sz w:val="18"/>
      <w:szCs w:val="18"/>
    </w:rPr>
  </w:style>
  <w:style w:type="paragraph" w:styleId="33">
    <w:name w:val="Body Text 2"/>
    <w:basedOn w:val="1"/>
    <w:link w:val="88"/>
    <w:qFormat/>
    <w:uiPriority w:val="0"/>
    <w:pPr>
      <w:spacing w:after="120" w:line="480" w:lineRule="auto"/>
    </w:pPr>
  </w:style>
  <w:style w:type="paragraph" w:styleId="34">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5">
    <w:name w:val="annotation subject"/>
    <w:basedOn w:val="14"/>
    <w:next w:val="14"/>
    <w:link w:val="81"/>
    <w:qFormat/>
    <w:uiPriority w:val="0"/>
    <w:rPr>
      <w:b/>
      <w:bCs/>
    </w:rPr>
  </w:style>
  <w:style w:type="paragraph" w:styleId="36">
    <w:name w:val="Body Text First Indent"/>
    <w:basedOn w:val="15"/>
    <w:qFormat/>
    <w:uiPriority w:val="0"/>
    <w:pPr>
      <w:ind w:firstLine="420" w:firstLineChars="100"/>
    </w:pPr>
  </w:style>
  <w:style w:type="paragraph" w:styleId="37">
    <w:name w:val="Body Text First Indent 2"/>
    <w:basedOn w:val="16"/>
    <w:qFormat/>
    <w:uiPriority w:val="99"/>
    <w:pPr>
      <w:spacing w:after="120"/>
      <w:ind w:left="420" w:leftChars="200" w:firstLine="420" w:firstLineChars="200"/>
    </w:pPr>
  </w:style>
  <w:style w:type="table" w:styleId="39">
    <w:name w:val="Table Grid"/>
    <w:basedOn w:val="38"/>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b/>
      <w:bCs/>
    </w:rPr>
  </w:style>
  <w:style w:type="character" w:styleId="42">
    <w:name w:val="page number"/>
    <w:basedOn w:val="40"/>
    <w:qFormat/>
    <w:uiPriority w:val="0"/>
  </w:style>
  <w:style w:type="character" w:styleId="43">
    <w:name w:val="Emphasis"/>
    <w:qFormat/>
    <w:uiPriority w:val="0"/>
    <w:rPr>
      <w:color w:val="CC0000"/>
    </w:rPr>
  </w:style>
  <w:style w:type="character" w:styleId="44">
    <w:name w:val="Hyperlink"/>
    <w:basedOn w:val="40"/>
    <w:qFormat/>
    <w:uiPriority w:val="99"/>
    <w:rPr>
      <w:color w:val="454545"/>
      <w:sz w:val="19"/>
      <w:szCs w:val="19"/>
      <w:u w:val="none"/>
    </w:rPr>
  </w:style>
  <w:style w:type="character" w:styleId="45">
    <w:name w:val="annotation reference"/>
    <w:qFormat/>
    <w:uiPriority w:val="0"/>
    <w:rPr>
      <w:sz w:val="21"/>
      <w:szCs w:val="21"/>
    </w:rPr>
  </w:style>
  <w:style w:type="paragraph" w:customStyle="1" w:styleId="46">
    <w:name w:val="引言二级条标题"/>
    <w:basedOn w:val="47"/>
    <w:next w:val="48"/>
    <w:qFormat/>
    <w:uiPriority w:val="0"/>
    <w:pPr>
      <w:numPr>
        <w:ilvl w:val="1"/>
        <w:numId w:val="1"/>
      </w:numPr>
      <w:tabs>
        <w:tab w:val="left" w:pos="360"/>
      </w:tabs>
    </w:pPr>
  </w:style>
  <w:style w:type="paragraph" w:customStyle="1" w:styleId="47">
    <w:name w:val="引言一级条标题"/>
    <w:basedOn w:val="1"/>
    <w:next w:val="48"/>
    <w:qFormat/>
    <w:uiPriority w:val="0"/>
    <w:pPr>
      <w:widowControl/>
      <w:numPr>
        <w:ilvl w:val="0"/>
        <w:numId w:val="2"/>
      </w:numPr>
    </w:pPr>
    <w:rPr>
      <w:rFonts w:eastAsia="黑体"/>
      <w:b/>
    </w:rPr>
  </w:style>
  <w:style w:type="paragraph" w:customStyle="1" w:styleId="48">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9">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5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51">
    <w:name w:val="p15"/>
    <w:basedOn w:val="1"/>
    <w:qFormat/>
    <w:uiPriority w:val="0"/>
    <w:pPr>
      <w:widowControl/>
    </w:pPr>
    <w:rPr>
      <w:kern w:val="0"/>
      <w:szCs w:val="21"/>
    </w:rPr>
  </w:style>
  <w:style w:type="paragraph" w:customStyle="1" w:styleId="52">
    <w:name w:val="默认段落字体 Para Char Char Char Char Char Char Char Char Char1 Char Char Char Char Char Char Char Char"/>
    <w:basedOn w:val="13"/>
    <w:qFormat/>
    <w:uiPriority w:val="0"/>
    <w:pPr>
      <w:shd w:val="clear" w:color="auto" w:fill="000080"/>
    </w:pPr>
    <w:rPr>
      <w:rFonts w:hint="eastAsia" w:hAnsi="宋体"/>
      <w:kern w:val="0"/>
      <w:sz w:val="24"/>
      <w:szCs w:val="24"/>
    </w:rPr>
  </w:style>
  <w:style w:type="paragraph" w:customStyle="1" w:styleId="53">
    <w:name w:val="样式 正文缩进 + 首行缩进:  2 字符"/>
    <w:basedOn w:val="4"/>
    <w:link w:val="97"/>
    <w:qFormat/>
    <w:uiPriority w:val="0"/>
    <w:pPr>
      <w:spacing w:line="360" w:lineRule="auto"/>
      <w:ind w:firstLine="200"/>
    </w:pPr>
    <w:rPr>
      <w:rFonts w:cs="宋体"/>
      <w:sz w:val="24"/>
      <w:szCs w:val="20"/>
    </w:rPr>
  </w:style>
  <w:style w:type="paragraph" w:styleId="54">
    <w:name w:val="List Paragraph"/>
    <w:basedOn w:val="1"/>
    <w:qFormat/>
    <w:uiPriority w:val="0"/>
    <w:pPr>
      <w:ind w:firstLine="420" w:firstLineChars="200"/>
    </w:pPr>
    <w:rPr>
      <w:rFonts w:ascii="Calibri" w:hAnsi="Calibri"/>
      <w:szCs w:val="22"/>
    </w:rPr>
  </w:style>
  <w:style w:type="paragraph" w:customStyle="1" w:styleId="55">
    <w:name w:val="正文格式"/>
    <w:basedOn w:val="1"/>
    <w:link w:val="101"/>
    <w:qFormat/>
    <w:uiPriority w:val="0"/>
    <w:pPr>
      <w:widowControl/>
      <w:ind w:firstLine="560" w:firstLineChars="200"/>
      <w:jc w:val="left"/>
    </w:pPr>
    <w:rPr>
      <w:rFonts w:ascii="仿宋" w:hAnsi="仿宋" w:eastAsia="仿宋"/>
      <w:sz w:val="28"/>
      <w:szCs w:val="32"/>
    </w:rPr>
  </w:style>
  <w:style w:type="paragraph" w:customStyle="1" w:styleId="56">
    <w:name w:val="Char2"/>
    <w:basedOn w:val="1"/>
    <w:qFormat/>
    <w:uiPriority w:val="0"/>
    <w:pPr>
      <w:tabs>
        <w:tab w:val="left" w:pos="425"/>
      </w:tabs>
      <w:ind w:left="425" w:hanging="425"/>
    </w:pPr>
  </w:style>
  <w:style w:type="paragraph" w:customStyle="1" w:styleId="57">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9">
    <w:name w:val="List Paragraph1"/>
    <w:basedOn w:val="1"/>
    <w:qFormat/>
    <w:uiPriority w:val="34"/>
    <w:pPr>
      <w:ind w:firstLine="420" w:firstLineChars="200"/>
    </w:pPr>
    <w:rPr>
      <w:rFonts w:ascii="Calibri" w:hAnsi="Calibri"/>
    </w:rPr>
  </w:style>
  <w:style w:type="paragraph" w:customStyle="1" w:styleId="60">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6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3">
    <w:name w:val="批注框文本1"/>
    <w:basedOn w:val="1"/>
    <w:link w:val="90"/>
    <w:qFormat/>
    <w:uiPriority w:val="0"/>
    <w:rPr>
      <w:kern w:val="0"/>
      <w:sz w:val="18"/>
      <w:szCs w:val="20"/>
    </w:rPr>
  </w:style>
  <w:style w:type="paragraph" w:customStyle="1" w:styleId="64">
    <w:name w:val="正文1"/>
    <w:basedOn w:val="1"/>
    <w:qFormat/>
    <w:uiPriority w:val="0"/>
    <w:pPr>
      <w:spacing w:line="312" w:lineRule="exact"/>
    </w:pPr>
  </w:style>
  <w:style w:type="paragraph" w:customStyle="1" w:styleId="65">
    <w:name w:val="Absatz2AL"/>
    <w:basedOn w:val="15"/>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6">
    <w:name w:val="Char"/>
    <w:basedOn w:val="1"/>
    <w:link w:val="93"/>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7">
    <w:name w:val="p0"/>
    <w:basedOn w:val="1"/>
    <w:qFormat/>
    <w:uiPriority w:val="0"/>
    <w:pPr>
      <w:widowControl/>
      <w:snapToGrid w:val="0"/>
      <w:jc w:val="left"/>
    </w:pPr>
    <w:rPr>
      <w:rFonts w:ascii="宋体" w:hAnsi="宋体" w:cs="宋体"/>
      <w:kern w:val="0"/>
      <w:sz w:val="34"/>
      <w:szCs w:val="34"/>
    </w:rPr>
  </w:style>
  <w:style w:type="paragraph" w:customStyle="1" w:styleId="68">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70">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1">
    <w:name w:val="普通(网站)1"/>
    <w:basedOn w:val="1"/>
    <w:qFormat/>
    <w:uiPriority w:val="0"/>
    <w:pPr>
      <w:widowControl/>
      <w:spacing w:before="100" w:after="100"/>
      <w:jc w:val="left"/>
    </w:pPr>
    <w:rPr>
      <w:rFonts w:ascii="宋体" w:hAnsi="宋体"/>
      <w:sz w:val="24"/>
      <w:szCs w:val="20"/>
    </w:rPr>
  </w:style>
  <w:style w:type="paragraph" w:customStyle="1" w:styleId="72">
    <w:name w:val="_Style 68"/>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内容1"/>
    <w:basedOn w:val="1"/>
    <w:qFormat/>
    <w:uiPriority w:val="0"/>
    <w:pPr>
      <w:ind w:firstLine="480" w:firstLineChars="200"/>
    </w:pPr>
    <w:rPr>
      <w:rFonts w:ascii="宋体"/>
      <w:kern w:val="0"/>
    </w:rPr>
  </w:style>
  <w:style w:type="paragraph" w:customStyle="1" w:styleId="75">
    <w:name w:val="标书正文"/>
    <w:basedOn w:val="1"/>
    <w:qFormat/>
    <w:uiPriority w:val="0"/>
    <w:pPr>
      <w:snapToGrid w:val="0"/>
      <w:spacing w:line="360" w:lineRule="auto"/>
      <w:ind w:firstLine="200" w:firstLineChars="200"/>
    </w:pPr>
    <w:rPr>
      <w:sz w:val="24"/>
    </w:rPr>
  </w:style>
  <w:style w:type="paragraph" w:customStyle="1" w:styleId="76">
    <w:name w:val="表格"/>
    <w:basedOn w:val="1"/>
    <w:qFormat/>
    <w:uiPriority w:val="0"/>
    <w:pPr>
      <w:adjustRightInd w:val="0"/>
      <w:snapToGrid w:val="0"/>
      <w:jc w:val="center"/>
    </w:pPr>
    <w:rPr>
      <w:bCs/>
      <w:u w:color="FFFFFF"/>
    </w:rPr>
  </w:style>
  <w:style w:type="character" w:customStyle="1" w:styleId="77">
    <w:name w:val="正文文本缩进 字符"/>
    <w:link w:val="16"/>
    <w:qFormat/>
    <w:uiPriority w:val="0"/>
    <w:rPr>
      <w:rFonts w:ascii="华文中宋" w:hAnsi="华文中宋" w:eastAsia="华文中宋"/>
      <w:color w:val="FF6600"/>
      <w:kern w:val="2"/>
      <w:sz w:val="24"/>
      <w:szCs w:val="24"/>
    </w:rPr>
  </w:style>
  <w:style w:type="character" w:customStyle="1" w:styleId="78">
    <w:name w:val="news1_title"/>
    <w:basedOn w:val="40"/>
    <w:qFormat/>
    <w:uiPriority w:val="0"/>
  </w:style>
  <w:style w:type="character" w:customStyle="1" w:styleId="79">
    <w:name w:val="页脚 字符"/>
    <w:link w:val="24"/>
    <w:qFormat/>
    <w:uiPriority w:val="99"/>
    <w:rPr>
      <w:rFonts w:eastAsia="宋体"/>
      <w:kern w:val="2"/>
      <w:sz w:val="18"/>
      <w:szCs w:val="18"/>
      <w:lang w:val="en-US" w:eastAsia="zh-CN" w:bidi="ar-SA"/>
    </w:rPr>
  </w:style>
  <w:style w:type="character" w:customStyle="1" w:styleId="80">
    <w:name w:val="标题 4 字符"/>
    <w:link w:val="6"/>
    <w:qFormat/>
    <w:uiPriority w:val="0"/>
    <w:rPr>
      <w:rFonts w:ascii="Arial" w:hAnsi="Arial" w:eastAsia="黑体"/>
      <w:b/>
      <w:kern w:val="2"/>
      <w:sz w:val="28"/>
      <w:lang w:val="en-US" w:eastAsia="zh-CN" w:bidi="ar-SA"/>
    </w:rPr>
  </w:style>
  <w:style w:type="character" w:customStyle="1" w:styleId="81">
    <w:name w:val="批注主题 字符"/>
    <w:link w:val="35"/>
    <w:qFormat/>
    <w:uiPriority w:val="0"/>
    <w:rPr>
      <w:b/>
      <w:bCs/>
      <w:kern w:val="2"/>
      <w:sz w:val="21"/>
      <w:szCs w:val="24"/>
    </w:rPr>
  </w:style>
  <w:style w:type="character" w:customStyle="1" w:styleId="82">
    <w:name w:val="标题 3 字符"/>
    <w:link w:val="5"/>
    <w:qFormat/>
    <w:uiPriority w:val="0"/>
    <w:rPr>
      <w:rFonts w:eastAsia="宋体"/>
      <w:b/>
      <w:sz w:val="21"/>
      <w:lang w:val="en-US" w:eastAsia="zh-CN" w:bidi="ar-SA"/>
    </w:rPr>
  </w:style>
  <w:style w:type="character" w:customStyle="1" w:styleId="83">
    <w:name w:val="日期 字符"/>
    <w:link w:val="21"/>
    <w:qFormat/>
    <w:uiPriority w:val="0"/>
    <w:rPr>
      <w:rFonts w:eastAsia="宋体"/>
      <w:kern w:val="2"/>
      <w:sz w:val="24"/>
      <w:lang w:val="en-US" w:eastAsia="zh-CN" w:bidi="ar-SA"/>
    </w:rPr>
  </w:style>
  <w:style w:type="character" w:customStyle="1" w:styleId="84">
    <w:name w:val="标题 5 字符"/>
    <w:link w:val="7"/>
    <w:qFormat/>
    <w:locked/>
    <w:uiPriority w:val="0"/>
    <w:rPr>
      <w:b/>
      <w:kern w:val="2"/>
      <w:sz w:val="28"/>
    </w:rPr>
  </w:style>
  <w:style w:type="character" w:customStyle="1" w:styleId="85">
    <w:name w:val="批注文字 字符"/>
    <w:link w:val="14"/>
    <w:qFormat/>
    <w:uiPriority w:val="0"/>
    <w:rPr>
      <w:kern w:val="2"/>
      <w:sz w:val="21"/>
      <w:szCs w:val="24"/>
    </w:rPr>
  </w:style>
  <w:style w:type="character" w:customStyle="1" w:styleId="86">
    <w:name w:val="标题 2 字符"/>
    <w:link w:val="3"/>
    <w:qFormat/>
    <w:uiPriority w:val="0"/>
    <w:rPr>
      <w:rFonts w:ascii="Arial" w:hAnsi="Arial" w:eastAsia="黑体"/>
      <w:b/>
      <w:sz w:val="30"/>
      <w:lang w:val="en-US" w:eastAsia="zh-CN" w:bidi="ar-SA"/>
    </w:rPr>
  </w:style>
  <w:style w:type="character" w:customStyle="1" w:styleId="87">
    <w:name w:val="纯文本 Char1"/>
    <w:qFormat/>
    <w:locked/>
    <w:uiPriority w:val="0"/>
    <w:rPr>
      <w:rFonts w:ascii="宋体" w:hAnsi="Courier New"/>
      <w:kern w:val="2"/>
      <w:sz w:val="21"/>
    </w:rPr>
  </w:style>
  <w:style w:type="character" w:customStyle="1" w:styleId="88">
    <w:name w:val="正文文本 2 字符"/>
    <w:link w:val="33"/>
    <w:qFormat/>
    <w:uiPriority w:val="0"/>
    <w:rPr>
      <w:rFonts w:eastAsia="宋体"/>
      <w:kern w:val="2"/>
      <w:sz w:val="21"/>
      <w:szCs w:val="24"/>
      <w:lang w:val="en-US" w:eastAsia="zh-CN" w:bidi="ar-SA"/>
    </w:rPr>
  </w:style>
  <w:style w:type="character" w:customStyle="1" w:styleId="89">
    <w:name w:val="文档结构图 字符"/>
    <w:link w:val="13"/>
    <w:qFormat/>
    <w:uiPriority w:val="0"/>
    <w:rPr>
      <w:rFonts w:ascii="宋体"/>
      <w:kern w:val="2"/>
      <w:sz w:val="18"/>
      <w:szCs w:val="18"/>
    </w:rPr>
  </w:style>
  <w:style w:type="character" w:customStyle="1" w:styleId="90">
    <w:name w:val="Balloon Text Char Char"/>
    <w:link w:val="63"/>
    <w:qFormat/>
    <w:uiPriority w:val="0"/>
    <w:rPr>
      <w:rFonts w:eastAsia="宋体"/>
      <w:sz w:val="18"/>
      <w:lang w:bidi="ar-SA"/>
    </w:rPr>
  </w:style>
  <w:style w:type="character" w:customStyle="1" w:styleId="91">
    <w:name w:val="标题 1 字符"/>
    <w:link w:val="2"/>
    <w:qFormat/>
    <w:uiPriority w:val="0"/>
    <w:rPr>
      <w:rFonts w:eastAsia="宋体"/>
      <w:b/>
      <w:bCs/>
      <w:kern w:val="44"/>
      <w:sz w:val="44"/>
      <w:szCs w:val="44"/>
      <w:lang w:val="en-US" w:eastAsia="zh-CN" w:bidi="ar-SA"/>
    </w:rPr>
  </w:style>
  <w:style w:type="character" w:customStyle="1" w:styleId="92">
    <w:name w:val="正文缩进 字符"/>
    <w:link w:val="4"/>
    <w:qFormat/>
    <w:uiPriority w:val="0"/>
    <w:rPr>
      <w:kern w:val="2"/>
      <w:sz w:val="21"/>
      <w:szCs w:val="24"/>
    </w:rPr>
  </w:style>
  <w:style w:type="character" w:customStyle="1" w:styleId="93">
    <w:name w:val="Char Char Char"/>
    <w:link w:val="66"/>
    <w:qFormat/>
    <w:locked/>
    <w:uiPriority w:val="0"/>
    <w:rPr>
      <w:rFonts w:ascii="Verdana" w:hAnsi="Verdana" w:eastAsia="仿宋_GB2312"/>
      <w:sz w:val="24"/>
      <w:lang w:val="en-US" w:eastAsia="en-US" w:bidi="ar-SA"/>
    </w:rPr>
  </w:style>
  <w:style w:type="character" w:customStyle="1" w:styleId="94">
    <w:name w:val="Footer-Even Char Char"/>
    <w:qFormat/>
    <w:uiPriority w:val="0"/>
    <w:rPr>
      <w:kern w:val="2"/>
      <w:sz w:val="18"/>
      <w:szCs w:val="18"/>
    </w:rPr>
  </w:style>
  <w:style w:type="character" w:customStyle="1" w:styleId="95">
    <w:name w:val="ca-21"/>
    <w:qFormat/>
    <w:uiPriority w:val="0"/>
    <w:rPr>
      <w:rFonts w:hint="eastAsia" w:ascii="宋体-18030" w:hAnsi="宋体-18030" w:eastAsia="宋体-18030" w:cs="宋体-18030"/>
      <w:sz w:val="24"/>
      <w:szCs w:val="24"/>
    </w:rPr>
  </w:style>
  <w:style w:type="character" w:customStyle="1" w:styleId="96">
    <w:name w:val="正文文本缩进 3 字符"/>
    <w:link w:val="30"/>
    <w:qFormat/>
    <w:uiPriority w:val="0"/>
    <w:rPr>
      <w:rFonts w:eastAsia="仿宋_GB2312"/>
      <w:kern w:val="2"/>
      <w:sz w:val="16"/>
      <w:szCs w:val="16"/>
      <w:lang w:val="en-US" w:eastAsia="zh-CN" w:bidi="ar-SA"/>
    </w:rPr>
  </w:style>
  <w:style w:type="character" w:customStyle="1" w:styleId="97">
    <w:name w:val="样式 正文缩进 + 首行缩进:  2 字符 Char Char"/>
    <w:link w:val="53"/>
    <w:qFormat/>
    <w:uiPriority w:val="0"/>
    <w:rPr>
      <w:rFonts w:eastAsia="宋体" w:cs="宋体"/>
      <w:kern w:val="2"/>
      <w:sz w:val="24"/>
      <w:lang w:val="en-US" w:eastAsia="zh-CN" w:bidi="ar-SA"/>
    </w:rPr>
  </w:style>
  <w:style w:type="character" w:customStyle="1" w:styleId="98">
    <w:name w:val="ca-11"/>
    <w:qFormat/>
    <w:uiPriority w:val="0"/>
    <w:rPr>
      <w:rFonts w:hint="eastAsia" w:ascii="宋体" w:hAnsi="宋体" w:eastAsia="宋体"/>
      <w:sz w:val="24"/>
      <w:szCs w:val="24"/>
    </w:rPr>
  </w:style>
  <w:style w:type="character" w:customStyle="1" w:styleId="99">
    <w:name w:val="ca-1"/>
    <w:qFormat/>
    <w:uiPriority w:val="0"/>
    <w:rPr>
      <w:rFonts w:cs="Times New Roman"/>
    </w:rPr>
  </w:style>
  <w:style w:type="character" w:customStyle="1" w:styleId="100">
    <w:name w:val="纯文本 字符"/>
    <w:link w:val="19"/>
    <w:qFormat/>
    <w:uiPriority w:val="0"/>
    <w:rPr>
      <w:rFonts w:ascii="宋体" w:hAnsi="Courier New" w:eastAsia="宋体"/>
      <w:kern w:val="2"/>
      <w:sz w:val="21"/>
      <w:lang w:val="en-US" w:eastAsia="zh-CN" w:bidi="ar-SA"/>
    </w:rPr>
  </w:style>
  <w:style w:type="character" w:customStyle="1" w:styleId="101">
    <w:name w:val="正文格式 Char"/>
    <w:link w:val="55"/>
    <w:qFormat/>
    <w:uiPriority w:val="0"/>
    <w:rPr>
      <w:rFonts w:ascii="仿宋" w:hAnsi="仿宋" w:eastAsia="仿宋"/>
      <w:kern w:val="2"/>
      <w:sz w:val="28"/>
      <w:szCs w:val="32"/>
    </w:rPr>
  </w:style>
  <w:style w:type="character" w:customStyle="1" w:styleId="102">
    <w:name w:val="正文文本缩进 2 字符"/>
    <w:link w:val="22"/>
    <w:qFormat/>
    <w:uiPriority w:val="0"/>
    <w:rPr>
      <w:rFonts w:eastAsia="宋体"/>
      <w:kern w:val="2"/>
      <w:sz w:val="24"/>
      <w:szCs w:val="32"/>
      <w:lang w:val="en-US" w:eastAsia="zh-CN" w:bidi="ar-SA"/>
    </w:rPr>
  </w:style>
  <w:style w:type="character" w:customStyle="1" w:styleId="103">
    <w:name w:val="style81"/>
    <w:qFormat/>
    <w:uiPriority w:val="0"/>
    <w:rPr>
      <w:sz w:val="21"/>
      <w:szCs w:val="21"/>
    </w:rPr>
  </w:style>
  <w:style w:type="character" w:customStyle="1" w:styleId="104">
    <w:name w:val="页眉 字符"/>
    <w:link w:val="26"/>
    <w:qFormat/>
    <w:uiPriority w:val="99"/>
    <w:rPr>
      <w:kern w:val="2"/>
      <w:sz w:val="18"/>
      <w:szCs w:val="18"/>
    </w:rPr>
  </w:style>
  <w:style w:type="character" w:customStyle="1" w:styleId="105">
    <w:name w:val="批注框文本 字符"/>
    <w:link w:val="23"/>
    <w:qFormat/>
    <w:uiPriority w:val="0"/>
    <w:rPr>
      <w:rFonts w:eastAsia="宋体"/>
      <w:kern w:val="2"/>
      <w:sz w:val="18"/>
      <w:szCs w:val="18"/>
      <w:lang w:val="en-US" w:eastAsia="zh-CN" w:bidi="ar-SA"/>
    </w:rPr>
  </w:style>
  <w:style w:type="character" w:customStyle="1" w:styleId="106">
    <w:name w:val="left"/>
    <w:basedOn w:val="40"/>
    <w:qFormat/>
    <w:uiPriority w:val="0"/>
  </w:style>
  <w:style w:type="character" w:customStyle="1" w:styleId="107">
    <w:name w:val="pubdate-day"/>
    <w:basedOn w:val="40"/>
    <w:qFormat/>
    <w:uiPriority w:val="0"/>
    <w:rPr>
      <w:shd w:val="clear" w:color="auto" w:fill="F2F2F2"/>
    </w:rPr>
  </w:style>
  <w:style w:type="character" w:customStyle="1" w:styleId="108">
    <w:name w:val="item-name6"/>
    <w:basedOn w:val="40"/>
    <w:qFormat/>
    <w:uiPriority w:val="0"/>
  </w:style>
  <w:style w:type="character" w:customStyle="1" w:styleId="109">
    <w:name w:val="item-name7"/>
    <w:basedOn w:val="40"/>
    <w:qFormat/>
    <w:uiPriority w:val="0"/>
  </w:style>
  <w:style w:type="character" w:customStyle="1" w:styleId="110">
    <w:name w:val="pubdate-month"/>
    <w:basedOn w:val="40"/>
    <w:qFormat/>
    <w:uiPriority w:val="0"/>
    <w:rPr>
      <w:color w:val="FFFFFF"/>
      <w:sz w:val="24"/>
      <w:szCs w:val="24"/>
      <w:shd w:val="clear" w:color="auto" w:fill="CC0000"/>
    </w:rPr>
  </w:style>
  <w:style w:type="character" w:customStyle="1" w:styleId="111">
    <w:name w:val="right"/>
    <w:basedOn w:val="40"/>
    <w:qFormat/>
    <w:uiPriority w:val="0"/>
  </w:style>
  <w:style w:type="character" w:customStyle="1" w:styleId="112">
    <w:name w:val="news1_meta"/>
    <w:basedOn w:val="40"/>
    <w:qFormat/>
    <w:uiPriority w:val="0"/>
  </w:style>
  <w:style w:type="paragraph" w:customStyle="1" w:styleId="113">
    <w:name w:val="样式 首行缩进:  0 字符"/>
    <w:basedOn w:val="1"/>
    <w:qFormat/>
    <w:uiPriority w:val="0"/>
    <w:pPr>
      <w:spacing w:line="360" w:lineRule="auto"/>
      <w:ind w:firstLine="200" w:firstLineChars="200"/>
    </w:pPr>
    <w:rPr>
      <w:rFonts w:ascii="Arial" w:hAnsi="Arial" w:cs="宋体"/>
      <w:sz w:val="24"/>
    </w:rPr>
  </w:style>
  <w:style w:type="character" w:customStyle="1" w:styleId="114">
    <w:name w:val="NormalCharacter"/>
    <w:semiHidden/>
    <w:qFormat/>
    <w:uiPriority w:val="0"/>
  </w:style>
  <w:style w:type="character" w:customStyle="1" w:styleId="115">
    <w:name w:val="font31"/>
    <w:basedOn w:val="40"/>
    <w:qFormat/>
    <w:uiPriority w:val="0"/>
    <w:rPr>
      <w:rFonts w:hint="eastAsia" w:ascii="微软雅黑" w:hAnsi="微软雅黑" w:eastAsia="微软雅黑" w:cs="微软雅黑"/>
      <w:color w:val="000000"/>
      <w:sz w:val="16"/>
      <w:szCs w:val="16"/>
      <w:u w:val="none"/>
    </w:rPr>
  </w:style>
  <w:style w:type="character" w:customStyle="1" w:styleId="116">
    <w:name w:val="font01"/>
    <w:basedOn w:val="40"/>
    <w:qFormat/>
    <w:uiPriority w:val="0"/>
    <w:rPr>
      <w:rFonts w:hint="eastAsia" w:ascii="宋体" w:hAnsi="宋体" w:eastAsia="宋体" w:cs="宋体"/>
      <w:color w:val="000000"/>
      <w:sz w:val="16"/>
      <w:szCs w:val="16"/>
      <w:u w:val="none"/>
    </w:rPr>
  </w:style>
  <w:style w:type="character" w:customStyle="1" w:styleId="117">
    <w:name w:val="font11"/>
    <w:basedOn w:val="40"/>
    <w:qFormat/>
    <w:uiPriority w:val="0"/>
    <w:rPr>
      <w:rFonts w:hint="default" w:ascii="Calibri" w:hAnsi="Calibri" w:cs="Calibri"/>
      <w:color w:val="000000"/>
      <w:sz w:val="16"/>
      <w:szCs w:val="16"/>
      <w:u w:val="none"/>
    </w:rPr>
  </w:style>
  <w:style w:type="character" w:customStyle="1" w:styleId="118">
    <w:name w:val="font21"/>
    <w:basedOn w:val="40"/>
    <w:qFormat/>
    <w:uiPriority w:val="0"/>
    <w:rPr>
      <w:rFonts w:hint="default" w:ascii="Calibri" w:hAnsi="Calibri" w:cs="Calibri"/>
      <w:color w:val="000000"/>
      <w:sz w:val="16"/>
      <w:szCs w:val="16"/>
      <w:u w:val="none"/>
    </w:rPr>
  </w:style>
  <w:style w:type="paragraph" w:customStyle="1" w:styleId="119">
    <w:name w:val="列表段落1"/>
    <w:basedOn w:val="1"/>
    <w:qFormat/>
    <w:uiPriority w:val="34"/>
    <w:pPr>
      <w:ind w:firstLine="420" w:firstLineChars="200"/>
    </w:pPr>
    <w:rPr>
      <w:rFonts w:ascii="宋体"/>
      <w:kern w:val="0"/>
      <w:sz w:val="34"/>
      <w:szCs w:val="20"/>
    </w:rPr>
  </w:style>
  <w:style w:type="character" w:customStyle="1" w:styleId="120">
    <w:name w:val="fontstyle01"/>
    <w:qFormat/>
    <w:uiPriority w:val="0"/>
    <w:rPr>
      <w:rFonts w:hint="eastAsia" w:ascii="宋体" w:hAnsi="宋体" w:eastAsia="宋体" w:cs="宋体"/>
      <w:color w:val="333333"/>
      <w:sz w:val="44"/>
      <w:szCs w:val="44"/>
    </w:rPr>
  </w:style>
  <w:style w:type="character" w:customStyle="1" w:styleId="121">
    <w:name w:val="font51"/>
    <w:basedOn w:val="40"/>
    <w:qFormat/>
    <w:uiPriority w:val="0"/>
    <w:rPr>
      <w:rFonts w:hint="eastAsia" w:ascii="宋体" w:hAnsi="宋体" w:eastAsia="宋体" w:cs="宋体"/>
      <w:b/>
      <w:bCs/>
      <w:color w:val="FF0000"/>
      <w:sz w:val="16"/>
      <w:szCs w:val="16"/>
      <w:u w:val="none"/>
    </w:rPr>
  </w:style>
  <w:style w:type="character" w:customStyle="1" w:styleId="122">
    <w:name w:val="font61"/>
    <w:basedOn w:val="40"/>
    <w:qFormat/>
    <w:uiPriority w:val="0"/>
    <w:rPr>
      <w:rFonts w:hint="eastAsia" w:ascii="宋体" w:hAnsi="宋体" w:eastAsia="宋体" w:cs="宋体"/>
      <w:color w:val="FF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31</Pages>
  <Words>18762</Words>
  <Characters>19673</Characters>
  <Lines>137</Lines>
  <Paragraphs>38</Paragraphs>
  <TotalTime>22</TotalTime>
  <ScaleCrop>false</ScaleCrop>
  <LinksUpToDate>false</LinksUpToDate>
  <CharactersWithSpaces>20919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2021-11-23T15:51:00Z</dcterms:created>
  <dc:creator>zz</dc:creator>
  <cp:lastModifiedBy>口天马尧</cp:lastModifiedBy>
  <cp:lastPrinted>2019-07-19T04:31:00Z</cp:lastPrinted>
  <dcterms:modified xsi:type="dcterms:W3CDTF">2023-07-06T07:33:19Z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8A9B3B72DB9249BD880D655ACCAFEBFA_13</vt:lpwstr>
  </property>
</Properties>
</file>