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兰州职业技术学院纪检监察谈话室建设项目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9"/>
        <w:rPr>
          <w:rFonts w:hint="eastAsia" w:ascii="仿宋" w:hAnsi="仿宋" w:eastAsia="仿宋" w:cs="仿宋"/>
          <w:color w:val="auto"/>
          <w:szCs w:val="21"/>
        </w:rPr>
      </w:pPr>
    </w:p>
    <w:p>
      <w:pPr>
        <w:pStyle w:val="9"/>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磋商文件编号:LZCS—202000</w:t>
      </w:r>
      <w:r>
        <w:rPr>
          <w:rFonts w:hint="eastAsia" w:ascii="仿宋" w:hAnsi="仿宋" w:eastAsia="仿宋" w:cs="仿宋"/>
          <w:b/>
          <w:color w:val="auto"/>
          <w:sz w:val="36"/>
          <w:szCs w:val="36"/>
          <w:lang w:val="en-US" w:eastAsia="zh-CN"/>
        </w:rPr>
        <w:t>7</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9"/>
        <w:ind w:firstLine="640"/>
        <w:rPr>
          <w:rFonts w:hint="eastAsia" w:ascii="仿宋" w:hAnsi="仿宋" w:eastAsia="仿宋" w:cs="仿宋"/>
          <w:color w:val="auto"/>
          <w:sz w:val="32"/>
          <w:szCs w:val="32"/>
        </w:rPr>
      </w:pPr>
    </w:p>
    <w:p>
      <w:pPr>
        <w:pStyle w:val="9"/>
        <w:ind w:firstLine="640"/>
        <w:rPr>
          <w:rFonts w:hint="eastAsia" w:ascii="仿宋" w:hAnsi="仿宋" w:eastAsia="仿宋" w:cs="仿宋"/>
          <w:color w:val="auto"/>
          <w:sz w:val="32"/>
          <w:szCs w:val="32"/>
        </w:rPr>
      </w:pPr>
    </w:p>
    <w:p>
      <w:pPr>
        <w:pStyle w:val="9"/>
        <w:ind w:firstLine="640"/>
        <w:rPr>
          <w:rFonts w:hint="eastAsia" w:ascii="仿宋" w:hAnsi="仿宋" w:eastAsia="仿宋" w:cs="仿宋"/>
          <w:color w:val="auto"/>
          <w:sz w:val="32"/>
          <w:szCs w:val="32"/>
        </w:rPr>
      </w:pPr>
    </w:p>
    <w:p>
      <w:pPr>
        <w:pStyle w:val="9"/>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olor w:val="auto"/>
          <w:sz w:val="36"/>
          <w:szCs w:val="36"/>
          <w:lang w:val="en-US" w:eastAsia="zh-CN"/>
        </w:rPr>
        <w:t>2020年7</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竞争性磋商邀请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762"/>
      <w:bookmarkStart w:id="8" w:name="_Toc361769628"/>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宋体" w:hAnsi="宋体" w:cs="宋体"/>
          <w:b/>
          <w:bCs/>
          <w:color w:val="auto"/>
          <w:sz w:val="28"/>
          <w:szCs w:val="32"/>
          <w:lang w:eastAsia="zh-CN"/>
        </w:rPr>
        <w:t>兰州职业技术学院纪检监察谈话室建设项目公告</w:t>
      </w: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eastAsia="zh-CN"/>
        </w:rPr>
        <w:t>纪检监察谈话室建设</w:t>
      </w:r>
      <w:r>
        <w:rPr>
          <w:rFonts w:hint="eastAsia" w:ascii="宋体" w:hAnsi="宋体" w:cs="宋体"/>
          <w:color w:val="auto"/>
          <w:sz w:val="21"/>
          <w:szCs w:val="21"/>
        </w:rPr>
        <w:t>项目以竞争性磋商方式进行采购，欢迎符合资格条件的供应商前来参加。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磋商文件编号：LZCS—202000</w:t>
      </w:r>
      <w:r>
        <w:rPr>
          <w:rFonts w:hint="eastAsia" w:ascii="宋体" w:hAnsi="宋体" w:cs="宋体"/>
          <w:b/>
          <w:color w:val="auto"/>
          <w:sz w:val="21"/>
          <w:szCs w:val="21"/>
          <w:lang w:val="en-US" w:eastAsia="zh-CN"/>
        </w:rPr>
        <w:t>7</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r>
        <w:rPr>
          <w:rFonts w:hint="eastAsia" w:ascii="宋体" w:hAnsi="宋体" w:cs="宋体"/>
          <w:color w:val="auto"/>
          <w:sz w:val="21"/>
          <w:szCs w:val="21"/>
          <w:lang w:eastAsia="zh-CN"/>
        </w:rPr>
        <w:t>检监察谈话室建设</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eastAsia="zh-CN"/>
        </w:rPr>
        <w:t>1.供应商必须符合《中华人民共和国政府采购法》第二十二条要求；</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eastAsia="zh-CN"/>
        </w:rPr>
        <w:t>2.供应商应是在中华人民共和国境内注册取得营业执照的独立法人或其他组织，具有相应经营范围；</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营业执照副本（复印件）；</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4.</w:t>
      </w:r>
      <w:r>
        <w:rPr>
          <w:rFonts w:hint="eastAsia" w:ascii="宋体" w:hAnsi="宋体" w:cs="宋体"/>
          <w:color w:val="auto"/>
          <w:sz w:val="21"/>
          <w:szCs w:val="21"/>
          <w:lang w:eastAsia="zh-CN"/>
        </w:rPr>
        <w:t>法人代表身份证（正、反面复印件）；</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法人授权函（原件）及被授权人身份证（正、反面复印件）；</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6.</w:t>
      </w:r>
      <w:r>
        <w:rPr>
          <w:rFonts w:hint="eastAsia" w:ascii="宋体" w:hAnsi="宋体" w:cs="宋体"/>
          <w:color w:val="auto"/>
          <w:sz w:val="21"/>
          <w:szCs w:val="21"/>
          <w:lang w:eastAsia="zh-CN"/>
        </w:rPr>
        <w:t>2018年度以来最新的经权威机构审计的完整的财务报告（复印件）（不满一年的新公司不提供该报告）；</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7.</w:t>
      </w:r>
      <w:r>
        <w:rPr>
          <w:rFonts w:hint="eastAsia" w:ascii="宋体" w:hAnsi="宋体" w:cs="宋体"/>
          <w:color w:val="auto"/>
          <w:sz w:val="21"/>
          <w:szCs w:val="21"/>
          <w:lang w:eastAsia="zh-CN"/>
        </w:rPr>
        <w:t>提供本项目采购活动前三年内在经营活动中没有重大违法记录的书面声明(必须为公告发布之日至投标截止时间内出具的原件，原件装订于投标文件内)；</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8.</w:t>
      </w:r>
      <w:r>
        <w:rPr>
          <w:rFonts w:hint="eastAsia" w:ascii="宋体" w:hAnsi="宋体" w:cs="宋体"/>
          <w:color w:val="auto"/>
          <w:sz w:val="21"/>
          <w:szCs w:val="21"/>
          <w:lang w:eastAsia="zh-CN"/>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9.</w:t>
      </w:r>
      <w:r>
        <w:rPr>
          <w:rFonts w:hint="eastAsia" w:ascii="宋体" w:hAnsi="宋体" w:cs="宋体"/>
          <w:color w:val="auto"/>
          <w:sz w:val="21"/>
          <w:szCs w:val="21"/>
          <w:lang w:eastAsia="zh-CN"/>
        </w:rPr>
        <w:t>以上条款为所有询价项目必须提供的文件，其中证书必须在有效期内(三证合一的不提供第</w:t>
      </w:r>
      <w:r>
        <w:rPr>
          <w:rFonts w:hint="eastAsia" w:ascii="宋体" w:hAnsi="宋体" w:cs="宋体"/>
          <w:color w:val="auto"/>
          <w:sz w:val="21"/>
          <w:szCs w:val="21"/>
          <w:lang w:val="en-US" w:eastAsia="zh-CN"/>
        </w:rPr>
        <w:t>4</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hint="eastAsia" w:ascii="宋体" w:hAnsi="宋体" w:cs="宋体"/>
          <w:color w:val="auto"/>
          <w:sz w:val="21"/>
          <w:szCs w:val="21"/>
          <w:lang w:eastAsia="zh-CN"/>
        </w:rPr>
      </w:pPr>
      <w:r>
        <w:rPr>
          <w:rFonts w:hint="eastAsia" w:ascii="宋体" w:hAnsi="宋体" w:cs="宋体"/>
          <w:color w:val="auto"/>
          <w:sz w:val="21"/>
          <w:szCs w:val="21"/>
          <w:lang w:val="en-US" w:eastAsia="zh-CN"/>
        </w:rPr>
        <w:t>10.</w:t>
      </w:r>
      <w:r>
        <w:rPr>
          <w:rFonts w:hint="eastAsia" w:ascii="宋体" w:hAnsi="宋体" w:cs="宋体"/>
          <w:color w:val="auto"/>
          <w:sz w:val="21"/>
          <w:szCs w:val="21"/>
          <w:lang w:eastAsia="zh-CN"/>
        </w:rPr>
        <w:t>本项目不接受联合体竞价。</w:t>
      </w:r>
    </w:p>
    <w:p>
      <w:pPr>
        <w:ind w:firstLine="422" w:firstLineChars="200"/>
        <w:jc w:val="left"/>
        <w:rPr>
          <w:rFonts w:hint="eastAsia" w:ascii="宋体" w:hAnsi="宋体" w:cs="宋体"/>
          <w:b/>
          <w:bCs/>
          <w:color w:val="auto"/>
          <w:sz w:val="21"/>
          <w:szCs w:val="21"/>
          <w:lang w:eastAsia="zh-CN"/>
        </w:rPr>
      </w:pPr>
      <w:r>
        <w:rPr>
          <w:rFonts w:hint="eastAsia" w:ascii="宋体" w:hAnsi="宋体" w:cs="宋体"/>
          <w:b/>
          <w:bCs/>
          <w:color w:val="auto"/>
          <w:sz w:val="21"/>
          <w:szCs w:val="21"/>
          <w:lang w:eastAsia="zh-CN"/>
        </w:rPr>
        <w:t>四、项目需要落实的采购政策:</w:t>
      </w:r>
    </w:p>
    <w:p>
      <w:pPr>
        <w:pStyle w:val="9"/>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9"/>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hint="eastAsia" w:ascii="宋体" w:eastAsia="宋体" w:cs="宋体"/>
          <w:color w:val="auto"/>
          <w:sz w:val="21"/>
          <w:szCs w:val="21"/>
          <w:lang w:eastAsia="zh-CN"/>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w:t>
      </w:r>
      <w:r>
        <w:rPr>
          <w:rFonts w:hint="eastAsia" w:ascii="宋体" w:hAnsi="宋体" w:cs="宋体"/>
          <w:b/>
          <w:bCs/>
          <w:color w:val="auto"/>
          <w:sz w:val="21"/>
          <w:szCs w:val="21"/>
          <w:lang w:eastAsia="zh-CN"/>
        </w:rPr>
        <w:t>获取</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lang w:eastAsia="zh-CN"/>
        </w:rPr>
        <w:t>六</w:t>
      </w:r>
      <w:r>
        <w:rPr>
          <w:rFonts w:hint="eastAsia" w:ascii="宋体" w:hAnsi="宋体" w:cs="宋体"/>
          <w:b/>
          <w:bCs/>
          <w:color w:val="auto"/>
          <w:sz w:val="21"/>
          <w:szCs w:val="21"/>
        </w:rPr>
        <w:t>、</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pStyle w:val="2"/>
        <w:ind w:firstLine="422" w:firstLineChars="200"/>
        <w:rPr>
          <w:rFonts w:hint="default"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七、招标人定于 2020年7月24日上午9：00在兰州职业技术学院总校区西门（兰州市安宁区刘沙公路37号）组织踏勘现场和答疑会，投标人交通工具自备，食宿自理。投标人必须参加踏勘现场和答疑会，否则视为自动放弃投标</w:t>
      </w:r>
      <w:r>
        <w:rPr>
          <w:rFonts w:hint="eastAsia" w:ascii="宋体" w:hAnsi="宋体" w:cs="宋体"/>
          <w:b/>
          <w:bCs/>
          <w:color w:val="auto"/>
          <w:kern w:val="2"/>
          <w:sz w:val="21"/>
          <w:szCs w:val="21"/>
          <w:lang w:val="en-US" w:eastAsia="zh-CN" w:bidi="ar-SA"/>
        </w:rPr>
        <w:t>。（须携带法人或授权代理人身份证及相关证明材料）</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lang w:eastAsia="zh-CN"/>
        </w:rPr>
        <w:t>八</w:t>
      </w:r>
      <w:r>
        <w:rPr>
          <w:rFonts w:hint="eastAsia" w:ascii="宋体" w:hAnsi="宋体" w:cs="宋体"/>
          <w:b/>
          <w:bCs/>
          <w:color w:val="auto"/>
          <w:sz w:val="21"/>
          <w:szCs w:val="21"/>
        </w:rPr>
        <w:t>、联系方式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张老师</w:t>
      </w:r>
      <w:r>
        <w:rPr>
          <w:rFonts w:hint="eastAsia" w:ascii="宋体" w:hAnsi="宋体" w:cs="宋体"/>
          <w:color w:val="auto"/>
          <w:sz w:val="21"/>
          <w:szCs w:val="21"/>
          <w:lang w:val="en-US" w:eastAsia="zh-CN"/>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13669312287</w:t>
      </w: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763"/>
      <w:bookmarkStart w:id="11" w:name="_Toc361769629"/>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9"/>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764"/>
      <w:bookmarkStart w:id="14" w:name="_Toc361769630"/>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35"/>
        <w:rPr>
          <w:rFonts w:hint="eastAsia" w:ascii="仿宋" w:hAnsi="仿宋" w:eastAsia="仿宋" w:cs="仿宋"/>
          <w:b/>
          <w:bCs/>
          <w:color w:val="auto"/>
          <w:sz w:val="32"/>
          <w:szCs w:val="32"/>
        </w:rPr>
      </w:pPr>
    </w:p>
    <w:p>
      <w:pPr>
        <w:pStyle w:val="35"/>
        <w:rPr>
          <w:rFonts w:hint="eastAsia" w:ascii="仿宋" w:hAnsi="仿宋" w:eastAsia="仿宋" w:cs="仿宋"/>
          <w:b/>
          <w:bCs/>
          <w:color w:val="auto"/>
          <w:sz w:val="32"/>
          <w:szCs w:val="32"/>
        </w:rPr>
      </w:pPr>
    </w:p>
    <w:p>
      <w:pPr>
        <w:pStyle w:val="35"/>
        <w:rPr>
          <w:rFonts w:hint="eastAsia" w:ascii="仿宋" w:hAnsi="仿宋" w:eastAsia="仿宋" w:cs="仿宋"/>
          <w:b/>
          <w:bCs/>
          <w:color w:val="auto"/>
          <w:sz w:val="32"/>
          <w:szCs w:val="32"/>
        </w:rPr>
      </w:pPr>
    </w:p>
    <w:p>
      <w:pPr>
        <w:pStyle w:val="35"/>
        <w:rPr>
          <w:rFonts w:hint="eastAsia" w:ascii="仿宋" w:hAnsi="仿宋" w:eastAsia="仿宋" w:cs="仿宋"/>
          <w:b/>
          <w:bCs/>
          <w:color w:val="auto"/>
          <w:sz w:val="32"/>
          <w:szCs w:val="32"/>
        </w:rPr>
      </w:pPr>
    </w:p>
    <w:p>
      <w:pPr>
        <w:pStyle w:val="9"/>
        <w:ind w:left="0" w:leftChars="0" w:firstLine="0" w:firstLineChars="0"/>
        <w:rPr>
          <w:rFonts w:hint="eastAsia" w:ascii="仿宋" w:hAnsi="仿宋" w:eastAsia="仿宋" w:cs="仿宋"/>
          <w:b/>
          <w:bCs/>
          <w:color w:val="auto"/>
          <w:sz w:val="32"/>
          <w:szCs w:val="32"/>
        </w:rPr>
      </w:pPr>
    </w:p>
    <w:p>
      <w:pPr>
        <w:pStyle w:val="9"/>
        <w:ind w:left="0" w:leftChars="0" w:firstLine="0" w:firstLineChars="0"/>
        <w:rPr>
          <w:rFonts w:hint="eastAsia" w:ascii="仿宋" w:hAnsi="仿宋" w:eastAsia="仿宋" w:cs="仿宋"/>
          <w:b/>
          <w:bCs/>
          <w:color w:val="auto"/>
          <w:sz w:val="32"/>
          <w:szCs w:val="32"/>
        </w:rPr>
      </w:pPr>
    </w:p>
    <w:p>
      <w:pPr>
        <w:pStyle w:val="9"/>
        <w:ind w:left="0" w:leftChars="0" w:firstLine="0" w:firstLineChars="0"/>
        <w:rPr>
          <w:rFonts w:hint="eastAsia" w:ascii="仿宋" w:hAnsi="仿宋" w:eastAsia="仿宋" w:cs="仿宋"/>
          <w:b/>
          <w:bCs/>
          <w:color w:val="auto"/>
          <w:sz w:val="32"/>
          <w:szCs w:val="32"/>
        </w:rPr>
      </w:pPr>
    </w:p>
    <w:p>
      <w:pPr>
        <w:pStyle w:val="9"/>
        <w:ind w:left="0" w:leftChars="0" w:firstLine="0" w:firstLineChars="0"/>
        <w:rPr>
          <w:rFonts w:hint="eastAsia" w:ascii="仿宋" w:hAnsi="仿宋" w:eastAsia="仿宋" w:cs="仿宋"/>
          <w:b/>
          <w:bCs/>
          <w:color w:val="auto"/>
          <w:sz w:val="32"/>
          <w:szCs w:val="32"/>
        </w:rPr>
      </w:pPr>
    </w:p>
    <w:p>
      <w:pPr>
        <w:pStyle w:val="9"/>
        <w:ind w:left="0" w:leftChars="0" w:firstLine="0" w:firstLineChars="0"/>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7640"/>
      <w:bookmarkStart w:id="16" w:name="_Toc14913"/>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w:t>
            </w:r>
            <w:r>
              <w:rPr>
                <w:rFonts w:hint="eastAsia" w:hAnsi="宋体" w:cs="宋体"/>
                <w:bCs/>
                <w:color w:val="auto"/>
                <w:sz w:val="21"/>
                <w:szCs w:val="21"/>
                <w:lang w:eastAsia="zh-CN" w:bidi="ar"/>
              </w:rPr>
              <w:t>兰州职业技术学院</w:t>
            </w:r>
            <w:r>
              <w:rPr>
                <w:rFonts w:hint="eastAsia" w:ascii="宋体" w:hAnsi="宋体" w:cs="宋体"/>
                <w:color w:val="auto"/>
                <w:sz w:val="21"/>
                <w:szCs w:val="21"/>
                <w:lang w:eastAsia="zh-CN"/>
              </w:rPr>
              <w:t>纪检监察谈话室</w:t>
            </w:r>
            <w:r>
              <w:rPr>
                <w:rFonts w:hint="eastAsia" w:hAnsi="宋体" w:cs="宋体"/>
                <w:color w:val="auto"/>
                <w:sz w:val="21"/>
                <w:szCs w:val="21"/>
                <w:lang w:eastAsia="zh-CN"/>
              </w:rPr>
              <w:t>建设</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ascii="宋体" w:hAnsi="宋体" w:cs="宋体"/>
                <w:color w:val="auto"/>
                <w:sz w:val="21"/>
                <w:szCs w:val="21"/>
                <w:lang w:eastAsia="zh-CN"/>
              </w:rPr>
              <w:t>纪检监察谈话室</w:t>
            </w:r>
            <w:r>
              <w:rPr>
                <w:rFonts w:hint="eastAsia" w:hAnsi="宋体" w:cs="宋体"/>
                <w:color w:val="auto"/>
                <w:sz w:val="21"/>
                <w:szCs w:val="21"/>
                <w:lang w:eastAsia="zh-CN"/>
              </w:rPr>
              <w:t>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Cs/>
                <w:color w:val="auto"/>
                <w:sz w:val="21"/>
                <w:szCs w:val="21"/>
                <w:lang w:val="en-US" w:eastAsia="zh-CN" w:bidi="ar"/>
              </w:rPr>
              <w:t>2</w:t>
            </w:r>
            <w:r>
              <w:rPr>
                <w:rFonts w:hint="eastAsia" w:ascii="宋体" w:hAnsi="宋体" w:cs="宋体"/>
                <w:b/>
                <w:color w:val="auto"/>
                <w:sz w:val="21"/>
                <w:szCs w:val="21"/>
                <w:lang w:val="en-US" w:eastAsia="zh-CN"/>
              </w:rPr>
              <w:t>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suppressLineNumbers w:val="0"/>
              <w:spacing w:before="0" w:beforeAutospacing="0" w:after="0" w:afterAutospacing="0" w:line="360" w:lineRule="auto"/>
              <w:ind w:left="0" w:right="0" w:firstLine="413" w:firstLineChars="197"/>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1.供应商必须符合《中华人民共和国政府采购法》第二十二条要求；</w:t>
            </w:r>
          </w:p>
          <w:p>
            <w:pPr>
              <w:keepNext w:val="0"/>
              <w:keepLines w:val="0"/>
              <w:suppressLineNumbers w:val="0"/>
              <w:spacing w:before="0" w:beforeAutospacing="0" w:after="0" w:afterAutospacing="0" w:line="360" w:lineRule="auto"/>
              <w:ind w:left="0" w:right="0" w:firstLine="413" w:firstLineChars="197"/>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2.供应商应是在中华人民共和国境内注册取得营业执照的独立法人或其他组织，具有相应经营范围；</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3.营业执照副本（复印件）；</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4.法人代表身份证（正、反面复印件）；</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5.法人授权函（原件）及被授权人身份证（正、反面复印件）；</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6.2018年度以来最新的经权威机构审计的完整的财务报告（复印件）（不满一年的新公司不提供该报告）；</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7.提供本项目采购活动前三年内在经营活动中没有重大违法记录的书面声明(必须为公告发布之日至投标截止时间内出具的原件，原件装订于投标文件内)；</w:t>
            </w:r>
          </w:p>
          <w:p>
            <w:pPr>
              <w:keepNext w:val="0"/>
              <w:keepLines w:val="0"/>
              <w:numPr>
                <w:ilvl w:val="0"/>
                <w:numId w:val="0"/>
              </w:numPr>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kern w:val="2"/>
                <w:sz w:val="21"/>
                <w:szCs w:val="21"/>
                <w:lang w:val="en-US" w:eastAsia="zh-CN"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供应商于</w:t>
            </w:r>
            <w:r>
              <w:rPr>
                <w:rFonts w:hint="eastAsia" w:ascii="宋体" w:hAnsi="宋体" w:eastAsia="宋体" w:cs="宋体"/>
                <w:sz w:val="21"/>
                <w:szCs w:val="21"/>
                <w:lang w:val="en-US" w:eastAsia="zh-CN"/>
              </w:rPr>
              <w:t>2020</w:t>
            </w:r>
            <w:r>
              <w:rPr>
                <w:rFonts w:hint="eastAsia" w:ascii="宋体" w:hAnsi="宋体" w:eastAsia="宋体" w:cs="宋体"/>
                <w:sz w:val="21"/>
                <w:szCs w:val="21"/>
              </w:rPr>
              <w:t xml:space="preserve"> 年</w:t>
            </w:r>
            <w:r>
              <w:rPr>
                <w:rFonts w:hint="eastAsia" w:ascii="宋体" w:hAnsi="宋体" w:eastAsia="宋体" w:cs="宋体"/>
                <w:sz w:val="21"/>
                <w:szCs w:val="21"/>
                <w:lang w:val="en-US" w:eastAsia="zh-CN"/>
              </w:rPr>
              <w:t>0</w:t>
            </w:r>
            <w:r>
              <w:rPr>
                <w:rFonts w:hint="eastAsia" w:ascii="宋体" w:hAnsi="宋体" w:cs="宋体"/>
                <w:sz w:val="21"/>
                <w:szCs w:val="21"/>
                <w:lang w:val="en-US" w:eastAsia="zh-CN"/>
              </w:rPr>
              <w:t>7</w:t>
            </w:r>
            <w:r>
              <w:rPr>
                <w:rFonts w:hint="eastAsia" w:ascii="宋体" w:hAnsi="宋体" w:eastAsia="宋体" w:cs="宋体"/>
                <w:sz w:val="21"/>
                <w:szCs w:val="21"/>
              </w:rPr>
              <w:t>月</w:t>
            </w:r>
            <w:r>
              <w:rPr>
                <w:rFonts w:hint="eastAsia" w:ascii="宋体" w:hAnsi="宋体" w:cs="宋体"/>
                <w:sz w:val="21"/>
                <w:szCs w:val="21"/>
                <w:lang w:val="en-US" w:eastAsia="zh-CN"/>
              </w:rPr>
              <w:t>28</w:t>
            </w:r>
            <w:r>
              <w:rPr>
                <w:rFonts w:hint="eastAsia" w:ascii="宋体" w:hAnsi="宋体" w:eastAsia="宋体" w:cs="宋体"/>
                <w:sz w:val="21"/>
                <w:szCs w:val="21"/>
              </w:rPr>
              <w:t>日</w:t>
            </w:r>
            <w:r>
              <w:rPr>
                <w:rFonts w:hint="eastAsia" w:ascii="宋体" w:hAnsi="宋体" w:cs="宋体"/>
                <w:sz w:val="21"/>
                <w:szCs w:val="21"/>
                <w:lang w:val="en-US" w:eastAsia="zh-CN"/>
              </w:rPr>
              <w:t>17</w:t>
            </w:r>
            <w:r>
              <w:rPr>
                <w:rFonts w:hint="eastAsia" w:ascii="宋体" w:hAnsi="宋体" w:eastAsia="宋体" w:cs="宋体"/>
                <w:sz w:val="21"/>
                <w:szCs w:val="21"/>
              </w:rPr>
              <w:t>点00分之前将磋商文件有关问题以书面形式发至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hint="eastAsia" w:ascii="宋体" w:hAnsi="宋体" w:cs="宋体"/>
                <w:color w:val="auto"/>
                <w:sz w:val="21"/>
                <w:szCs w:val="21"/>
                <w:lang w:val="en-US" w:eastAsia="zh-CN"/>
              </w:rPr>
              <w:t>9:30</w:t>
            </w:r>
            <w:r>
              <w:rPr>
                <w:rFonts w:hint="eastAsia" w:ascii="宋体" w:hAnsi="宋体" w:cs="宋体"/>
                <w:color w:val="auto"/>
                <w:sz w:val="21"/>
                <w:szCs w:val="21"/>
              </w:rPr>
              <w:t>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765"/>
      <w:bookmarkStart w:id="18" w:name="_Toc361769631"/>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rPr>
          <w:rFonts w:hint="eastAsia" w:ascii="仿宋" w:hAnsi="仿宋" w:eastAsia="仿宋" w:cs="仿宋"/>
          <w:color w:val="auto"/>
        </w:rPr>
      </w:pPr>
    </w:p>
    <w:p>
      <w:pPr>
        <w:pStyle w:val="9"/>
        <w:ind w:left="0" w:leftChars="0" w:firstLine="0" w:firstLineChars="0"/>
        <w:rPr>
          <w:rFonts w:hint="eastAsia" w:ascii="仿宋" w:hAnsi="仿宋" w:eastAsia="仿宋" w:cs="仿宋"/>
          <w:color w:val="auto"/>
        </w:rPr>
      </w:pPr>
    </w:p>
    <w:p>
      <w:pPr>
        <w:pStyle w:val="9"/>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19997"/>
      <w:bookmarkStart w:id="20" w:name="_Toc23106"/>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磋商文件编号：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在规定的时间内，供应商可以修改其磋商响应文件的内容，但必须以书面形式通知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eastAsia="宋体" w:cs="宋体"/>
          <w:bCs/>
          <w:color w:val="auto"/>
          <w:sz w:val="21"/>
          <w:szCs w:val="21"/>
        </w:rPr>
        <w:t>磋商</w:t>
      </w:r>
      <w:r>
        <w:rPr>
          <w:rFonts w:hint="eastAsia" w:ascii="宋体" w:hAnsi="宋体" w:eastAsia="宋体" w:cs="宋体"/>
          <w:color w:val="auto"/>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eastAsia="宋体" w:cs="宋体"/>
          <w:b/>
          <w:bCs/>
          <w:color w:val="auto"/>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4.2.2磋商小组由采购人代表及有关技术、经济等方面的专家组成。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eastAsia="宋体" w:cs="宋体"/>
          <w:color w:val="auto"/>
          <w:kern w:val="0"/>
          <w:sz w:val="21"/>
          <w:szCs w:val="21"/>
        </w:rPr>
        <w:t>磋商小组所有成员应当集中与单一供应商分别进行磋商。</w:t>
      </w:r>
      <w:r>
        <w:rPr>
          <w:rFonts w:hint="eastAsia" w:ascii="宋体" w:hAnsi="宋体" w:eastAsia="宋体" w:cs="宋体"/>
          <w:color w:val="auto"/>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4.4.1磋商小组将审查磋商响应文件是否完整、资格证明文件是否齐全、合格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4.5磋商响应文件的澄清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4.5.1.</w:t>
      </w:r>
      <w:r>
        <w:rPr>
          <w:rFonts w:hint="eastAsia" w:ascii="宋体" w:hAnsi="宋体" w:eastAsia="宋体" w:cs="宋体"/>
          <w:sz w:val="21"/>
          <w:szCs w:val="21"/>
        </w:rPr>
        <w:t>供应商对</w:t>
      </w:r>
      <w:r>
        <w:rPr>
          <w:rFonts w:hint="eastAsia" w:ascii="宋体" w:hAnsi="宋体" w:eastAsia="宋体" w:cs="宋体"/>
          <w:sz w:val="21"/>
          <w:szCs w:val="21"/>
          <w:lang w:eastAsia="zh-CN"/>
        </w:rPr>
        <w:t>磋商</w:t>
      </w:r>
      <w:r>
        <w:rPr>
          <w:rFonts w:hint="eastAsia" w:ascii="宋体" w:hAnsi="宋体" w:eastAsia="宋体" w:cs="宋体"/>
          <w:sz w:val="21"/>
          <w:szCs w:val="21"/>
        </w:rPr>
        <w:t>文件的个别内容有异议时，允许在提交响应文件截止日期之前</w:t>
      </w:r>
      <w:r>
        <w:rPr>
          <w:rFonts w:hint="eastAsia" w:ascii="宋体" w:hAnsi="宋体" w:eastAsia="宋体" w:cs="宋体"/>
          <w:sz w:val="21"/>
          <w:szCs w:val="21"/>
          <w:lang w:val="en-US" w:eastAsia="zh-CN"/>
        </w:rPr>
        <w:t>2</w:t>
      </w:r>
      <w:r>
        <w:rPr>
          <w:rFonts w:hint="eastAsia" w:ascii="宋体" w:hAnsi="宋体" w:eastAsia="宋体" w:cs="宋体"/>
          <w:sz w:val="21"/>
          <w:szCs w:val="21"/>
        </w:rPr>
        <w:t>个工作日向采购人提出。未另作说明时，即视为供应商已经接受</w:t>
      </w:r>
      <w:r>
        <w:rPr>
          <w:rFonts w:hint="eastAsia" w:ascii="宋体" w:hAnsi="宋体" w:eastAsia="宋体" w:cs="宋体"/>
          <w:sz w:val="21"/>
          <w:szCs w:val="21"/>
          <w:lang w:eastAsia="zh-CN"/>
        </w:rPr>
        <w:t>磋商</w:t>
      </w:r>
      <w:r>
        <w:rPr>
          <w:rFonts w:hint="eastAsia" w:ascii="宋体" w:hAnsi="宋体" w:eastAsia="宋体" w:cs="宋体"/>
          <w:sz w:val="21"/>
          <w:szCs w:val="21"/>
        </w:rPr>
        <w:t>文件所有内容，一旦成交即成为双方签订的合同的组成部分。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2.</w:t>
      </w:r>
      <w:r>
        <w:rPr>
          <w:rFonts w:hint="eastAsia" w:ascii="宋体" w:hAnsi="宋体" w:eastAsia="宋体" w:cs="宋体"/>
          <w:sz w:val="21"/>
          <w:szCs w:val="21"/>
        </w:rPr>
        <w:t>供应商应尽早获取</w:t>
      </w:r>
      <w:r>
        <w:rPr>
          <w:rFonts w:hint="eastAsia" w:ascii="宋体" w:hAnsi="宋体" w:eastAsia="宋体" w:cs="宋体"/>
          <w:sz w:val="21"/>
          <w:szCs w:val="21"/>
          <w:lang w:eastAsia="zh-CN"/>
        </w:rPr>
        <w:t>磋商</w:t>
      </w:r>
      <w:r>
        <w:rPr>
          <w:rFonts w:hint="eastAsia" w:ascii="宋体" w:hAnsi="宋体" w:eastAsia="宋体" w:cs="宋体"/>
          <w:sz w:val="21"/>
          <w:szCs w:val="21"/>
        </w:rPr>
        <w:t>文件，若对</w:t>
      </w:r>
      <w:r>
        <w:rPr>
          <w:rFonts w:hint="eastAsia" w:ascii="宋体" w:hAnsi="宋体" w:eastAsia="宋体" w:cs="宋体"/>
          <w:sz w:val="21"/>
          <w:szCs w:val="21"/>
          <w:lang w:eastAsia="zh-CN"/>
        </w:rPr>
        <w:t>磋商</w:t>
      </w:r>
      <w:r>
        <w:rPr>
          <w:rFonts w:hint="eastAsia" w:ascii="宋体" w:hAnsi="宋体" w:eastAsia="宋体" w:cs="宋体"/>
          <w:sz w:val="21"/>
          <w:szCs w:val="21"/>
        </w:rPr>
        <w:t>文件有疑问需要澄清或质疑，须在开标前由澄清或质疑方的法定代表人或</w:t>
      </w:r>
      <w:r>
        <w:rPr>
          <w:rFonts w:hint="eastAsia" w:ascii="宋体" w:hAnsi="宋体" w:eastAsia="宋体" w:cs="宋体"/>
          <w:sz w:val="21"/>
          <w:szCs w:val="21"/>
          <w:lang w:eastAsia="zh-CN"/>
        </w:rPr>
        <w:t>磋商</w:t>
      </w:r>
      <w:r>
        <w:rPr>
          <w:rFonts w:hint="eastAsia" w:ascii="宋体" w:hAnsi="宋体" w:eastAsia="宋体" w:cs="宋体"/>
          <w:sz w:val="21"/>
          <w:szCs w:val="21"/>
        </w:rPr>
        <w:t>授权人（必须为法定代表人授权进行该项目</w:t>
      </w:r>
      <w:r>
        <w:rPr>
          <w:rFonts w:hint="eastAsia" w:ascii="宋体" w:hAnsi="宋体" w:eastAsia="宋体" w:cs="宋体"/>
          <w:sz w:val="21"/>
          <w:szCs w:val="21"/>
          <w:lang w:eastAsia="zh-CN"/>
        </w:rPr>
        <w:t>磋商</w:t>
      </w:r>
      <w:r>
        <w:rPr>
          <w:rFonts w:hint="eastAsia" w:ascii="宋体" w:hAnsi="宋体" w:eastAsia="宋体" w:cs="宋体"/>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eastAsia="宋体" w:cs="宋体"/>
          <w:sz w:val="21"/>
          <w:szCs w:val="21"/>
          <w:lang w:eastAsia="zh-CN"/>
        </w:rPr>
        <w:t>磋商</w:t>
      </w:r>
      <w:r>
        <w:rPr>
          <w:rFonts w:hint="eastAsia" w:ascii="宋体" w:hAnsi="宋体" w:eastAsia="宋体" w:cs="宋体"/>
          <w:sz w:val="21"/>
          <w:szCs w:val="21"/>
        </w:rPr>
        <w:t>授权人递交澄清或质疑函时，还须提供法人</w:t>
      </w:r>
      <w:r>
        <w:rPr>
          <w:rFonts w:hint="eastAsia" w:ascii="宋体" w:hAnsi="宋体" w:eastAsia="宋体" w:cs="宋体"/>
          <w:sz w:val="21"/>
          <w:szCs w:val="21"/>
          <w:lang w:eastAsia="zh-CN"/>
        </w:rPr>
        <w:t>磋商</w:t>
      </w:r>
      <w:r>
        <w:rPr>
          <w:rFonts w:hint="eastAsia" w:ascii="宋体" w:hAnsi="宋体" w:eastAsia="宋体" w:cs="宋体"/>
          <w:sz w:val="21"/>
          <w:szCs w:val="21"/>
        </w:rPr>
        <w:t>授权函和质疑授权函（均为原件）及</w:t>
      </w:r>
      <w:r>
        <w:rPr>
          <w:rFonts w:hint="eastAsia" w:ascii="宋体" w:hAnsi="宋体" w:eastAsia="宋体" w:cs="宋体"/>
          <w:sz w:val="21"/>
          <w:szCs w:val="21"/>
          <w:lang w:eastAsia="zh-CN"/>
        </w:rPr>
        <w:t>磋商</w:t>
      </w:r>
      <w:r>
        <w:rPr>
          <w:rFonts w:hint="eastAsia" w:ascii="宋体" w:hAnsi="宋体" w:eastAsia="宋体" w:cs="宋体"/>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3.</w:t>
      </w:r>
      <w:r>
        <w:rPr>
          <w:rFonts w:hint="eastAsia" w:ascii="宋体" w:hAnsi="宋体" w:eastAsia="宋体" w:cs="宋体"/>
          <w:sz w:val="21"/>
          <w:szCs w:val="21"/>
        </w:rPr>
        <w:t>需方在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响应性文件中对修改内容做实质性响应的，对其产生的不利因素由未确认者自行承担。同时需方可以酌情延长</w:t>
      </w:r>
      <w:r>
        <w:rPr>
          <w:rFonts w:hint="eastAsia" w:ascii="宋体" w:hAnsi="宋体" w:eastAsia="宋体" w:cs="宋体"/>
          <w:sz w:val="21"/>
          <w:szCs w:val="21"/>
          <w:lang w:eastAsia="zh-CN"/>
        </w:rPr>
        <w:t>质疑</w:t>
      </w:r>
      <w:r>
        <w:rPr>
          <w:rFonts w:hint="eastAsia" w:ascii="宋体" w:hAnsi="宋体" w:eastAsia="宋体" w:cs="宋体"/>
          <w:sz w:val="21"/>
          <w:szCs w:val="21"/>
        </w:rPr>
        <w:t>响应性文件递交截止时间。</w:t>
      </w:r>
      <w:bookmarkStart w:id="26" w:name="_Toc240772095"/>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4.对磋商过程和拟成交结果的质疑</w:t>
      </w:r>
      <w:bookmarkEnd w:id="26"/>
      <w:r>
        <w:rPr>
          <w:rFonts w:hint="eastAsia" w:ascii="宋体" w:hAnsi="宋体" w:eastAsia="宋体" w:cs="宋体"/>
          <w:sz w:val="21"/>
          <w:szCs w:val="21"/>
          <w:lang w:val="en-US" w:eastAsia="zh-CN"/>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6.澄清或质疑不予受理的情况</w:t>
      </w:r>
      <w:bookmarkEnd w:id="27"/>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有下列情形之一的，属于无效质疑，需方不予受理，由此产生的影响由投标人自行承担：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(1)不是参与该采购项目活动供应商的；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(2)被质疑人为采购人之外的；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(3)所有质疑事项超过质疑有效期的；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(4)以具有法律效力的文书送达之外方式提出的；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(5)未按上述规定递交澄清或质疑函的；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(6)其他不符合受理条件的情形。</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7</w:t>
      </w:r>
      <w:r>
        <w:rPr>
          <w:rFonts w:hint="eastAsia" w:ascii="宋体" w:hAnsi="宋体" w:cs="宋体"/>
          <w:color w:val="auto"/>
          <w:sz w:val="21"/>
          <w:szCs w:val="21"/>
          <w:lang w:eastAsia="zh-CN"/>
        </w:rPr>
        <w:t>）未参加现场踏勘的</w:t>
      </w: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4.6.2详细磋商即以磋商文件为依据，对所有实质上响应的投标分别从“商务”、“技术”、和“价格”三个方面进行磋商。</w:t>
      </w:r>
    </w:p>
    <w:p>
      <w:pPr>
        <w:spacing w:line="360" w:lineRule="auto"/>
        <w:jc w:val="both"/>
        <w:rPr>
          <w:rFonts w:hint="eastAsia" w:ascii="宋体" w:hAnsi="宋体" w:cs="宋体"/>
          <w:b/>
          <w:bCs/>
          <w:color w:val="auto"/>
          <w:sz w:val="24"/>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tbl>
      <w:tblPr>
        <w:tblStyle w:val="37"/>
        <w:tblW w:w="8926" w:type="dxa"/>
        <w:jc w:val="center"/>
        <w:tblLayout w:type="fixed"/>
        <w:tblCellMar>
          <w:top w:w="0" w:type="dxa"/>
          <w:left w:w="108" w:type="dxa"/>
          <w:bottom w:w="0" w:type="dxa"/>
          <w:right w:w="108" w:type="dxa"/>
        </w:tblCellMar>
      </w:tblPr>
      <w:tblGrid>
        <w:gridCol w:w="1129"/>
        <w:gridCol w:w="7088"/>
        <w:gridCol w:w="709"/>
      </w:tblGrid>
      <w:tr>
        <w:tblPrEx>
          <w:tblCellMar>
            <w:top w:w="0" w:type="dxa"/>
            <w:left w:w="108" w:type="dxa"/>
            <w:bottom w:w="0" w:type="dxa"/>
            <w:right w:w="108" w:type="dxa"/>
          </w:tblCellMar>
        </w:tblPrEx>
        <w:trPr>
          <w:trHeight w:val="557" w:hRule="atLeast"/>
          <w:jc w:val="center"/>
        </w:trPr>
        <w:tc>
          <w:tcPr>
            <w:tcW w:w="112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评分项目</w:t>
            </w:r>
          </w:p>
        </w:tc>
        <w:tc>
          <w:tcPr>
            <w:tcW w:w="70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评分标准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分值</w:t>
            </w:r>
          </w:p>
        </w:tc>
      </w:tr>
      <w:tr>
        <w:tblPrEx>
          <w:tblCellMar>
            <w:top w:w="0" w:type="dxa"/>
            <w:left w:w="108" w:type="dxa"/>
            <w:bottom w:w="0" w:type="dxa"/>
            <w:right w:w="108" w:type="dxa"/>
          </w:tblCellMar>
        </w:tblPrEx>
        <w:trPr>
          <w:trHeight w:val="103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投标价格</w:t>
            </w:r>
            <w:r>
              <w:rPr>
                <w:rFonts w:hint="eastAsia" w:ascii="宋体" w:hAnsi="宋体" w:cs="宋体"/>
                <w:color w:val="000000"/>
                <w:kern w:val="0"/>
                <w:szCs w:val="21"/>
              </w:rPr>
              <w:br w:type="textWrapping"/>
            </w:r>
            <w:r>
              <w:rPr>
                <w:rFonts w:hint="eastAsia" w:ascii="宋体" w:hAnsi="宋体" w:cs="宋体"/>
                <w:color w:val="000000"/>
                <w:kern w:val="0"/>
                <w:szCs w:val="21"/>
              </w:rPr>
              <w:t>(</w:t>
            </w:r>
            <w:r>
              <w:rPr>
                <w:rFonts w:hint="eastAsia" w:ascii="宋体" w:hAnsi="宋体" w:cs="宋体"/>
                <w:color w:val="000000"/>
                <w:kern w:val="0"/>
                <w:szCs w:val="21"/>
                <w:lang w:val="en-US" w:eastAsia="zh-CN"/>
              </w:rPr>
              <w:t>30</w:t>
            </w:r>
            <w:r>
              <w:rPr>
                <w:rFonts w:hint="eastAsia" w:ascii="宋体" w:hAnsi="宋体" w:cs="宋体"/>
                <w:color w:val="000000"/>
                <w:kern w:val="0"/>
                <w:szCs w:val="21"/>
              </w:rPr>
              <w:t>)</w:t>
            </w:r>
          </w:p>
        </w:tc>
        <w:tc>
          <w:tcPr>
            <w:tcW w:w="70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r>
              <w:rPr>
                <w:rFonts w:hint="eastAsia" w:ascii="宋体" w:hAnsi="宋体" w:cs="宋体"/>
                <w:color w:val="000000"/>
                <w:kern w:val="0"/>
                <w:szCs w:val="21"/>
              </w:rPr>
              <w:t>综合评分法中的价格分统一采用低价优先法计算，即满足《招标文件》要求且投标价格最低的投标报价为评标基准价，其价格分为满分。其他投标商的价格分统一按照下列公式计算：投标报价得分＝（评标基准价/投标报价）×30</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30</w:t>
            </w:r>
          </w:p>
        </w:tc>
      </w:tr>
      <w:tr>
        <w:tblPrEx>
          <w:tblCellMar>
            <w:top w:w="0" w:type="dxa"/>
            <w:left w:w="108" w:type="dxa"/>
            <w:bottom w:w="0" w:type="dxa"/>
            <w:right w:w="108" w:type="dxa"/>
          </w:tblCellMar>
        </w:tblPrEx>
        <w:trPr>
          <w:trHeight w:val="36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技术指标（</w:t>
            </w:r>
            <w:r>
              <w:rPr>
                <w:rFonts w:hint="eastAsia" w:ascii="宋体" w:hAnsi="宋体" w:cs="宋体"/>
                <w:color w:val="000000"/>
                <w:kern w:val="0"/>
                <w:szCs w:val="21"/>
                <w:lang w:val="en-US" w:eastAsia="zh-CN"/>
              </w:rPr>
              <w:t>30</w:t>
            </w:r>
            <w:r>
              <w:rPr>
                <w:rFonts w:hint="eastAsia" w:ascii="宋体" w:hAnsi="宋体" w:cs="宋体"/>
                <w:color w:val="000000"/>
                <w:kern w:val="0"/>
                <w:szCs w:val="21"/>
              </w:rPr>
              <w:t>）</w:t>
            </w:r>
          </w:p>
        </w:tc>
        <w:tc>
          <w:tcPr>
            <w:tcW w:w="70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rPr>
              <w:t>投标产品技术参数要求完全满足或优于招标文件要求的， 得</w:t>
            </w:r>
            <w:r>
              <w:rPr>
                <w:rFonts w:hint="eastAsia" w:ascii="宋体" w:hAnsi="宋体" w:cs="宋体"/>
                <w:color w:val="000000"/>
                <w:kern w:val="0"/>
                <w:szCs w:val="21"/>
                <w:lang w:val="en-US" w:eastAsia="zh-CN"/>
              </w:rPr>
              <w:t>30</w:t>
            </w:r>
            <w:r>
              <w:rPr>
                <w:rFonts w:hint="eastAsia" w:ascii="宋体" w:hAnsi="宋体" w:cs="宋体"/>
                <w:color w:val="000000"/>
                <w:kern w:val="0"/>
                <w:szCs w:val="21"/>
              </w:rPr>
              <w:t>分；每有一项不满足扣1分，扣完为止。投标产品技术参数要求中带</w:t>
            </w:r>
            <w:r>
              <w:rPr>
                <w:rFonts w:hint="eastAsia" w:ascii="宋体" w:hAnsi="宋体" w:cs="宋体"/>
                <w:kern w:val="0"/>
                <w:szCs w:val="21"/>
              </w:rPr>
              <w:t>★</w:t>
            </w:r>
            <w:r>
              <w:rPr>
                <w:rFonts w:hint="eastAsia" w:ascii="宋体" w:hAnsi="宋体" w:cs="宋体"/>
                <w:color w:val="000000"/>
                <w:kern w:val="0"/>
                <w:szCs w:val="21"/>
              </w:rPr>
              <w:t>号为实质性重要指标要求项，每有一项不满足扣</w:t>
            </w:r>
            <w:r>
              <w:rPr>
                <w:rFonts w:hint="default" w:ascii="宋体" w:hAnsi="宋体" w:cs="宋体"/>
                <w:color w:val="000000"/>
                <w:kern w:val="0"/>
                <w:szCs w:val="21"/>
              </w:rPr>
              <w:t>3</w:t>
            </w:r>
            <w:r>
              <w:rPr>
                <w:rFonts w:hint="eastAsia" w:ascii="宋体" w:hAnsi="宋体" w:cs="宋体"/>
                <w:color w:val="000000"/>
                <w:kern w:val="0"/>
                <w:szCs w:val="21"/>
              </w:rPr>
              <w:t>分，扣完为止。</w:t>
            </w:r>
            <w:r>
              <w:rPr>
                <w:rFonts w:hint="eastAsia" w:ascii="宋体" w:hAnsi="宋体" w:cs="宋体"/>
                <w:color w:val="FF0000"/>
                <w:kern w:val="0"/>
                <w:szCs w:val="21"/>
              </w:rPr>
              <w:t xml:space="preserve"> </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30</w:t>
            </w:r>
          </w:p>
        </w:tc>
      </w:tr>
      <w:tr>
        <w:tblPrEx>
          <w:tblCellMar>
            <w:top w:w="0" w:type="dxa"/>
            <w:left w:w="108" w:type="dxa"/>
            <w:bottom w:w="0" w:type="dxa"/>
            <w:right w:w="108" w:type="dxa"/>
          </w:tblCellMar>
        </w:tblPrEx>
        <w:trPr>
          <w:trHeight w:val="585" w:hRule="atLeast"/>
          <w:jc w:val="center"/>
        </w:trPr>
        <w:tc>
          <w:tcPr>
            <w:tcW w:w="1129"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eastAsia" w:ascii="宋体" w:hAnsi="宋体" w:cs="宋体"/>
                <w:color w:val="000000"/>
                <w:kern w:val="0"/>
                <w:szCs w:val="21"/>
              </w:rPr>
              <w:t>商务部分（</w:t>
            </w:r>
            <w:r>
              <w:rPr>
                <w:rFonts w:hint="eastAsia" w:ascii="宋体" w:hAnsi="宋体" w:cs="宋体"/>
                <w:color w:val="000000"/>
                <w:kern w:val="0"/>
                <w:szCs w:val="21"/>
                <w:lang w:val="en-US" w:eastAsia="zh-CN"/>
              </w:rPr>
              <w:t>18</w:t>
            </w:r>
            <w:r>
              <w:rPr>
                <w:rFonts w:hint="eastAsia" w:ascii="宋体" w:hAnsi="宋体" w:cs="宋体"/>
                <w:color w:val="000000"/>
                <w:kern w:val="0"/>
                <w:szCs w:val="21"/>
              </w:rPr>
              <w:t>）</w:t>
            </w:r>
          </w:p>
        </w:tc>
        <w:tc>
          <w:tcPr>
            <w:tcW w:w="70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r>
              <w:rPr>
                <w:rFonts w:hint="eastAsia" w:ascii="宋体" w:hAnsi="宋体" w:cs="宋体"/>
                <w:color w:val="000000"/>
                <w:kern w:val="0"/>
                <w:szCs w:val="21"/>
              </w:rPr>
              <w:t>投标商具有高新技术企业证书资质、甘肃省安全技术防范工程设计施工资质证书，全部满足得</w:t>
            </w:r>
            <w:r>
              <w:rPr>
                <w:rFonts w:hint="eastAsia" w:ascii="宋体" w:hAnsi="宋体" w:cs="宋体"/>
                <w:color w:val="000000"/>
                <w:kern w:val="0"/>
                <w:szCs w:val="21"/>
                <w:lang w:val="en-US" w:eastAsia="zh-CN"/>
              </w:rPr>
              <w:t>2</w:t>
            </w:r>
            <w:r>
              <w:rPr>
                <w:rFonts w:hint="eastAsia" w:ascii="宋体" w:hAnsi="宋体" w:cs="宋体"/>
                <w:color w:val="000000"/>
                <w:kern w:val="0"/>
                <w:szCs w:val="21"/>
              </w:rPr>
              <w:t>分。少一项扣1分。</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2</w:t>
            </w:r>
          </w:p>
        </w:tc>
      </w:tr>
      <w:tr>
        <w:tblPrEx>
          <w:tblCellMar>
            <w:top w:w="0" w:type="dxa"/>
            <w:left w:w="108" w:type="dxa"/>
            <w:bottom w:w="0" w:type="dxa"/>
            <w:right w:w="108" w:type="dxa"/>
          </w:tblCellMar>
        </w:tblPrEx>
        <w:trPr>
          <w:trHeight w:val="540" w:hRule="atLeast"/>
          <w:jc w:val="center"/>
        </w:trPr>
        <w:tc>
          <w:tcPr>
            <w:tcW w:w="112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p>
        </w:tc>
        <w:tc>
          <w:tcPr>
            <w:tcW w:w="708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cs="宋体" w:asciiTheme="minorEastAsia" w:hAnsiTheme="minorEastAsia" w:eastAsiaTheme="minorEastAsia"/>
                <w:sz w:val="20"/>
                <w:szCs w:val="20"/>
              </w:rPr>
            </w:pPr>
            <w:r>
              <w:rPr>
                <w:rFonts w:hint="eastAsia" w:cs="宋体" w:asciiTheme="minorEastAsia" w:hAnsiTheme="minorEastAsia" w:eastAsiaTheme="minorEastAsia"/>
                <w:sz w:val="20"/>
                <w:szCs w:val="20"/>
              </w:rPr>
              <w:t>为保证此次建设系统安全性，投标商所投的高清谈话主机、网络摄像机、高保真全向拾音器产品厂家获得中国信息安全测评中心颁发的国家信息安全漏洞库（CNNVD）技术支撑单位等级证书的，提供相关证明复印件加盖厂家鲜章，一级得</w:t>
            </w:r>
            <w:r>
              <w:rPr>
                <w:rFonts w:hint="default" w:cs="宋体" w:asciiTheme="minorEastAsia" w:hAnsiTheme="minorEastAsia" w:eastAsiaTheme="minorEastAsia"/>
                <w:sz w:val="20"/>
                <w:szCs w:val="20"/>
              </w:rPr>
              <w:t>5</w:t>
            </w:r>
            <w:r>
              <w:rPr>
                <w:rFonts w:hint="eastAsia" w:cs="宋体" w:asciiTheme="minorEastAsia" w:hAnsiTheme="minorEastAsia" w:eastAsiaTheme="minorEastAsia"/>
                <w:sz w:val="20"/>
                <w:szCs w:val="20"/>
              </w:rPr>
              <w:t>分，二级得</w:t>
            </w:r>
            <w:r>
              <w:rPr>
                <w:rFonts w:hint="default" w:cs="宋体" w:asciiTheme="minorEastAsia" w:hAnsiTheme="minorEastAsia" w:eastAsiaTheme="minorEastAsia"/>
                <w:sz w:val="20"/>
                <w:szCs w:val="20"/>
              </w:rPr>
              <w:t>2</w:t>
            </w:r>
            <w:r>
              <w:rPr>
                <w:rFonts w:hint="eastAsia" w:cs="宋体" w:asciiTheme="minorEastAsia" w:hAnsiTheme="minorEastAsia" w:eastAsiaTheme="minorEastAsia"/>
                <w:sz w:val="20"/>
                <w:szCs w:val="20"/>
              </w:rPr>
              <w:t>分，三级得</w:t>
            </w:r>
            <w:r>
              <w:rPr>
                <w:rFonts w:hint="default" w:cs="宋体" w:asciiTheme="minorEastAsia" w:hAnsiTheme="minorEastAsia" w:eastAsiaTheme="minorEastAsia"/>
                <w:sz w:val="20"/>
                <w:szCs w:val="20"/>
              </w:rPr>
              <w:t>1</w:t>
            </w:r>
            <w:r>
              <w:rPr>
                <w:rFonts w:hint="eastAsia" w:cs="宋体" w:asciiTheme="minorEastAsia" w:hAnsiTheme="minorEastAsia" w:eastAsiaTheme="minorEastAsia"/>
                <w:sz w:val="20"/>
                <w:szCs w:val="20"/>
              </w:rPr>
              <w:t>分。</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default" w:ascii="宋体" w:hAnsi="宋体" w:cs="宋体"/>
                <w:color w:val="000000"/>
                <w:kern w:val="0"/>
                <w:szCs w:val="21"/>
              </w:rPr>
              <w:t>5</w:t>
            </w:r>
          </w:p>
        </w:tc>
      </w:tr>
      <w:tr>
        <w:tblPrEx>
          <w:tblCellMar>
            <w:top w:w="0" w:type="dxa"/>
            <w:left w:w="108" w:type="dxa"/>
            <w:bottom w:w="0" w:type="dxa"/>
            <w:right w:w="108" w:type="dxa"/>
          </w:tblCellMar>
        </w:tblPrEx>
        <w:trPr>
          <w:trHeight w:val="540" w:hRule="atLeast"/>
          <w:jc w:val="center"/>
        </w:trPr>
        <w:tc>
          <w:tcPr>
            <w:tcW w:w="112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p>
        </w:tc>
        <w:tc>
          <w:tcPr>
            <w:tcW w:w="708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cs="宋体" w:asciiTheme="minorEastAsia" w:hAnsiTheme="minorEastAsia" w:eastAsiaTheme="minorEastAsia"/>
                <w:sz w:val="20"/>
                <w:szCs w:val="20"/>
              </w:rPr>
            </w:pPr>
            <w:r>
              <w:rPr>
                <w:rFonts w:hint="eastAsia" w:cs="宋体" w:asciiTheme="minorEastAsia" w:hAnsiTheme="minorEastAsia" w:eastAsiaTheme="minorEastAsia"/>
                <w:sz w:val="20"/>
                <w:szCs w:val="20"/>
              </w:rPr>
              <w:t xml:space="preserve">为保障项目实施的安全性，投标商所投高清谈话主机、网络摄像机、高保真全向拾音器产品应具备丰富的应急处理服务项目经验，稳定的技术队伍，针对突发安全事件拥有较强的应对能力，提供CNCERT网络安全应急服务支撑证书资料复印件加盖厂家鲜章得3分，没有不得分。 </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color w:val="000000"/>
                <w:szCs w:val="21"/>
              </w:rPr>
            </w:pPr>
            <w:r>
              <w:rPr>
                <w:rFonts w:hint="default" w:ascii="宋体" w:hAnsi="宋体" w:cs="宋体"/>
                <w:color w:val="000000"/>
                <w:kern w:val="0"/>
                <w:szCs w:val="21"/>
              </w:rPr>
              <w:t>3</w:t>
            </w:r>
          </w:p>
        </w:tc>
      </w:tr>
      <w:tr>
        <w:tblPrEx>
          <w:tblCellMar>
            <w:top w:w="0" w:type="dxa"/>
            <w:left w:w="108" w:type="dxa"/>
            <w:bottom w:w="0" w:type="dxa"/>
            <w:right w:w="108" w:type="dxa"/>
          </w:tblCellMar>
        </w:tblPrEx>
        <w:trPr>
          <w:trHeight w:val="540" w:hRule="atLeast"/>
          <w:jc w:val="center"/>
        </w:trPr>
        <w:tc>
          <w:tcPr>
            <w:tcW w:w="112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p>
        </w:tc>
        <w:tc>
          <w:tcPr>
            <w:tcW w:w="708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cs="宋体" w:asciiTheme="minorEastAsia" w:hAnsiTheme="minorEastAsia" w:eastAsiaTheme="minorEastAsia"/>
                <w:sz w:val="20"/>
                <w:szCs w:val="20"/>
              </w:rPr>
            </w:pPr>
            <w:r>
              <w:rPr>
                <w:rFonts w:hint="eastAsia" w:cs="宋体" w:asciiTheme="minorEastAsia" w:hAnsiTheme="minorEastAsia" w:eastAsiaTheme="minorEastAsia"/>
                <w:sz w:val="20"/>
                <w:szCs w:val="20"/>
              </w:rPr>
              <w:t>投标商提供谈话桌、椅厂家通过第三方权威机构出具的防撞墙软包检验报告；防火燃烧性能标准B1等级的检验报告复印件加盖厂商鲜章。提供一项得2分，满分4分。</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Cs w:val="21"/>
              </w:rPr>
            </w:pPr>
            <w:r>
              <w:rPr>
                <w:rFonts w:hint="default" w:ascii="宋体" w:hAnsi="宋体" w:cs="宋体"/>
                <w:color w:val="000000"/>
                <w:kern w:val="0"/>
                <w:szCs w:val="21"/>
              </w:rPr>
              <w:t>4</w:t>
            </w:r>
          </w:p>
        </w:tc>
      </w:tr>
      <w:tr>
        <w:tblPrEx>
          <w:tblCellMar>
            <w:top w:w="0" w:type="dxa"/>
            <w:left w:w="108" w:type="dxa"/>
            <w:bottom w:w="0" w:type="dxa"/>
            <w:right w:w="108" w:type="dxa"/>
          </w:tblCellMar>
        </w:tblPrEx>
        <w:trPr>
          <w:trHeight w:val="786" w:hRule="atLeast"/>
          <w:jc w:val="center"/>
        </w:trPr>
        <w:tc>
          <w:tcPr>
            <w:tcW w:w="112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p>
        </w:tc>
        <w:tc>
          <w:tcPr>
            <w:tcW w:w="708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cs="宋体" w:asciiTheme="minorEastAsia" w:hAnsiTheme="minorEastAsia" w:eastAsiaTheme="minorEastAsia"/>
                <w:sz w:val="20"/>
                <w:szCs w:val="20"/>
              </w:rPr>
            </w:pPr>
            <w:r>
              <w:rPr>
                <w:rFonts w:hint="eastAsia" w:cs="宋体" w:asciiTheme="minorEastAsia" w:hAnsiTheme="minorEastAsia" w:eastAsiaTheme="minorEastAsia"/>
                <w:sz w:val="20"/>
                <w:szCs w:val="20"/>
              </w:rPr>
              <w:t>装修材料需满足《建筑内部装修设计防火规范》和《民用建筑工程室内环境污染控制规范》等级要求（提供生产厂家相关证明文件复印件加盖生产厂商鲜章），满足得</w:t>
            </w:r>
            <w:r>
              <w:rPr>
                <w:rFonts w:hint="eastAsia" w:cs="宋体" w:asciiTheme="minorEastAsia" w:hAnsiTheme="minorEastAsia" w:eastAsiaTheme="minorEastAsia"/>
                <w:sz w:val="20"/>
                <w:szCs w:val="20"/>
                <w:lang w:val="en-US" w:eastAsia="zh-CN"/>
              </w:rPr>
              <w:t>4</w:t>
            </w:r>
            <w:r>
              <w:rPr>
                <w:rFonts w:hint="eastAsia" w:cs="宋体" w:asciiTheme="minorEastAsia" w:hAnsiTheme="minorEastAsia" w:eastAsiaTheme="minorEastAsia"/>
                <w:sz w:val="20"/>
                <w:szCs w:val="20"/>
              </w:rPr>
              <w:t>分，不提供不得分</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color w:val="000000"/>
                <w:szCs w:val="21"/>
              </w:rPr>
            </w:pPr>
            <w:r>
              <w:rPr>
                <w:rFonts w:hint="eastAsia"/>
                <w:color w:val="000000"/>
                <w:szCs w:val="21"/>
              </w:rPr>
              <w:t>4</w:t>
            </w:r>
          </w:p>
        </w:tc>
      </w:tr>
      <w:tr>
        <w:tblPrEx>
          <w:tblCellMar>
            <w:top w:w="0" w:type="dxa"/>
            <w:left w:w="108" w:type="dxa"/>
            <w:bottom w:w="0" w:type="dxa"/>
            <w:right w:w="108" w:type="dxa"/>
          </w:tblCellMar>
        </w:tblPrEx>
        <w:trPr>
          <w:trHeight w:val="9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color w:val="000000"/>
                <w:kern w:val="0"/>
                <w:szCs w:val="21"/>
              </w:rPr>
            </w:pPr>
            <w:r>
              <w:rPr>
                <w:rFonts w:hint="eastAsia" w:ascii="宋体" w:hAnsi="宋体" w:cs="宋体"/>
                <w:color w:val="000000"/>
                <w:kern w:val="0"/>
                <w:szCs w:val="21"/>
              </w:rPr>
              <w:t>施工及售后服务（</w:t>
            </w:r>
            <w:r>
              <w:rPr>
                <w:rFonts w:hint="eastAsia" w:ascii="宋体" w:hAnsi="宋体" w:cs="宋体"/>
                <w:color w:val="000000"/>
                <w:kern w:val="0"/>
                <w:szCs w:val="21"/>
                <w:lang w:val="en-US" w:eastAsia="zh-CN"/>
              </w:rPr>
              <w:t>17</w:t>
            </w:r>
            <w:r>
              <w:rPr>
                <w:rFonts w:hint="eastAsia" w:ascii="宋体" w:hAnsi="宋体" w:cs="宋体"/>
                <w:color w:val="000000"/>
                <w:kern w:val="0"/>
                <w:szCs w:val="21"/>
              </w:rPr>
              <w:t>）</w:t>
            </w:r>
          </w:p>
        </w:tc>
        <w:tc>
          <w:tcPr>
            <w:tcW w:w="708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cs="宋体" w:asciiTheme="minorEastAsia" w:hAnsiTheme="minorEastAsia" w:eastAsiaTheme="minorEastAsia"/>
                <w:sz w:val="20"/>
                <w:szCs w:val="20"/>
              </w:rPr>
            </w:pPr>
            <w:r>
              <w:rPr>
                <w:rFonts w:hint="eastAsia" w:cs="宋体" w:asciiTheme="minorEastAsia" w:hAnsiTheme="minorEastAsia" w:eastAsiaTheme="minorEastAsia"/>
                <w:sz w:val="20"/>
                <w:szCs w:val="20"/>
              </w:rPr>
              <w:t>投标商施工进度安排合理，具有完善的项目组织管理方案，包含组织机构、人员配备、服务保障、具有完善的施工装修方案，优得</w:t>
            </w:r>
            <w:r>
              <w:rPr>
                <w:rFonts w:hint="eastAsia" w:cs="宋体" w:asciiTheme="minorEastAsia" w:hAnsiTheme="minorEastAsia" w:eastAsiaTheme="minorEastAsia"/>
                <w:sz w:val="20"/>
                <w:szCs w:val="20"/>
                <w:lang w:val="en-US" w:eastAsia="zh-CN"/>
              </w:rPr>
              <w:t>17</w:t>
            </w:r>
            <w:r>
              <w:rPr>
                <w:rFonts w:hint="eastAsia" w:cs="宋体" w:asciiTheme="minorEastAsia" w:hAnsiTheme="minorEastAsia" w:eastAsiaTheme="minorEastAsia"/>
                <w:sz w:val="20"/>
                <w:szCs w:val="20"/>
              </w:rPr>
              <w:t>-</w:t>
            </w:r>
            <w:r>
              <w:rPr>
                <w:rFonts w:hint="eastAsia" w:cs="宋体" w:asciiTheme="minorEastAsia" w:hAnsiTheme="minorEastAsia" w:eastAsiaTheme="minorEastAsia"/>
                <w:sz w:val="20"/>
                <w:szCs w:val="20"/>
                <w:lang w:val="en-US" w:eastAsia="zh-CN"/>
              </w:rPr>
              <w:t>10</w:t>
            </w:r>
            <w:r>
              <w:rPr>
                <w:rFonts w:hint="eastAsia" w:cs="宋体" w:asciiTheme="minorEastAsia" w:hAnsiTheme="minorEastAsia" w:eastAsiaTheme="minorEastAsia"/>
                <w:sz w:val="20"/>
                <w:szCs w:val="20"/>
              </w:rPr>
              <w:t>分，一般得</w:t>
            </w:r>
            <w:r>
              <w:rPr>
                <w:rFonts w:hint="eastAsia" w:cs="宋体" w:asciiTheme="minorEastAsia" w:hAnsiTheme="minorEastAsia" w:eastAsiaTheme="minorEastAsia"/>
                <w:sz w:val="20"/>
                <w:szCs w:val="20"/>
                <w:lang w:val="en-US" w:eastAsia="zh-CN"/>
              </w:rPr>
              <w:t>9</w:t>
            </w:r>
            <w:r>
              <w:rPr>
                <w:rFonts w:hint="eastAsia" w:cs="宋体" w:asciiTheme="minorEastAsia" w:hAnsiTheme="minorEastAsia" w:eastAsiaTheme="minorEastAsia"/>
                <w:sz w:val="20"/>
                <w:szCs w:val="20"/>
              </w:rPr>
              <w:t>-5分，差不得分。</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eastAsia="宋体"/>
                <w:color w:val="000000"/>
                <w:szCs w:val="21"/>
                <w:lang w:val="en-US" w:eastAsia="zh-CN"/>
              </w:rPr>
            </w:pPr>
            <w:r>
              <w:rPr>
                <w:rFonts w:hint="eastAsia"/>
                <w:color w:val="000000"/>
                <w:szCs w:val="21"/>
                <w:lang w:val="en-US" w:eastAsia="zh-CN"/>
              </w:rPr>
              <w:t>17</w:t>
            </w:r>
          </w:p>
        </w:tc>
      </w:tr>
      <w:tr>
        <w:tblPrEx>
          <w:tblCellMar>
            <w:top w:w="0" w:type="dxa"/>
            <w:left w:w="108" w:type="dxa"/>
            <w:bottom w:w="0" w:type="dxa"/>
            <w:right w:w="108" w:type="dxa"/>
          </w:tblCellMar>
        </w:tblPrEx>
        <w:trPr>
          <w:trHeight w:val="9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color w:val="000000"/>
                <w:kern w:val="0"/>
                <w:szCs w:val="21"/>
              </w:rPr>
            </w:pPr>
            <w:r>
              <w:rPr>
                <w:rFonts w:hint="eastAsia" w:ascii="宋体" w:hAnsi="宋体" w:cs="宋体"/>
                <w:color w:val="000000"/>
                <w:kern w:val="0"/>
                <w:szCs w:val="21"/>
              </w:rPr>
              <w:t>装修效果图（</w:t>
            </w:r>
            <w:r>
              <w:rPr>
                <w:rFonts w:hint="eastAsia" w:ascii="宋体" w:hAnsi="宋体" w:cs="宋体"/>
                <w:color w:val="000000"/>
                <w:kern w:val="0"/>
                <w:szCs w:val="21"/>
                <w:lang w:val="en-US" w:eastAsia="zh-CN"/>
              </w:rPr>
              <w:t>5</w:t>
            </w:r>
            <w:r>
              <w:rPr>
                <w:rFonts w:hint="eastAsia" w:ascii="宋体" w:hAnsi="宋体" w:cs="宋体"/>
                <w:color w:val="000000"/>
                <w:kern w:val="0"/>
                <w:szCs w:val="21"/>
              </w:rPr>
              <w:t>）</w:t>
            </w:r>
          </w:p>
        </w:tc>
        <w:tc>
          <w:tcPr>
            <w:tcW w:w="7088" w:type="dxa"/>
            <w:tcBorders>
              <w:top w:val="single" w:color="auto" w:sz="4" w:space="0"/>
              <w:left w:val="nil"/>
              <w:bottom w:val="single" w:color="auto" w:sz="4" w:space="0"/>
              <w:right w:val="single" w:color="auto" w:sz="4" w:space="0"/>
            </w:tcBorders>
            <w:vAlign w:val="center"/>
          </w:tcPr>
          <w:p>
            <w:pPr>
              <w:pStyle w:val="2"/>
              <w:keepNext w:val="0"/>
              <w:keepLines w:val="0"/>
              <w:suppressLineNumbers w:val="0"/>
              <w:adjustRightInd w:val="0"/>
              <w:snapToGrid w:val="0"/>
              <w:spacing w:before="0" w:beforeAutospacing="0" w:after="0" w:afterAutospacing="0" w:line="360" w:lineRule="auto"/>
              <w:ind w:left="0" w:right="0"/>
              <w:rPr>
                <w:rFonts w:hint="eastAsia" w:cs="宋体" w:asciiTheme="minorEastAsia" w:hAnsiTheme="minorEastAsia" w:eastAsiaTheme="minorEastAsia"/>
                <w:kern w:val="2"/>
                <w:sz w:val="20"/>
                <w:szCs w:val="20"/>
                <w:lang w:val="en-US" w:eastAsia="zh-CN" w:bidi="ar-SA"/>
              </w:rPr>
            </w:pPr>
            <w:r>
              <w:rPr>
                <w:rFonts w:hint="eastAsia" w:cs="宋体" w:asciiTheme="minorEastAsia" w:hAnsiTheme="minorEastAsia" w:eastAsiaTheme="minorEastAsia"/>
                <w:kern w:val="2"/>
                <w:sz w:val="20"/>
                <w:szCs w:val="20"/>
                <w:lang w:val="en-US" w:eastAsia="zh-CN" w:bidi="ar-SA"/>
              </w:rPr>
              <w:t>根据实地要求提供针对本项目合理的设计平面图和设计效果图得5-3分，一般3-1，不提供不得分。</w:t>
            </w:r>
          </w:p>
        </w:tc>
        <w:tc>
          <w:tcPr>
            <w:tcW w:w="709" w:type="dxa"/>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color w:val="000000"/>
                <w:szCs w:val="21"/>
              </w:rPr>
            </w:pPr>
            <w:r>
              <w:rPr>
                <w:rFonts w:hint="default"/>
                <w:color w:val="000000"/>
                <w:szCs w:val="21"/>
              </w:rPr>
              <w:t>5</w:t>
            </w:r>
          </w:p>
        </w:tc>
      </w:tr>
    </w:tbl>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除包括“磋商文件”规定的全部内容外，还应包括：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9"/>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9"/>
        <w:rPr>
          <w:rFonts w:hint="eastAsia" w:ascii="宋体" w:hAnsi="宋体" w:cs="宋体"/>
          <w:color w:val="auto"/>
          <w:sz w:val="24"/>
        </w:rPr>
      </w:pPr>
    </w:p>
    <w:p>
      <w:pPr>
        <w:pStyle w:val="9"/>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5"/>
        <w:numPr>
          <w:ilvl w:val="0"/>
          <w:numId w:val="0"/>
        </w:numPr>
        <w:ind w:left="1838" w:leftChars="0"/>
        <w:rPr>
          <w:rFonts w:hint="eastAsia"/>
          <w:color w:val="auto"/>
        </w:rPr>
      </w:pPr>
    </w:p>
    <w:p>
      <w:pPr>
        <w:pStyle w:val="47"/>
        <w:rPr>
          <w:rFonts w:hint="eastAsia"/>
          <w:color w:val="auto"/>
        </w:rPr>
      </w:pPr>
    </w:p>
    <w:p>
      <w:pPr>
        <w:pStyle w:val="47"/>
        <w:rPr>
          <w:rFonts w:hint="eastAsia"/>
          <w:color w:val="auto"/>
        </w:rPr>
      </w:pPr>
    </w:p>
    <w:p>
      <w:pPr>
        <w:pStyle w:val="47"/>
        <w:rPr>
          <w:rFonts w:hint="eastAsia" w:ascii="宋体" w:hAnsi="宋体" w:cs="宋体"/>
          <w:color w:val="auto"/>
          <w:kern w:val="0"/>
          <w:sz w:val="30"/>
          <w:szCs w:val="30"/>
        </w:rPr>
      </w:pPr>
    </w:p>
    <w:p>
      <w:pPr>
        <w:pStyle w:val="47"/>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兰州职业技术学院xxx项目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lang w:eastAsia="zh-CN"/>
        </w:rPr>
        <w:t>实训大楼地下车库车辆管理及治安视频监控系统项目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六、合同总价金额：XXXXXX*大写*（XXXXXX 元）*小写*</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七、一般条款：</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所提供的服务、服务所需</w:t>
      </w:r>
      <w:r>
        <w:rPr>
          <w:rFonts w:hint="eastAsia" w:ascii="宋体" w:hAnsi="宋体" w:cs="宋体"/>
          <w:color w:val="auto"/>
          <w:sz w:val="21"/>
          <w:szCs w:val="21"/>
          <w:lang w:val="en-US" w:eastAsia="zh-CN"/>
        </w:rPr>
        <w:t>货物</w:t>
      </w:r>
      <w:r>
        <w:rPr>
          <w:rFonts w:hint="eastAsia" w:ascii="宋体" w:hAnsi="宋体" w:cs="宋体"/>
          <w:color w:val="auto"/>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供方</w:t>
      </w:r>
      <w:r>
        <w:rPr>
          <w:rFonts w:hint="eastAsia" w:ascii="宋体" w:hAnsi="宋体" w:cs="宋体"/>
          <w:color w:val="auto"/>
          <w:sz w:val="21"/>
          <w:szCs w:val="21"/>
        </w:rPr>
        <w:t>承担服务过程中的一切责任和费用。</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eastAsia="zh-CN"/>
        </w:rPr>
        <w:t>供方</w:t>
      </w:r>
      <w:r>
        <w:rPr>
          <w:rFonts w:hint="eastAsia" w:ascii="宋体" w:hAnsi="宋体" w:cs="宋体"/>
          <w:color w:val="auto"/>
          <w:sz w:val="21"/>
          <w:szCs w:val="21"/>
        </w:rPr>
        <w:t>应按照招标文件所提要求提供培训。</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四</w:t>
      </w:r>
      <w:r>
        <w:rPr>
          <w:rFonts w:hint="eastAsia" w:ascii="宋体" w:hAnsi="宋体" w:cs="宋体"/>
          <w:color w:val="auto"/>
          <w:sz w:val="21"/>
          <w:szCs w:val="21"/>
        </w:rPr>
        <w:t>）付款方式：</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以合同签订时为准</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项目服务期：</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（六）凡合同中规定由财政国库支付的,</w:t>
      </w:r>
      <w:r>
        <w:rPr>
          <w:rFonts w:hint="eastAsia" w:ascii="宋体" w:hAnsi="宋体" w:cs="宋体"/>
          <w:color w:val="auto"/>
          <w:sz w:val="21"/>
          <w:szCs w:val="21"/>
          <w:lang w:eastAsia="zh-CN"/>
        </w:rPr>
        <w:t>供方</w:t>
      </w:r>
      <w:r>
        <w:rPr>
          <w:rFonts w:hint="eastAsia" w:ascii="宋体" w:hAnsi="宋体" w:cs="宋体"/>
          <w:color w:val="auto"/>
          <w:sz w:val="21"/>
          <w:szCs w:val="21"/>
        </w:rPr>
        <w:t>凭合同向</w:t>
      </w:r>
      <w:r>
        <w:rPr>
          <w:rFonts w:hint="eastAsia" w:ascii="宋体" w:hAnsi="宋体" w:cs="宋体"/>
          <w:color w:val="auto"/>
          <w:sz w:val="21"/>
          <w:szCs w:val="21"/>
          <w:lang w:eastAsia="zh-CN"/>
        </w:rPr>
        <w:t>需方</w:t>
      </w:r>
      <w:r>
        <w:rPr>
          <w:rFonts w:hint="eastAsia" w:ascii="宋体" w:hAnsi="宋体" w:cs="宋体"/>
          <w:color w:val="auto"/>
          <w:sz w:val="21"/>
          <w:szCs w:val="21"/>
        </w:rPr>
        <w:t>提供服务,未按合同提供服务而造成的一切后果由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（七）供需双方签订的合同，应在</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监督下认真履行。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（八）违约责任：</w:t>
      </w:r>
      <w:r>
        <w:rPr>
          <w:rFonts w:hint="eastAsia" w:ascii="宋体" w:hAnsi="宋体" w:cs="宋体"/>
          <w:color w:val="auto"/>
          <w:sz w:val="21"/>
          <w:szCs w:val="21"/>
          <w:lang w:eastAsia="zh-CN"/>
        </w:rPr>
        <w:t>供方</w:t>
      </w:r>
      <w:r>
        <w:rPr>
          <w:rFonts w:hint="eastAsia" w:ascii="宋体" w:hAnsi="宋体" w:cs="宋体"/>
          <w:color w:val="auto"/>
          <w:sz w:val="21"/>
          <w:szCs w:val="21"/>
        </w:rPr>
        <w:t>应依据合同规定时间按时提供服务，如不能，由此给</w:t>
      </w:r>
      <w:r>
        <w:rPr>
          <w:rFonts w:hint="eastAsia" w:ascii="宋体" w:hAnsi="宋体" w:cs="宋体"/>
          <w:color w:val="auto"/>
          <w:sz w:val="21"/>
          <w:szCs w:val="21"/>
          <w:lang w:eastAsia="zh-CN"/>
        </w:rPr>
        <w:t>需方</w:t>
      </w:r>
      <w:r>
        <w:rPr>
          <w:rFonts w:hint="eastAsia" w:ascii="宋体" w:hAnsi="宋体" w:cs="宋体"/>
          <w:color w:val="auto"/>
          <w:sz w:val="21"/>
          <w:szCs w:val="21"/>
        </w:rPr>
        <w:t>带来的损失由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将根据</w:t>
      </w:r>
      <w:r>
        <w:rPr>
          <w:rFonts w:hint="eastAsia" w:ascii="宋体" w:hAnsi="宋体" w:cs="宋体"/>
          <w:color w:val="auto"/>
          <w:sz w:val="21"/>
          <w:szCs w:val="21"/>
          <w:lang w:eastAsia="zh-CN"/>
        </w:rPr>
        <w:t>供方</w:t>
      </w:r>
      <w:r>
        <w:rPr>
          <w:rFonts w:hint="eastAsia" w:ascii="宋体" w:hAnsi="宋体" w:cs="宋体"/>
          <w:color w:val="auto"/>
          <w:sz w:val="21"/>
          <w:szCs w:val="21"/>
        </w:rPr>
        <w:t>实际违约情况没收其履约保证金，且上缴国库。情节严重的，将取消</w:t>
      </w:r>
      <w:r>
        <w:rPr>
          <w:rFonts w:hint="eastAsia" w:ascii="宋体" w:hAnsi="宋体" w:cs="宋体"/>
          <w:color w:val="auto"/>
          <w:sz w:val="21"/>
          <w:szCs w:val="21"/>
          <w:lang w:eastAsia="zh-CN"/>
        </w:rPr>
        <w:t>供方</w:t>
      </w:r>
      <w:r>
        <w:rPr>
          <w:rFonts w:hint="eastAsia" w:ascii="宋体" w:hAnsi="宋体" w:cs="宋体"/>
          <w:color w:val="auto"/>
          <w:sz w:val="21"/>
          <w:szCs w:val="21"/>
        </w:rPr>
        <w:t>参加</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政府采购的资格。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（九）质量验收：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1、服务项目在服务完成后，</w:t>
      </w:r>
      <w:r>
        <w:rPr>
          <w:rFonts w:hint="eastAsia" w:ascii="宋体" w:hAnsi="宋体" w:cs="宋体"/>
          <w:color w:val="auto"/>
          <w:sz w:val="21"/>
          <w:szCs w:val="21"/>
          <w:lang w:eastAsia="zh-CN"/>
        </w:rPr>
        <w:t>需方</w:t>
      </w:r>
      <w:r>
        <w:rPr>
          <w:rFonts w:hint="eastAsia" w:ascii="宋体" w:hAnsi="宋体" w:cs="宋体"/>
          <w:color w:val="auto"/>
          <w:sz w:val="21"/>
          <w:szCs w:val="21"/>
        </w:rPr>
        <w:t xml:space="preserve">应当在 </w:t>
      </w:r>
      <w:r>
        <w:rPr>
          <w:rFonts w:hint="eastAsia" w:ascii="宋体" w:hAnsi="宋体" w:cs="宋体"/>
          <w:color w:val="auto"/>
          <w:sz w:val="21"/>
          <w:szCs w:val="21"/>
          <w:u w:val="single" w:color="auto"/>
          <w:lang w:val="en-US" w:eastAsia="zh-CN"/>
        </w:rPr>
        <w:t xml:space="preserve">     </w:t>
      </w:r>
      <w:r>
        <w:rPr>
          <w:rFonts w:hint="eastAsia" w:ascii="宋体" w:hAnsi="宋体" w:cs="宋体"/>
          <w:color w:val="auto"/>
          <w:sz w:val="21"/>
          <w:szCs w:val="21"/>
        </w:rPr>
        <w:t>个工作日内完成验收；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z w:val="21"/>
          <w:szCs w:val="21"/>
          <w:lang w:eastAsia="zh-CN"/>
        </w:rPr>
        <w:t>需方</w:t>
      </w:r>
      <w:r>
        <w:rPr>
          <w:rFonts w:hint="eastAsia" w:ascii="宋体" w:hAnsi="宋体" w:cs="宋体"/>
          <w:color w:val="auto"/>
          <w:sz w:val="21"/>
          <w:szCs w:val="21"/>
        </w:rPr>
        <w:t>验收合格后应出具验收报告、验收单并签署 “验收合格”字样，逾期验收视为验收合格；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3、</w:t>
      </w:r>
      <w:r>
        <w:rPr>
          <w:rFonts w:hint="eastAsia" w:ascii="宋体" w:hAnsi="宋体" w:cs="宋体"/>
          <w:color w:val="auto"/>
          <w:sz w:val="21"/>
          <w:szCs w:val="21"/>
          <w:lang w:eastAsia="zh-CN"/>
        </w:rPr>
        <w:t>需方</w:t>
      </w:r>
      <w:r>
        <w:rPr>
          <w:rFonts w:hint="eastAsia" w:ascii="宋体" w:hAnsi="宋体" w:cs="宋体"/>
          <w:color w:val="auto"/>
          <w:sz w:val="21"/>
          <w:szCs w:val="21"/>
        </w:rPr>
        <w:t>在验收中发现服务项目及所需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、硬件质量不符合合同要求和验收标准或有异议时，应及时通知</w:t>
      </w:r>
      <w:r>
        <w:rPr>
          <w:rFonts w:hint="eastAsia" w:ascii="宋体" w:hAnsi="宋体" w:cs="宋体"/>
          <w:color w:val="auto"/>
          <w:sz w:val="21"/>
          <w:szCs w:val="21"/>
          <w:lang w:eastAsia="zh-CN"/>
        </w:rPr>
        <w:t>供方</w:t>
      </w:r>
      <w:r>
        <w:rPr>
          <w:rFonts w:hint="eastAsia" w:ascii="宋体" w:hAnsi="宋体" w:cs="宋体"/>
          <w:color w:val="auto"/>
          <w:sz w:val="21"/>
          <w:szCs w:val="21"/>
        </w:rPr>
        <w:t>，</w:t>
      </w:r>
      <w:r>
        <w:rPr>
          <w:rFonts w:hint="eastAsia" w:ascii="宋体" w:hAnsi="宋体" w:cs="宋体"/>
          <w:color w:val="auto"/>
          <w:sz w:val="21"/>
          <w:szCs w:val="21"/>
          <w:lang w:eastAsia="zh-CN"/>
        </w:rPr>
        <w:t>供方</w:t>
      </w:r>
      <w:r>
        <w:rPr>
          <w:rFonts w:hint="eastAsia" w:ascii="宋体" w:hAnsi="宋体" w:cs="宋体"/>
          <w:color w:val="auto"/>
          <w:sz w:val="21"/>
          <w:szCs w:val="21"/>
        </w:rPr>
        <w:t>应在接到通知后三天内给予答复，并负责处理，若需送法定质检部门检验，检验费用由</w:t>
      </w:r>
      <w:r>
        <w:rPr>
          <w:rFonts w:hint="eastAsia" w:ascii="宋体" w:hAnsi="宋体" w:cs="宋体"/>
          <w:color w:val="auto"/>
          <w:sz w:val="21"/>
          <w:szCs w:val="21"/>
          <w:lang w:eastAsia="zh-CN"/>
        </w:rPr>
        <w:t>供方</w:t>
      </w:r>
      <w:r>
        <w:rPr>
          <w:rFonts w:hint="eastAsia" w:ascii="宋体" w:hAnsi="宋体" w:cs="宋体"/>
          <w:color w:val="auto"/>
          <w:sz w:val="21"/>
          <w:szCs w:val="21"/>
        </w:rPr>
        <w:t>承担。如发现服务项目及所需</w:t>
      </w:r>
      <w:r>
        <w:rPr>
          <w:rFonts w:hint="eastAsia" w:ascii="宋体" w:hAnsi="宋体" w:cs="宋体"/>
          <w:color w:val="auto"/>
          <w:sz w:val="21"/>
          <w:szCs w:val="21"/>
          <w:lang w:val="en-US" w:eastAsia="zh-CN"/>
        </w:rPr>
        <w:t>货物</w:t>
      </w:r>
      <w:r>
        <w:rPr>
          <w:rFonts w:hint="eastAsia" w:ascii="宋体" w:hAnsi="宋体" w:cs="宋体"/>
          <w:color w:val="auto"/>
          <w:sz w:val="21"/>
          <w:szCs w:val="21"/>
        </w:rPr>
        <w:t xml:space="preserve">、硬件质量严重不符合质量要求的， </w:t>
      </w:r>
      <w:r>
        <w:rPr>
          <w:rFonts w:hint="eastAsia" w:ascii="宋体" w:hAnsi="宋体" w:cs="宋体"/>
          <w:color w:val="auto"/>
          <w:sz w:val="21"/>
          <w:szCs w:val="21"/>
          <w:lang w:eastAsia="zh-CN"/>
        </w:rPr>
        <w:t>需方</w:t>
      </w:r>
      <w:r>
        <w:rPr>
          <w:rFonts w:hint="eastAsia" w:ascii="宋体" w:hAnsi="宋体" w:cs="宋体"/>
          <w:color w:val="auto"/>
          <w:sz w:val="21"/>
          <w:szCs w:val="21"/>
        </w:rPr>
        <w:t>可通知</w:t>
      </w:r>
      <w:r>
        <w:rPr>
          <w:rFonts w:hint="eastAsia" w:ascii="宋体" w:hAnsi="宋体" w:cs="宋体"/>
          <w:color w:val="auto"/>
          <w:sz w:val="21"/>
          <w:szCs w:val="21"/>
          <w:lang w:eastAsia="zh-CN"/>
        </w:rPr>
        <w:t>供方</w:t>
      </w:r>
      <w:r>
        <w:rPr>
          <w:rFonts w:hint="eastAsia" w:ascii="宋体" w:hAnsi="宋体" w:cs="宋体"/>
          <w:color w:val="auto"/>
          <w:sz w:val="21"/>
          <w:szCs w:val="21"/>
        </w:rPr>
        <w:t>停止服务，解除合同，一切责任由</w:t>
      </w:r>
      <w:r>
        <w:rPr>
          <w:rFonts w:hint="eastAsia" w:ascii="宋体" w:hAnsi="宋体" w:cs="宋体"/>
          <w:color w:val="auto"/>
          <w:sz w:val="21"/>
          <w:szCs w:val="21"/>
          <w:lang w:eastAsia="zh-CN"/>
        </w:rPr>
        <w:t>供方</w:t>
      </w:r>
      <w:r>
        <w:rPr>
          <w:rFonts w:hint="eastAsia" w:ascii="宋体" w:hAnsi="宋体" w:cs="宋体"/>
          <w:color w:val="auto"/>
          <w:sz w:val="21"/>
          <w:szCs w:val="21"/>
        </w:rPr>
        <w:t>承担。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八、服务项目起始时间及所需终端、硬件交货地点和验收单位：</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（一）服务起始时间：合同签订后    月内（    日历天内）；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（二）服务项目所需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9"/>
        <w:keepNext w:val="0"/>
        <w:keepLines w:val="0"/>
        <w:pageBreakBefore w:val="0"/>
        <w:widowControl/>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责任：</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eastAsia="zh-CN"/>
        </w:rPr>
        <w:t>供方</w:t>
      </w:r>
      <w:r>
        <w:rPr>
          <w:rFonts w:hint="eastAsia" w:ascii="宋体" w:hAnsi="宋体" w:cs="宋体"/>
          <w:color w:val="auto"/>
          <w:sz w:val="21"/>
          <w:szCs w:val="21"/>
        </w:rPr>
        <w:t>不履行合同或提供的服务全部或部分不符合合同要求的，</w:t>
      </w:r>
      <w:r>
        <w:rPr>
          <w:rFonts w:hint="eastAsia" w:ascii="宋体" w:hAnsi="宋体" w:cs="宋体"/>
          <w:color w:val="auto"/>
          <w:sz w:val="21"/>
          <w:szCs w:val="21"/>
          <w:lang w:eastAsia="zh-CN"/>
        </w:rPr>
        <w:t>需方</w:t>
      </w:r>
      <w:r>
        <w:rPr>
          <w:rFonts w:hint="eastAsia" w:ascii="宋体" w:hAnsi="宋体" w:cs="宋体"/>
          <w:color w:val="auto"/>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2、服务项目所需终端及硬件质量不符合合同规定时，</w:t>
      </w:r>
      <w:r>
        <w:rPr>
          <w:rFonts w:hint="eastAsia" w:ascii="宋体" w:hAnsi="宋体" w:cs="宋体"/>
          <w:color w:val="auto"/>
          <w:sz w:val="21"/>
          <w:szCs w:val="21"/>
          <w:lang w:eastAsia="zh-CN"/>
        </w:rPr>
        <w:t>需方</w:t>
      </w:r>
      <w:r>
        <w:rPr>
          <w:rFonts w:hint="eastAsia" w:ascii="宋体" w:hAnsi="宋体" w:cs="宋体"/>
          <w:color w:val="auto"/>
          <w:sz w:val="21"/>
          <w:szCs w:val="21"/>
        </w:rPr>
        <w:t>同意利用的按质论价，不能利用的，</w:t>
      </w:r>
      <w:r>
        <w:rPr>
          <w:rFonts w:hint="eastAsia" w:ascii="宋体" w:hAnsi="宋体" w:cs="宋体"/>
          <w:color w:val="auto"/>
          <w:sz w:val="21"/>
          <w:szCs w:val="21"/>
          <w:lang w:eastAsia="zh-CN"/>
        </w:rPr>
        <w:t>供方</w:t>
      </w:r>
      <w:r>
        <w:rPr>
          <w:rFonts w:hint="eastAsia" w:ascii="宋体" w:hAnsi="宋体" w:cs="宋体"/>
          <w:color w:val="auto"/>
          <w:sz w:val="21"/>
          <w:szCs w:val="21"/>
        </w:rPr>
        <w:t>负责包退包换。由于上述原因导致延误交货时间的，每延误一日，</w:t>
      </w:r>
      <w:r>
        <w:rPr>
          <w:rFonts w:hint="eastAsia" w:ascii="宋体" w:hAnsi="宋体" w:cs="宋体"/>
          <w:color w:val="auto"/>
          <w:sz w:val="21"/>
          <w:szCs w:val="21"/>
          <w:lang w:eastAsia="zh-CN"/>
        </w:rPr>
        <w:t>供方</w:t>
      </w:r>
      <w:r>
        <w:rPr>
          <w:rFonts w:hint="eastAsia" w:ascii="宋体" w:hAnsi="宋体" w:cs="宋体"/>
          <w:color w:val="auto"/>
          <w:sz w:val="21"/>
          <w:szCs w:val="21"/>
        </w:rPr>
        <w:t>应按逾期交货部分服务项目所需终端及硬件价款总值的 5‰向</w:t>
      </w:r>
      <w:r>
        <w:rPr>
          <w:rFonts w:hint="eastAsia" w:ascii="宋体" w:hAnsi="宋体" w:cs="宋体"/>
          <w:color w:val="auto"/>
          <w:sz w:val="21"/>
          <w:szCs w:val="21"/>
          <w:lang w:eastAsia="zh-CN"/>
        </w:rPr>
        <w:t>需方</w:t>
      </w:r>
      <w:r>
        <w:rPr>
          <w:rFonts w:hint="eastAsia" w:ascii="宋体" w:hAnsi="宋体" w:cs="宋体"/>
          <w:color w:val="auto"/>
          <w:sz w:val="21"/>
          <w:szCs w:val="21"/>
        </w:rPr>
        <w:t>偿付违约金。</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需方</w:t>
      </w:r>
      <w:r>
        <w:rPr>
          <w:rFonts w:hint="eastAsia" w:ascii="宋体" w:hAnsi="宋体" w:cs="宋体"/>
          <w:color w:val="auto"/>
          <w:sz w:val="21"/>
          <w:szCs w:val="21"/>
        </w:rPr>
        <w:t>责任</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lang w:eastAsia="zh-CN"/>
        </w:rPr>
        <w:t>需方</w:t>
      </w:r>
      <w:r>
        <w:rPr>
          <w:rFonts w:hint="eastAsia" w:ascii="宋体" w:hAnsi="宋体" w:cs="宋体"/>
          <w:color w:val="auto"/>
          <w:sz w:val="21"/>
          <w:szCs w:val="21"/>
        </w:rPr>
        <w:t>无正当理由，要求中途终止服务的，应向</w:t>
      </w:r>
      <w:r>
        <w:rPr>
          <w:rFonts w:hint="eastAsia" w:ascii="宋体" w:hAnsi="宋体" w:cs="宋体"/>
          <w:color w:val="auto"/>
          <w:sz w:val="21"/>
          <w:szCs w:val="21"/>
          <w:lang w:eastAsia="zh-CN"/>
        </w:rPr>
        <w:t>供方</w:t>
      </w:r>
      <w:r>
        <w:rPr>
          <w:rFonts w:hint="eastAsia" w:ascii="宋体" w:hAnsi="宋体" w:cs="宋体"/>
          <w:color w:val="auto"/>
          <w:sz w:val="21"/>
          <w:szCs w:val="21"/>
        </w:rPr>
        <w:t>支付剩余服务款总额10%的违约金，并承担因此造成的经济损失。</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十、特殊条款: *根据服务的特殊性及采购人的要求列出相关条款*</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十一、合同解释：</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其它未尽事宜由供需双方协商约定。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十二、本合同一式</w:t>
      </w:r>
      <w:r>
        <w:rPr>
          <w:rFonts w:hint="eastAsia" w:ascii="宋体" w:hAnsi="宋体" w:cs="宋体"/>
          <w:color w:val="auto"/>
          <w:sz w:val="21"/>
          <w:szCs w:val="21"/>
          <w:lang w:val="en-US" w:eastAsia="zh-CN"/>
        </w:rPr>
        <w:t>四</w:t>
      </w:r>
      <w:r>
        <w:rPr>
          <w:rFonts w:hint="eastAsia" w:ascii="宋体" w:hAnsi="宋体" w:cs="宋体"/>
          <w:color w:val="auto"/>
          <w:sz w:val="21"/>
          <w:szCs w:val="21"/>
        </w:rPr>
        <w:t>份，其中，</w:t>
      </w:r>
      <w:r>
        <w:rPr>
          <w:rFonts w:hint="eastAsia" w:ascii="宋体" w:hAnsi="宋体" w:cs="宋体"/>
          <w:color w:val="auto"/>
          <w:sz w:val="21"/>
          <w:szCs w:val="21"/>
          <w:lang w:eastAsia="zh-CN"/>
        </w:rPr>
        <w:t>需方</w:t>
      </w:r>
      <w:r>
        <w:rPr>
          <w:rFonts w:hint="eastAsia" w:ascii="宋体" w:hAnsi="宋体" w:cs="宋体"/>
          <w:color w:val="auto"/>
          <w:sz w:val="21"/>
          <w:szCs w:val="21"/>
          <w:lang w:val="en-US" w:eastAsia="zh-CN"/>
        </w:rPr>
        <w:t>二</w:t>
      </w:r>
      <w:r>
        <w:rPr>
          <w:rFonts w:hint="eastAsia" w:ascii="宋体" w:hAnsi="宋体" w:cs="宋体"/>
          <w:color w:val="auto"/>
          <w:sz w:val="21"/>
          <w:szCs w:val="21"/>
        </w:rPr>
        <w:t>份，</w:t>
      </w:r>
      <w:r>
        <w:rPr>
          <w:rFonts w:hint="eastAsia" w:ascii="宋体" w:hAnsi="宋体" w:cs="宋体"/>
          <w:color w:val="auto"/>
          <w:sz w:val="21"/>
          <w:szCs w:val="21"/>
          <w:lang w:eastAsia="zh-CN"/>
        </w:rPr>
        <w:t>供方</w:t>
      </w:r>
      <w:r>
        <w:rPr>
          <w:rFonts w:hint="eastAsia" w:ascii="宋体" w:hAnsi="宋体" w:cs="宋体"/>
          <w:color w:val="auto"/>
          <w:sz w:val="21"/>
          <w:szCs w:val="21"/>
          <w:lang w:val="en-US" w:eastAsia="zh-CN"/>
        </w:rPr>
        <w:t>二</w:t>
      </w:r>
      <w:r>
        <w:rPr>
          <w:rFonts w:hint="eastAsia" w:ascii="宋体" w:hAnsi="宋体" w:cs="宋体"/>
          <w:color w:val="auto"/>
          <w:sz w:val="21"/>
          <w:szCs w:val="21"/>
        </w:rPr>
        <w:t>份均具有同等法律效力。</w:t>
      </w:r>
    </w:p>
    <w:p>
      <w:pPr>
        <w:widowControl/>
        <w:spacing w:line="360" w:lineRule="auto"/>
        <w:ind w:firstLine="420" w:firstLineChars="200"/>
        <w:jc w:val="left"/>
        <w:rPr>
          <w:rFonts w:hint="eastAsia" w:ascii="宋体" w:hAnsi="宋体" w:cs="宋体"/>
          <w:color w:val="auto"/>
          <w:kern w:val="0"/>
          <w:sz w:val="21"/>
          <w:szCs w:val="21"/>
        </w:rPr>
      </w:pPr>
    </w:p>
    <w:p>
      <w:pPr>
        <w:widowControl/>
        <w:spacing w:line="360" w:lineRule="auto"/>
        <w:jc w:val="left"/>
        <w:rPr>
          <w:rFonts w:hint="eastAsia" w:ascii="宋体" w:hAnsi="宋体" w:cs="宋体"/>
          <w:color w:val="auto"/>
          <w:kern w:val="0"/>
          <w:sz w:val="24"/>
        </w:rPr>
      </w:pPr>
    </w:p>
    <w:p>
      <w:pPr>
        <w:spacing w:line="360" w:lineRule="auto"/>
        <w:ind w:firstLine="480" w:firstLineChars="200"/>
        <w:rPr>
          <w:rFonts w:hint="eastAsia" w:ascii="宋体" w:hAnsi="宋体" w:cs="宋体"/>
          <w:color w:val="auto"/>
          <w:sz w:val="24"/>
        </w:rPr>
      </w:pPr>
    </w:p>
    <w:p>
      <w:pPr>
        <w:spacing w:line="360" w:lineRule="auto"/>
        <w:ind w:firstLine="480" w:firstLineChars="200"/>
        <w:rPr>
          <w:rFonts w:hint="eastAsia" w:ascii="宋体" w:hAnsi="宋体" w:cs="宋体"/>
          <w:color w:val="auto"/>
          <w:sz w:val="24"/>
        </w:rPr>
      </w:pPr>
    </w:p>
    <w:p>
      <w:pPr>
        <w:spacing w:line="360" w:lineRule="auto"/>
        <w:ind w:firstLine="480" w:firstLineChars="200"/>
        <w:rPr>
          <w:rFonts w:hint="eastAsia" w:ascii="宋体" w:hAnsi="宋体" w:cs="宋体"/>
          <w:color w:val="auto"/>
          <w:sz w:val="24"/>
        </w:rPr>
      </w:pPr>
    </w:p>
    <w:p>
      <w:pPr>
        <w:pStyle w:val="75"/>
        <w:numPr>
          <w:ilvl w:val="0"/>
          <w:numId w:val="0"/>
        </w:numPr>
        <w:ind w:left="1838" w:leftChars="0"/>
        <w:rPr>
          <w:rFonts w:hint="eastAsia"/>
          <w:color w:val="auto"/>
        </w:rPr>
      </w:pPr>
    </w:p>
    <w:p>
      <w:pPr>
        <w:pStyle w:val="47"/>
        <w:rPr>
          <w:rFonts w:hint="eastAsia"/>
          <w:color w:val="auto"/>
        </w:rPr>
      </w:pPr>
    </w:p>
    <w:p>
      <w:pPr>
        <w:pStyle w:val="47"/>
        <w:rPr>
          <w:rFonts w:hint="eastAsia"/>
          <w:color w:val="auto"/>
        </w:rPr>
      </w:pPr>
    </w:p>
    <w:p>
      <w:pPr>
        <w:pStyle w:val="47"/>
        <w:rPr>
          <w:rFonts w:hint="eastAsia"/>
          <w:color w:val="auto"/>
        </w:rPr>
      </w:pPr>
    </w:p>
    <w:p>
      <w:pPr>
        <w:pStyle w:val="47"/>
        <w:rPr>
          <w:rFonts w:hint="eastAsia"/>
          <w:color w:val="auto"/>
        </w:rPr>
      </w:pPr>
    </w:p>
    <w:p>
      <w:pPr>
        <w:pStyle w:val="47"/>
        <w:rPr>
          <w:rFonts w:hint="eastAsia"/>
          <w:color w:val="auto"/>
        </w:rPr>
      </w:pPr>
    </w:p>
    <w:p>
      <w:pPr>
        <w:pStyle w:val="47"/>
        <w:rPr>
          <w:rFonts w:hint="eastAsia"/>
          <w:color w:val="auto"/>
        </w:rPr>
      </w:pPr>
    </w:p>
    <w:p>
      <w:pPr>
        <w:pStyle w:val="47"/>
        <w:rPr>
          <w:rFonts w:hint="eastAsia"/>
          <w:color w:val="auto"/>
        </w:rPr>
      </w:pPr>
    </w:p>
    <w:p>
      <w:pPr>
        <w:pStyle w:val="9"/>
        <w:ind w:firstLine="480"/>
        <w:rPr>
          <w:rFonts w:hint="eastAsia" w:ascii="宋体" w:hAnsi="宋体" w:cs="宋体"/>
          <w:color w:val="auto"/>
          <w:sz w:val="24"/>
        </w:rPr>
      </w:pPr>
    </w:p>
    <w:p>
      <w:pPr>
        <w:widowControl/>
        <w:spacing w:line="360" w:lineRule="auto"/>
        <w:jc w:val="left"/>
        <w:rPr>
          <w:rFonts w:hint="eastAsia" w:ascii="宋体" w:hAnsi="宋体" w:cs="宋体"/>
          <w:color w:val="auto"/>
          <w:kern w:val="0"/>
          <w:sz w:val="21"/>
          <w:szCs w:val="21"/>
        </w:rPr>
      </w:pPr>
      <w:r>
        <w:rPr>
          <w:rFonts w:hint="eastAsia" w:ascii="宋体" w:hAnsi="宋体" w:cs="宋体"/>
          <w:color w:val="auto"/>
          <w:kern w:val="0"/>
          <w:sz w:val="21"/>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采购人（公章）：</w:t>
            </w:r>
            <w:r>
              <w:rPr>
                <w:rFonts w:hint="eastAsia" w:ascii="宋体" w:hAnsi="宋体" w:cs="宋体"/>
                <w:color w:val="auto"/>
                <w:kern w:val="0"/>
                <w:sz w:val="21"/>
                <w:szCs w:val="21"/>
                <w:lang w:val="en-US" w:eastAsia="zh-CN"/>
              </w:rPr>
              <w:t>兰州职业技术学院</w:t>
            </w:r>
            <w:r>
              <w:rPr>
                <w:rFonts w:hint="eastAsia" w:ascii="宋体" w:hAnsi="宋体" w:cs="宋体"/>
                <w:color w:val="auto"/>
                <w:kern w:val="0"/>
                <w:sz w:val="21"/>
                <w:szCs w:val="21"/>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账号：</w:t>
            </w:r>
          </w:p>
        </w:tc>
        <w:tc>
          <w:tcPr>
            <w:tcW w:w="4212"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 xml:space="preserve">供应商（公章）：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auto"/>
                <w:kern w:val="0"/>
                <w:sz w:val="21"/>
                <w:szCs w:val="21"/>
              </w:rPr>
            </w:pPr>
            <w:r>
              <w:rPr>
                <w:rFonts w:hint="eastAsia" w:ascii="宋体" w:hAnsi="宋体" w:cs="宋体"/>
                <w:color w:val="auto"/>
                <w:kern w:val="0"/>
                <w:sz w:val="21"/>
                <w:szCs w:val="21"/>
              </w:rPr>
              <w:t>账号：</w:t>
            </w:r>
          </w:p>
          <w:p>
            <w:pPr>
              <w:keepNext w:val="0"/>
              <w:keepLines w:val="0"/>
              <w:suppressLineNumbers w:val="0"/>
              <w:spacing w:before="0" w:beforeAutospacing="0" w:after="0" w:afterAutospacing="0"/>
              <w:ind w:left="0" w:right="0" w:firstLine="420" w:firstLineChars="200"/>
              <w:rPr>
                <w:rFonts w:hint="eastAsia" w:ascii="宋体" w:hAnsi="宋体" w:cs="宋体"/>
                <w:color w:val="auto"/>
                <w:sz w:val="21"/>
                <w:szCs w:val="21"/>
              </w:rPr>
            </w:pPr>
          </w:p>
        </w:tc>
      </w:tr>
    </w:tbl>
    <w:p>
      <w:pPr>
        <w:widowControl/>
        <w:spacing w:line="360" w:lineRule="auto"/>
        <w:jc w:val="left"/>
        <w:rPr>
          <w:rFonts w:hint="eastAsia" w:ascii="宋体" w:hAnsi="宋体" w:cs="宋体"/>
          <w:color w:val="auto"/>
          <w:kern w:val="0"/>
          <w:sz w:val="24"/>
        </w:rPr>
      </w:pPr>
    </w:p>
    <w:p>
      <w:pPr>
        <w:widowControl/>
        <w:spacing w:line="360" w:lineRule="auto"/>
        <w:jc w:val="left"/>
        <w:rPr>
          <w:rFonts w:hint="eastAsia" w:ascii="宋体" w:hAnsi="宋体" w:cs="宋体"/>
          <w:color w:val="auto"/>
          <w:kern w:val="0"/>
          <w:sz w:val="24"/>
        </w:rPr>
      </w:pPr>
    </w:p>
    <w:p>
      <w:pPr>
        <w:widowControl/>
        <w:spacing w:line="360" w:lineRule="auto"/>
        <w:jc w:val="left"/>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kern w:val="0"/>
          <w:sz w:val="24"/>
        </w:rPr>
      </w:pPr>
    </w:p>
    <w:p>
      <w:pPr>
        <w:pStyle w:val="9"/>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8" w:name="_Toc361769640"/>
      <w:bookmarkStart w:id="29" w:name="_Toc361769774"/>
      <w:bookmarkStart w:id="30" w:name="_Toc365276924"/>
    </w:p>
    <w:p>
      <w:pPr>
        <w:spacing w:after="160" w:line="360" w:lineRule="auto"/>
        <w:rPr>
          <w:rFonts w:hint="eastAsia" w:ascii="宋体" w:hAnsi="宋体" w:cs="宋体"/>
          <w:color w:val="auto"/>
          <w:sz w:val="24"/>
        </w:rPr>
      </w:pPr>
    </w:p>
    <w:p>
      <w:pPr>
        <w:pStyle w:val="9"/>
        <w:rPr>
          <w:rFonts w:hint="eastAsia" w:ascii="宋体" w:hAnsi="宋体" w:cs="宋体"/>
          <w:color w:val="auto"/>
          <w:sz w:val="24"/>
        </w:rPr>
      </w:pPr>
    </w:p>
    <w:p>
      <w:pPr>
        <w:pStyle w:val="9"/>
        <w:rPr>
          <w:rFonts w:hint="eastAsia" w:ascii="宋体" w:hAnsi="宋体" w:cs="宋体"/>
          <w:color w:val="auto"/>
          <w:sz w:val="24"/>
        </w:rPr>
      </w:pPr>
    </w:p>
    <w:p>
      <w:pPr>
        <w:pStyle w:val="9"/>
        <w:rPr>
          <w:rFonts w:hint="eastAsia" w:ascii="宋体" w:hAnsi="宋体" w:cs="宋体"/>
          <w:color w:val="auto"/>
          <w:sz w:val="24"/>
        </w:rPr>
      </w:pPr>
    </w:p>
    <w:p>
      <w:pPr>
        <w:pStyle w:val="9"/>
        <w:rPr>
          <w:rFonts w:hint="eastAsia" w:ascii="宋体" w:hAnsi="宋体" w:cs="宋体"/>
          <w:color w:val="auto"/>
          <w:sz w:val="24"/>
        </w:rPr>
      </w:pPr>
    </w:p>
    <w:p>
      <w:pPr>
        <w:pStyle w:val="9"/>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31" w:name="_Toc480203888"/>
      <w:bookmarkStart w:id="32" w:name="_Toc498079263"/>
      <w:bookmarkStart w:id="33" w:name="_Toc3989"/>
      <w:r>
        <w:rPr>
          <w:rFonts w:hint="eastAsia" w:ascii="宋体" w:hAnsi="宋体" w:cs="宋体"/>
          <w:color w:val="auto"/>
        </w:rPr>
        <w:t>第三部分 技术参数及项目</w:t>
      </w:r>
      <w:bookmarkEnd w:id="31"/>
      <w:bookmarkEnd w:id="32"/>
      <w:bookmarkEnd w:id="33"/>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tbl>
      <w:tblPr>
        <w:tblStyle w:val="37"/>
        <w:tblW w:w="4997" w:type="pct"/>
        <w:tblInd w:w="0" w:type="dxa"/>
        <w:tblLayout w:type="fixed"/>
        <w:tblCellMar>
          <w:top w:w="0" w:type="dxa"/>
          <w:left w:w="0" w:type="dxa"/>
          <w:bottom w:w="0" w:type="dxa"/>
          <w:right w:w="0" w:type="dxa"/>
        </w:tblCellMar>
      </w:tblPr>
      <w:tblGrid>
        <w:gridCol w:w="518"/>
        <w:gridCol w:w="628"/>
        <w:gridCol w:w="6496"/>
        <w:gridCol w:w="519"/>
        <w:gridCol w:w="18"/>
        <w:gridCol w:w="578"/>
      </w:tblGrid>
      <w:tr>
        <w:tblPrEx>
          <w:tblCellMar>
            <w:top w:w="0" w:type="dxa"/>
            <w:left w:w="0" w:type="dxa"/>
            <w:bottom w:w="0" w:type="dxa"/>
            <w:right w:w="0" w:type="dxa"/>
          </w:tblCellMar>
        </w:tblPrEx>
        <w:trPr>
          <w:trHeight w:val="483" w:hRule="atLeast"/>
        </w:trPr>
        <w:tc>
          <w:tcPr>
            <w:tcW w:w="295" w:type="pct"/>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b/>
                <w:bCs/>
                <w:sz w:val="18"/>
                <w:szCs w:val="18"/>
              </w:rPr>
            </w:pPr>
            <w:r>
              <w:rPr>
                <w:rFonts w:hint="eastAsia" w:ascii="仿宋" w:hAnsi="仿宋" w:eastAsia="仿宋" w:cs="仿宋"/>
                <w:b/>
                <w:bCs/>
                <w:sz w:val="18"/>
                <w:szCs w:val="18"/>
              </w:rPr>
              <w:t>序号</w:t>
            </w:r>
          </w:p>
        </w:tc>
        <w:tc>
          <w:tcPr>
            <w:tcW w:w="358" w:type="pct"/>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b/>
                <w:bCs/>
                <w:sz w:val="18"/>
                <w:szCs w:val="18"/>
              </w:rPr>
            </w:pPr>
            <w:r>
              <w:rPr>
                <w:rFonts w:hint="eastAsia" w:ascii="仿宋" w:hAnsi="仿宋" w:eastAsia="仿宋" w:cs="仿宋"/>
                <w:b/>
                <w:bCs/>
                <w:sz w:val="18"/>
                <w:szCs w:val="18"/>
              </w:rPr>
              <w:t>商品名称</w:t>
            </w:r>
          </w:p>
        </w:tc>
        <w:tc>
          <w:tcPr>
            <w:tcW w:w="3709" w:type="pct"/>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val="0"/>
              <w:suppressLineNumbers w:val="0"/>
              <w:topLinePunct/>
              <w:spacing w:before="0" w:beforeAutospacing="0" w:after="0" w:afterAutospacing="0"/>
              <w:ind w:left="0" w:right="0"/>
              <w:contextualSpacing/>
              <w:jc w:val="center"/>
              <w:rPr>
                <w:rFonts w:hint="default" w:ascii="仿宋" w:hAnsi="仿宋" w:eastAsia="仿宋" w:cs="仿宋"/>
                <w:b/>
                <w:bCs/>
                <w:sz w:val="18"/>
                <w:szCs w:val="18"/>
              </w:rPr>
            </w:pPr>
            <w:r>
              <w:rPr>
                <w:rFonts w:hint="eastAsia" w:ascii="仿宋" w:hAnsi="仿宋" w:eastAsia="仿宋" w:cs="仿宋"/>
                <w:b/>
                <w:bCs/>
                <w:sz w:val="18"/>
                <w:szCs w:val="18"/>
              </w:rPr>
              <w:t>技术规格</w:t>
            </w:r>
          </w:p>
        </w:tc>
        <w:tc>
          <w:tcPr>
            <w:tcW w:w="296" w:type="pct"/>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b/>
                <w:bCs/>
                <w:sz w:val="18"/>
                <w:szCs w:val="18"/>
              </w:rPr>
            </w:pPr>
            <w:r>
              <w:rPr>
                <w:rFonts w:hint="eastAsia" w:ascii="仿宋" w:hAnsi="仿宋" w:eastAsia="仿宋" w:cs="仿宋"/>
                <w:b/>
                <w:bCs/>
                <w:sz w:val="18"/>
                <w:szCs w:val="18"/>
              </w:rPr>
              <w:t>单位</w:t>
            </w:r>
          </w:p>
        </w:tc>
        <w:tc>
          <w:tcPr>
            <w:tcW w:w="340" w:type="pct"/>
            <w:gridSpan w:val="2"/>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b/>
                <w:bCs/>
                <w:sz w:val="18"/>
                <w:szCs w:val="18"/>
              </w:rPr>
            </w:pPr>
            <w:r>
              <w:rPr>
                <w:rFonts w:hint="eastAsia" w:ascii="仿宋" w:hAnsi="仿宋" w:eastAsia="仿宋" w:cs="仿宋"/>
                <w:b/>
                <w:bCs/>
                <w:sz w:val="18"/>
                <w:szCs w:val="18"/>
              </w:rPr>
              <w:t>数量</w:t>
            </w:r>
          </w:p>
        </w:tc>
      </w:tr>
      <w:tr>
        <w:tblPrEx>
          <w:tblCellMar>
            <w:top w:w="0" w:type="dxa"/>
            <w:left w:w="0" w:type="dxa"/>
            <w:bottom w:w="0" w:type="dxa"/>
            <w:right w:w="0" w:type="dxa"/>
          </w:tblCellMar>
        </w:tblPrEx>
        <w:trPr>
          <w:trHeight w:val="90"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高清谈话主机</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Style w:val="114"/>
                <w:rFonts w:hint="default" w:ascii="仿宋" w:hAnsi="仿宋" w:eastAsia="仿宋" w:cs="仿宋"/>
                <w:sz w:val="18"/>
                <w:szCs w:val="18"/>
              </w:rPr>
              <w:t>本项目须满足同步录音录像要求。★支持一键式开始/结束谈话，切换画面，回放，打点。★光盘加密功能，支持对光盘进行数字加密，生产唯一不可修改加密序列号，需要检验密码才能查看光盘内录像文件★音频输入和输出音频可调，支持声音波形显示，具备最大10路音频混音★异常检测功能，支持谈话刻录异常、硬盘错误、网络断开、IP冲突、录像异常、非法访问的异常报警检测与上传视频录像和刻录过程时对重要段落标识打点，并可在设备回放时进行重点标记索引。★启用无声通道，可对无声音权限的人员传输屏蔽声音的视频★谈话记录支持本地查询，并可选择恢复重新刻录到光盘上；具备权限的用户支持对本地案件信息及视频删除。</w:t>
            </w:r>
            <w:r>
              <w:rPr>
                <w:rStyle w:val="115"/>
                <w:rFonts w:hint="default" w:ascii="仿宋" w:hAnsi="仿宋" w:eastAsia="仿宋" w:cs="仿宋"/>
                <w:sz w:val="18"/>
                <w:szCs w:val="18"/>
              </w:rPr>
              <w:t>★项提供公安部型式检测报告复印件加盖厂商鲜章。</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w:t>
            </w:r>
            <w:r>
              <w:rPr>
                <w:rStyle w:val="116"/>
                <w:rFonts w:hint="eastAsia" w:ascii="仿宋" w:hAnsi="仿宋" w:eastAsia="仿宋" w:cs="仿宋"/>
                <w:sz w:val="18"/>
                <w:szCs w:val="18"/>
              </w:rPr>
              <w:t>6</w:t>
            </w:r>
            <w:r>
              <w:rPr>
                <w:rStyle w:val="114"/>
                <w:rFonts w:hint="default" w:ascii="仿宋" w:hAnsi="仿宋" w:eastAsia="仿宋" w:cs="仿宋"/>
                <w:sz w:val="18"/>
                <w:szCs w:val="18"/>
              </w:rPr>
              <w:t>路</w:t>
            </w:r>
            <w:r>
              <w:rPr>
                <w:rStyle w:val="116"/>
                <w:rFonts w:hint="eastAsia" w:ascii="仿宋" w:hAnsi="仿宋" w:eastAsia="仿宋" w:cs="仿宋"/>
                <w:sz w:val="18"/>
                <w:szCs w:val="18"/>
              </w:rPr>
              <w:t>400W IPC</w:t>
            </w:r>
            <w:r>
              <w:rPr>
                <w:rStyle w:val="114"/>
                <w:rFonts w:hint="default" w:ascii="仿宋" w:hAnsi="仿宋" w:eastAsia="仿宋" w:cs="仿宋"/>
                <w:sz w:val="18"/>
                <w:szCs w:val="18"/>
              </w:rPr>
              <w:t>接入或</w:t>
            </w:r>
            <w:r>
              <w:rPr>
                <w:rStyle w:val="116"/>
                <w:rFonts w:hint="eastAsia" w:ascii="仿宋" w:hAnsi="仿宋" w:eastAsia="仿宋" w:cs="仿宋"/>
                <w:sz w:val="18"/>
                <w:szCs w:val="18"/>
              </w:rPr>
              <w:t>8</w:t>
            </w:r>
            <w:r>
              <w:rPr>
                <w:rStyle w:val="114"/>
                <w:rFonts w:hint="default" w:ascii="仿宋" w:hAnsi="仿宋" w:eastAsia="仿宋" w:cs="仿宋"/>
                <w:sz w:val="18"/>
                <w:szCs w:val="18"/>
              </w:rPr>
              <w:t>路</w:t>
            </w:r>
            <w:r>
              <w:rPr>
                <w:rStyle w:val="116"/>
                <w:rFonts w:hint="eastAsia" w:ascii="仿宋" w:hAnsi="仿宋" w:eastAsia="仿宋" w:cs="仿宋"/>
                <w:sz w:val="18"/>
                <w:szCs w:val="18"/>
              </w:rPr>
              <w:t>1080p IPC</w:t>
            </w:r>
            <w:r>
              <w:rPr>
                <w:rStyle w:val="114"/>
                <w:rFonts w:hint="default" w:ascii="仿宋" w:hAnsi="仿宋" w:eastAsia="仿宋" w:cs="仿宋"/>
                <w:sz w:val="18"/>
                <w:szCs w:val="18"/>
              </w:rPr>
              <w:t>输入；</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支持画中画配置（画面合成）；</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支持一键谈话、一键回放、一键打点；</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w:t>
            </w:r>
            <w:r>
              <w:rPr>
                <w:rStyle w:val="116"/>
                <w:rFonts w:hint="eastAsia" w:ascii="仿宋" w:hAnsi="仿宋" w:eastAsia="仿宋" w:cs="仿宋"/>
                <w:sz w:val="18"/>
                <w:szCs w:val="18"/>
              </w:rPr>
              <w:t>2</w:t>
            </w:r>
            <w:r>
              <w:rPr>
                <w:rStyle w:val="114"/>
                <w:rFonts w:hint="default" w:ascii="仿宋" w:hAnsi="仿宋" w:eastAsia="仿宋" w:cs="仿宋"/>
                <w:sz w:val="18"/>
                <w:szCs w:val="18"/>
              </w:rPr>
              <w:t>路</w:t>
            </w:r>
            <w:r>
              <w:rPr>
                <w:rStyle w:val="116"/>
                <w:rFonts w:hint="eastAsia" w:ascii="仿宋" w:hAnsi="仿宋" w:eastAsia="仿宋" w:cs="仿宋"/>
                <w:sz w:val="18"/>
                <w:szCs w:val="18"/>
              </w:rPr>
              <w:t>VGA</w:t>
            </w:r>
            <w:r>
              <w:rPr>
                <w:rStyle w:val="114"/>
                <w:rFonts w:hint="default" w:ascii="仿宋" w:hAnsi="仿宋" w:eastAsia="仿宋" w:cs="仿宋"/>
                <w:sz w:val="18"/>
                <w:szCs w:val="18"/>
              </w:rPr>
              <w:t>输入和</w:t>
            </w:r>
            <w:r>
              <w:rPr>
                <w:rStyle w:val="116"/>
                <w:rFonts w:hint="eastAsia" w:ascii="仿宋" w:hAnsi="仿宋" w:eastAsia="仿宋" w:cs="仿宋"/>
                <w:sz w:val="18"/>
                <w:szCs w:val="18"/>
              </w:rPr>
              <w:t>2</w:t>
            </w:r>
            <w:r>
              <w:rPr>
                <w:rStyle w:val="114"/>
                <w:rFonts w:hint="default" w:ascii="仿宋" w:hAnsi="仿宋" w:eastAsia="仿宋" w:cs="仿宋"/>
                <w:sz w:val="18"/>
                <w:szCs w:val="18"/>
              </w:rPr>
              <w:t>路</w:t>
            </w:r>
            <w:r>
              <w:rPr>
                <w:rStyle w:val="116"/>
                <w:rFonts w:hint="eastAsia" w:ascii="仿宋" w:hAnsi="仿宋" w:eastAsia="仿宋" w:cs="仿宋"/>
                <w:sz w:val="18"/>
                <w:szCs w:val="18"/>
              </w:rPr>
              <w:t>HDMI</w:t>
            </w:r>
            <w:r>
              <w:rPr>
                <w:rStyle w:val="114"/>
                <w:rFonts w:hint="default" w:ascii="仿宋" w:hAnsi="仿宋" w:eastAsia="仿宋" w:cs="仿宋"/>
                <w:sz w:val="18"/>
                <w:szCs w:val="18"/>
              </w:rPr>
              <w:t>输入；</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支持全路数</w:t>
            </w:r>
            <w:r>
              <w:rPr>
                <w:rStyle w:val="116"/>
                <w:rFonts w:hint="eastAsia" w:ascii="仿宋" w:hAnsi="仿宋" w:eastAsia="仿宋" w:cs="仿宋"/>
                <w:sz w:val="18"/>
                <w:szCs w:val="18"/>
              </w:rPr>
              <w:t>H.265</w:t>
            </w:r>
            <w:r>
              <w:rPr>
                <w:rStyle w:val="114"/>
                <w:rFonts w:hint="default" w:ascii="仿宋" w:hAnsi="仿宋" w:eastAsia="仿宋" w:cs="仿宋"/>
                <w:sz w:val="18"/>
                <w:szCs w:val="18"/>
              </w:rPr>
              <w:t>编解码；</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支持视频信息上叠加温湿度信息；</w:t>
            </w:r>
            <w:r>
              <w:rPr>
                <w:rStyle w:val="116"/>
                <w:rFonts w:hint="eastAsia" w:ascii="仿宋" w:hAnsi="仿宋" w:eastAsia="仿宋" w:cs="仿宋"/>
                <w:sz w:val="18"/>
                <w:szCs w:val="18"/>
              </w:rPr>
              <w:br w:type="textWrapping"/>
            </w:r>
            <w:r>
              <w:rPr>
                <w:rStyle w:val="114"/>
                <w:rFonts w:hint="default" w:ascii="仿宋" w:hAnsi="仿宋" w:eastAsia="仿宋" w:cs="仿宋"/>
                <w:sz w:val="18"/>
                <w:szCs w:val="18"/>
              </w:rPr>
              <w:t>支持容量最大为</w:t>
            </w:r>
            <w:r>
              <w:rPr>
                <w:rStyle w:val="116"/>
                <w:rFonts w:hint="eastAsia" w:ascii="仿宋" w:hAnsi="仿宋" w:eastAsia="仿宋" w:cs="仿宋"/>
                <w:sz w:val="18"/>
                <w:szCs w:val="18"/>
              </w:rPr>
              <w:t>8TB</w:t>
            </w:r>
            <w:r>
              <w:rPr>
                <w:rStyle w:val="114"/>
                <w:rFonts w:hint="default" w:ascii="仿宋" w:hAnsi="仿宋" w:eastAsia="仿宋" w:cs="仿宋"/>
                <w:sz w:val="18"/>
                <w:szCs w:val="18"/>
              </w:rPr>
              <w:t>的硬盘；</w:t>
            </w:r>
            <w:r>
              <w:rPr>
                <w:rStyle w:val="116"/>
                <w:rFonts w:hint="eastAsia" w:ascii="仿宋" w:hAnsi="仿宋" w:eastAsia="仿宋" w:cs="仿宋"/>
                <w:sz w:val="18"/>
                <w:szCs w:val="18"/>
              </w:rPr>
              <w:br w:type="textWrapping"/>
            </w:r>
            <w:r>
              <w:rPr>
                <w:rStyle w:val="116"/>
                <w:rFonts w:hint="eastAsia" w:ascii="仿宋" w:hAnsi="仿宋" w:eastAsia="仿宋" w:cs="仿宋"/>
                <w:sz w:val="18"/>
                <w:szCs w:val="18"/>
              </w:rPr>
              <w:t>3U</w:t>
            </w:r>
            <w:r>
              <w:rPr>
                <w:rStyle w:val="114"/>
                <w:rFonts w:hint="default" w:ascii="仿宋" w:hAnsi="仿宋" w:eastAsia="仿宋" w:cs="仿宋"/>
                <w:sz w:val="18"/>
                <w:szCs w:val="18"/>
              </w:rPr>
              <w:t>机箱；</w:t>
            </w:r>
            <w:r>
              <w:rPr>
                <w:rStyle w:val="116"/>
                <w:rFonts w:hint="eastAsia" w:ascii="仿宋" w:hAnsi="仿宋" w:eastAsia="仿宋" w:cs="仿宋"/>
                <w:sz w:val="18"/>
                <w:szCs w:val="18"/>
              </w:rPr>
              <w:br w:type="textWrapping"/>
            </w:r>
            <w:r>
              <w:rPr>
                <w:rStyle w:val="116"/>
                <w:rFonts w:hint="eastAsia" w:ascii="仿宋" w:hAnsi="仿宋" w:eastAsia="仿宋" w:cs="仿宋"/>
                <w:sz w:val="18"/>
                <w:szCs w:val="18"/>
              </w:rPr>
              <w:t>2</w:t>
            </w:r>
            <w:r>
              <w:rPr>
                <w:rStyle w:val="114"/>
                <w:rFonts w:hint="default" w:ascii="仿宋" w:hAnsi="仿宋" w:eastAsia="仿宋" w:cs="仿宋"/>
                <w:sz w:val="18"/>
                <w:szCs w:val="18"/>
              </w:rPr>
              <w:t>个</w:t>
            </w:r>
            <w:r>
              <w:rPr>
                <w:rStyle w:val="116"/>
                <w:rFonts w:hint="eastAsia" w:ascii="仿宋" w:hAnsi="仿宋" w:eastAsia="仿宋" w:cs="仿宋"/>
                <w:sz w:val="18"/>
                <w:szCs w:val="18"/>
              </w:rPr>
              <w:t>RJ45 10M/100M/1000M</w:t>
            </w:r>
            <w:r>
              <w:rPr>
                <w:rStyle w:val="114"/>
                <w:rFonts w:hint="default" w:ascii="仿宋" w:hAnsi="仿宋" w:eastAsia="仿宋" w:cs="仿宋"/>
                <w:sz w:val="18"/>
                <w:szCs w:val="18"/>
              </w:rPr>
              <w:t>自适应以太网口</w:t>
            </w:r>
            <w:r>
              <w:rPr>
                <w:rStyle w:val="116"/>
                <w:rFonts w:hint="eastAsia" w:ascii="仿宋" w:hAnsi="仿宋" w:eastAsia="仿宋" w:cs="仿宋"/>
                <w:sz w:val="18"/>
                <w:szCs w:val="18"/>
              </w:rPr>
              <w:br w:type="textWrapping"/>
            </w:r>
            <w:r>
              <w:rPr>
                <w:rStyle w:val="116"/>
                <w:rFonts w:hint="eastAsia" w:ascii="仿宋" w:hAnsi="仿宋" w:eastAsia="仿宋" w:cs="仿宋"/>
                <w:sz w:val="18"/>
                <w:szCs w:val="18"/>
              </w:rPr>
              <w:t>8</w:t>
            </w:r>
            <w:r>
              <w:rPr>
                <w:rStyle w:val="114"/>
                <w:rFonts w:hint="default" w:ascii="仿宋" w:hAnsi="仿宋" w:eastAsia="仿宋" w:cs="仿宋"/>
                <w:sz w:val="18"/>
                <w:szCs w:val="18"/>
              </w:rPr>
              <w:t>个报警输入、</w:t>
            </w:r>
            <w:r>
              <w:rPr>
                <w:rStyle w:val="116"/>
                <w:rFonts w:hint="eastAsia" w:ascii="仿宋" w:hAnsi="仿宋" w:eastAsia="仿宋" w:cs="仿宋"/>
                <w:sz w:val="18"/>
                <w:szCs w:val="18"/>
              </w:rPr>
              <w:t>4</w:t>
            </w:r>
            <w:r>
              <w:rPr>
                <w:rStyle w:val="114"/>
                <w:rFonts w:hint="default" w:ascii="仿宋" w:hAnsi="仿宋" w:eastAsia="仿宋" w:cs="仿宋"/>
                <w:sz w:val="18"/>
                <w:szCs w:val="18"/>
              </w:rPr>
              <w:t>个报警输出、</w:t>
            </w:r>
            <w:r>
              <w:rPr>
                <w:rStyle w:val="116"/>
                <w:rFonts w:hint="eastAsia" w:ascii="仿宋" w:hAnsi="仿宋" w:eastAsia="仿宋" w:cs="仿宋"/>
                <w:sz w:val="18"/>
                <w:szCs w:val="18"/>
              </w:rPr>
              <w:t>2</w:t>
            </w:r>
            <w:r>
              <w:rPr>
                <w:rStyle w:val="114"/>
                <w:rFonts w:hint="default" w:ascii="仿宋" w:hAnsi="仿宋" w:eastAsia="仿宋" w:cs="仿宋"/>
                <w:sz w:val="18"/>
                <w:szCs w:val="18"/>
              </w:rPr>
              <w:t>个</w:t>
            </w:r>
            <w:r>
              <w:rPr>
                <w:rStyle w:val="116"/>
                <w:rFonts w:hint="eastAsia" w:ascii="仿宋" w:hAnsi="仿宋" w:eastAsia="仿宋" w:cs="仿宋"/>
                <w:sz w:val="18"/>
                <w:szCs w:val="18"/>
              </w:rPr>
              <w:t>RS-232</w:t>
            </w:r>
            <w:r>
              <w:rPr>
                <w:rStyle w:val="114"/>
                <w:rFonts w:hint="default" w:ascii="仿宋" w:hAnsi="仿宋" w:eastAsia="仿宋" w:cs="仿宋"/>
                <w:sz w:val="18"/>
                <w:szCs w:val="18"/>
              </w:rPr>
              <w:t>、</w:t>
            </w:r>
            <w:r>
              <w:rPr>
                <w:rStyle w:val="116"/>
                <w:rFonts w:hint="eastAsia" w:ascii="仿宋" w:hAnsi="仿宋" w:eastAsia="仿宋" w:cs="仿宋"/>
                <w:sz w:val="18"/>
                <w:szCs w:val="18"/>
              </w:rPr>
              <w:t>4</w:t>
            </w:r>
            <w:r>
              <w:rPr>
                <w:rStyle w:val="114"/>
                <w:rFonts w:hint="default" w:ascii="仿宋" w:hAnsi="仿宋" w:eastAsia="仿宋" w:cs="仿宋"/>
                <w:sz w:val="18"/>
                <w:szCs w:val="18"/>
              </w:rPr>
              <w:t>个</w:t>
            </w:r>
            <w:r>
              <w:rPr>
                <w:rStyle w:val="116"/>
                <w:rFonts w:hint="eastAsia" w:ascii="仿宋" w:hAnsi="仿宋" w:eastAsia="仿宋" w:cs="仿宋"/>
                <w:sz w:val="18"/>
                <w:szCs w:val="18"/>
              </w:rPr>
              <w:t>RS-485</w:t>
            </w:r>
            <w:r>
              <w:rPr>
                <w:rStyle w:val="114"/>
                <w:rFonts w:hint="default" w:ascii="仿宋" w:hAnsi="仿宋" w:eastAsia="仿宋" w:cs="仿宋"/>
                <w:sz w:val="18"/>
                <w:szCs w:val="18"/>
              </w:rPr>
              <w:t>接口、</w:t>
            </w:r>
            <w:r>
              <w:rPr>
                <w:rStyle w:val="116"/>
                <w:rFonts w:hint="eastAsia" w:ascii="仿宋" w:hAnsi="仿宋" w:eastAsia="仿宋" w:cs="仿宋"/>
                <w:sz w:val="18"/>
                <w:szCs w:val="18"/>
              </w:rPr>
              <w:t>4</w:t>
            </w:r>
            <w:r>
              <w:rPr>
                <w:rStyle w:val="114"/>
                <w:rFonts w:hint="default" w:ascii="仿宋" w:hAnsi="仿宋" w:eastAsia="仿宋" w:cs="仿宋"/>
                <w:sz w:val="18"/>
                <w:szCs w:val="18"/>
              </w:rPr>
              <w:t>个</w:t>
            </w:r>
            <w:r>
              <w:rPr>
                <w:rStyle w:val="116"/>
                <w:rFonts w:hint="eastAsia" w:ascii="仿宋" w:hAnsi="仿宋" w:eastAsia="仿宋" w:cs="仿宋"/>
                <w:sz w:val="18"/>
                <w:szCs w:val="18"/>
              </w:rPr>
              <w:t>USB</w:t>
            </w:r>
            <w:r>
              <w:rPr>
                <w:rStyle w:val="114"/>
                <w:rFonts w:hint="default" w:ascii="仿宋" w:hAnsi="仿宋" w:eastAsia="仿宋" w:cs="仿宋"/>
                <w:sz w:val="18"/>
                <w:szCs w:val="18"/>
              </w:rPr>
              <w:t>接口。</w:t>
            </w:r>
            <w:r>
              <w:rPr>
                <w:rStyle w:val="115"/>
                <w:rFonts w:hint="default" w:ascii="仿宋" w:hAnsi="仿宋" w:eastAsia="仿宋" w:cs="仿宋"/>
                <w:sz w:val="18"/>
                <w:szCs w:val="18"/>
              </w:rPr>
              <w:t>★</w:t>
            </w:r>
            <w:r>
              <w:rPr>
                <w:rStyle w:val="114"/>
                <w:rFonts w:hint="default" w:ascii="仿宋" w:hAnsi="仿宋" w:eastAsia="仿宋" w:cs="仿宋"/>
                <w:sz w:val="18"/>
                <w:szCs w:val="18"/>
              </w:rPr>
              <w:t>光盘加密功能，支持对光盘进行数字加密，生产唯一不可修改加密序列号，需要检验密码才能查看光盘内录像文件</w:t>
            </w:r>
            <w:r>
              <w:rPr>
                <w:rStyle w:val="114"/>
                <w:rFonts w:hint="default" w:ascii="仿宋" w:hAnsi="仿宋" w:eastAsia="仿宋" w:cs="仿宋"/>
                <w:sz w:val="18"/>
                <w:szCs w:val="18"/>
              </w:rPr>
              <w:br w:type="textWrapping"/>
            </w:r>
            <w:r>
              <w:rPr>
                <w:rStyle w:val="115"/>
                <w:rFonts w:hint="default" w:ascii="仿宋" w:hAnsi="仿宋" w:eastAsia="仿宋" w:cs="仿宋"/>
                <w:sz w:val="18"/>
                <w:szCs w:val="18"/>
              </w:rPr>
              <w:t>★</w:t>
            </w:r>
            <w:r>
              <w:rPr>
                <w:rStyle w:val="114"/>
                <w:rFonts w:hint="default" w:ascii="仿宋" w:hAnsi="仿宋" w:eastAsia="仿宋" w:cs="仿宋"/>
                <w:sz w:val="18"/>
                <w:szCs w:val="18"/>
              </w:rPr>
              <w:t>音频输入和输出音频可调，支持声音波形显示，具备最大</w:t>
            </w:r>
            <w:r>
              <w:rPr>
                <w:rStyle w:val="116"/>
                <w:rFonts w:hint="eastAsia" w:ascii="仿宋" w:hAnsi="仿宋" w:eastAsia="仿宋" w:cs="仿宋"/>
                <w:sz w:val="18"/>
                <w:szCs w:val="18"/>
              </w:rPr>
              <w:t>10</w:t>
            </w:r>
            <w:r>
              <w:rPr>
                <w:rStyle w:val="114"/>
                <w:rFonts w:hint="default" w:ascii="仿宋" w:hAnsi="仿宋" w:eastAsia="仿宋" w:cs="仿宋"/>
                <w:sz w:val="18"/>
                <w:szCs w:val="18"/>
              </w:rPr>
              <w:t>路音频混音</w:t>
            </w:r>
            <w:r>
              <w:rPr>
                <w:rStyle w:val="114"/>
                <w:rFonts w:hint="default" w:ascii="仿宋" w:hAnsi="仿宋" w:eastAsia="仿宋" w:cs="仿宋"/>
                <w:sz w:val="18"/>
                <w:szCs w:val="18"/>
              </w:rPr>
              <w:br w:type="textWrapping"/>
            </w:r>
            <w:r>
              <w:rPr>
                <w:rStyle w:val="115"/>
                <w:rFonts w:hint="default" w:ascii="仿宋" w:hAnsi="仿宋" w:eastAsia="仿宋" w:cs="仿宋"/>
                <w:sz w:val="18"/>
                <w:szCs w:val="18"/>
              </w:rPr>
              <w:t>★</w:t>
            </w:r>
            <w:r>
              <w:rPr>
                <w:rStyle w:val="114"/>
                <w:rFonts w:hint="default" w:ascii="仿宋" w:hAnsi="仿宋" w:eastAsia="仿宋" w:cs="仿宋"/>
                <w:sz w:val="18"/>
                <w:szCs w:val="18"/>
              </w:rPr>
              <w:t>异常检测功能，支持谈话刻录异常、硬盘错误、网络断开、</w:t>
            </w:r>
            <w:r>
              <w:rPr>
                <w:rStyle w:val="116"/>
                <w:rFonts w:hint="eastAsia" w:ascii="仿宋" w:hAnsi="仿宋" w:eastAsia="仿宋" w:cs="仿宋"/>
                <w:sz w:val="18"/>
                <w:szCs w:val="18"/>
              </w:rPr>
              <w:t>IP</w:t>
            </w:r>
            <w:r>
              <w:rPr>
                <w:rStyle w:val="114"/>
                <w:rFonts w:hint="default" w:ascii="仿宋" w:hAnsi="仿宋" w:eastAsia="仿宋" w:cs="仿宋"/>
                <w:sz w:val="18"/>
                <w:szCs w:val="18"/>
              </w:rPr>
              <w:t>冲突、录像异常、非法访问的异常报警检测与上传</w:t>
            </w:r>
            <w:r>
              <w:rPr>
                <w:rStyle w:val="114"/>
                <w:rFonts w:hint="default" w:ascii="仿宋" w:hAnsi="仿宋" w:eastAsia="仿宋" w:cs="仿宋"/>
                <w:sz w:val="18"/>
                <w:szCs w:val="18"/>
              </w:rPr>
              <w:br w:type="textWrapping"/>
            </w:r>
            <w:r>
              <w:rPr>
                <w:rStyle w:val="114"/>
                <w:rFonts w:hint="default" w:ascii="仿宋" w:hAnsi="仿宋" w:eastAsia="仿宋" w:cs="仿宋"/>
                <w:sz w:val="18"/>
                <w:szCs w:val="18"/>
              </w:rPr>
              <w:t>视频录像和刻录过程时对重要段落标识打点，并可在设备回放时进行重点标记索引</w:t>
            </w:r>
            <w:r>
              <w:rPr>
                <w:rStyle w:val="115"/>
                <w:rFonts w:hint="default" w:ascii="仿宋" w:hAnsi="仿宋" w:eastAsia="仿宋" w:cs="仿宋"/>
                <w:sz w:val="18"/>
                <w:szCs w:val="18"/>
              </w:rPr>
              <w:t>★</w:t>
            </w:r>
            <w:r>
              <w:rPr>
                <w:rStyle w:val="114"/>
                <w:rFonts w:hint="default" w:ascii="仿宋" w:hAnsi="仿宋" w:eastAsia="仿宋" w:cs="仿宋"/>
                <w:sz w:val="18"/>
                <w:szCs w:val="18"/>
              </w:rPr>
              <w:t>启用无声通道，可对无声音权限的人员传输屏蔽声音的视频。</w:t>
            </w:r>
            <w:r>
              <w:rPr>
                <w:rStyle w:val="114"/>
                <w:rFonts w:hint="default" w:ascii="仿宋" w:hAnsi="仿宋" w:eastAsia="仿宋" w:cs="仿宋"/>
                <w:sz w:val="18"/>
                <w:szCs w:val="18"/>
              </w:rPr>
              <w:br w:type="textWrapping"/>
            </w:r>
            <w:r>
              <w:rPr>
                <w:rStyle w:val="115"/>
                <w:rFonts w:hint="default" w:ascii="仿宋" w:hAnsi="仿宋" w:eastAsia="仿宋" w:cs="仿宋"/>
                <w:sz w:val="18"/>
                <w:szCs w:val="18"/>
              </w:rPr>
              <w:t>★</w:t>
            </w:r>
            <w:r>
              <w:rPr>
                <w:rStyle w:val="114"/>
                <w:rFonts w:hint="default" w:ascii="仿宋" w:hAnsi="仿宋" w:eastAsia="仿宋" w:cs="仿宋"/>
                <w:sz w:val="18"/>
                <w:szCs w:val="18"/>
              </w:rPr>
              <w:t>谈话记录支持本地查询，并可选择恢复重新刻录到光盘上；具备权限的用户支持对本地案件信息及视频删除。</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90"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2</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高保真全向拾音器</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设备类型</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全向降噪拾音器</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监听范围</w:t>
            </w:r>
            <w:r>
              <w:rPr>
                <w:rStyle w:val="117"/>
                <w:rFonts w:hint="eastAsia" w:ascii="仿宋" w:hAnsi="仿宋" w:eastAsia="仿宋" w:cs="仿宋"/>
                <w:sz w:val="18"/>
                <w:szCs w:val="18"/>
              </w:rPr>
              <w:t xml:space="preserve"> 5~150</w:t>
            </w:r>
            <w:r>
              <w:rPr>
                <w:rFonts w:hint="eastAsia" w:ascii="仿宋" w:hAnsi="仿宋" w:eastAsia="仿宋" w:cs="仿宋"/>
                <w:color w:val="000000"/>
                <w:sz w:val="18"/>
                <w:szCs w:val="18"/>
              </w:rPr>
              <w:t>平方米</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音频传输距离</w:t>
            </w:r>
            <w:r>
              <w:rPr>
                <w:rStyle w:val="117"/>
                <w:rFonts w:hint="eastAsia" w:ascii="仿宋" w:hAnsi="仿宋" w:eastAsia="仿宋" w:cs="仿宋"/>
                <w:sz w:val="18"/>
                <w:szCs w:val="18"/>
              </w:rPr>
              <w:t xml:space="preserve"> 3000</w:t>
            </w:r>
            <w:r>
              <w:rPr>
                <w:rFonts w:hint="eastAsia" w:ascii="仿宋" w:hAnsi="仿宋" w:eastAsia="仿宋" w:cs="仿宋"/>
                <w:color w:val="000000"/>
                <w:sz w:val="18"/>
                <w:szCs w:val="18"/>
              </w:rPr>
              <w:t>米</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灵敏度</w:t>
            </w:r>
            <w:r>
              <w:rPr>
                <w:rStyle w:val="117"/>
                <w:rFonts w:hint="eastAsia" w:ascii="仿宋" w:hAnsi="仿宋" w:eastAsia="仿宋" w:cs="仿宋"/>
                <w:sz w:val="18"/>
                <w:szCs w:val="18"/>
              </w:rPr>
              <w:t xml:space="preserve"> -42dB</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音频降噪</w:t>
            </w:r>
            <w:r>
              <w:rPr>
                <w:rStyle w:val="117"/>
                <w:rFonts w:hint="eastAsia" w:ascii="仿宋" w:hAnsi="仿宋" w:eastAsia="仿宋" w:cs="仿宋"/>
                <w:sz w:val="18"/>
                <w:szCs w:val="18"/>
              </w:rPr>
              <w:t xml:space="preserve"> Clearspeech</w:t>
            </w:r>
            <w:r>
              <w:rPr>
                <w:rFonts w:hint="eastAsia" w:ascii="仿宋" w:hAnsi="仿宋" w:eastAsia="仿宋" w:cs="仿宋"/>
                <w:color w:val="000000"/>
                <w:sz w:val="18"/>
                <w:szCs w:val="18"/>
              </w:rPr>
              <w:t xml:space="preserve">软件降噪技术 </w:t>
            </w:r>
          </w:p>
          <w:p>
            <w:pPr>
              <w:keepNext w:val="0"/>
              <w:keepLines w:val="0"/>
              <w:widowControl w:val="0"/>
              <w:suppressLineNumbers w:val="0"/>
              <w:topLinePunct/>
              <w:spacing w:before="0" w:beforeAutospacing="0" w:after="0" w:afterAutospacing="0"/>
              <w:ind w:left="0" w:right="0"/>
              <w:contextualSpacing/>
              <w:jc w:val="both"/>
              <w:textAlignment w:val="center"/>
              <w:rPr>
                <w:rStyle w:val="114"/>
                <w:rFonts w:hint="default" w:ascii="仿宋" w:hAnsi="仿宋" w:eastAsia="仿宋" w:cs="仿宋"/>
                <w:sz w:val="18"/>
                <w:szCs w:val="18"/>
              </w:rPr>
            </w:pPr>
            <w:r>
              <w:rPr>
                <w:rFonts w:hint="eastAsia" w:ascii="仿宋" w:hAnsi="仿宋" w:eastAsia="仿宋" w:cs="仿宋"/>
                <w:color w:val="000000"/>
                <w:sz w:val="18"/>
                <w:szCs w:val="18"/>
              </w:rPr>
              <w:t>频率响应</w:t>
            </w:r>
            <w:r>
              <w:rPr>
                <w:rStyle w:val="117"/>
                <w:rFonts w:hint="eastAsia" w:ascii="仿宋" w:hAnsi="仿宋" w:eastAsia="仿宋" w:cs="仿宋"/>
                <w:sz w:val="18"/>
                <w:szCs w:val="18"/>
              </w:rPr>
              <w:t xml:space="preserve"> 20Hz~20KHz</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信噪比</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w:t>
            </w:r>
            <w:r>
              <w:rPr>
                <w:rStyle w:val="117"/>
                <w:rFonts w:hint="eastAsia" w:ascii="仿宋" w:hAnsi="仿宋" w:eastAsia="仿宋" w:cs="仿宋"/>
                <w:sz w:val="18"/>
                <w:szCs w:val="18"/>
              </w:rPr>
              <w:t>60dB</w:t>
            </w:r>
            <w:r>
              <w:rPr>
                <w:rFonts w:hint="eastAsia" w:ascii="仿宋" w:hAnsi="仿宋" w:eastAsia="仿宋" w:cs="仿宋"/>
                <w:color w:val="000000"/>
                <w:sz w:val="18"/>
                <w:szCs w:val="18"/>
              </w:rPr>
              <w:t>（户外）</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w:t>
            </w:r>
            <w:r>
              <w:rPr>
                <w:rStyle w:val="117"/>
                <w:rFonts w:hint="eastAsia" w:ascii="仿宋" w:hAnsi="仿宋" w:eastAsia="仿宋" w:cs="仿宋"/>
                <w:sz w:val="18"/>
                <w:szCs w:val="18"/>
              </w:rPr>
              <w:t>85dB</w:t>
            </w:r>
            <w:r>
              <w:rPr>
                <w:rFonts w:hint="eastAsia" w:ascii="仿宋" w:hAnsi="仿宋" w:eastAsia="仿宋" w:cs="仿宋"/>
                <w:color w:val="000000"/>
                <w:sz w:val="18"/>
                <w:szCs w:val="18"/>
              </w:rPr>
              <w:t>（室内）</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指向特性</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全方向性</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保真度</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具备语音激励亮化处理，语音保真度可达</w:t>
            </w:r>
            <w:r>
              <w:rPr>
                <w:rStyle w:val="117"/>
                <w:rFonts w:hint="eastAsia" w:ascii="仿宋" w:hAnsi="仿宋" w:eastAsia="仿宋" w:cs="仿宋"/>
                <w:sz w:val="18"/>
                <w:szCs w:val="18"/>
              </w:rPr>
              <w:t>85%</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电路设计</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具备降噪</w:t>
            </w:r>
            <w:r>
              <w:rPr>
                <w:rStyle w:val="117"/>
                <w:rFonts w:hint="eastAsia" w:ascii="仿宋" w:hAnsi="仿宋" w:eastAsia="仿宋" w:cs="仿宋"/>
                <w:sz w:val="18"/>
                <w:szCs w:val="18"/>
              </w:rPr>
              <w:t>Clearspeech</w:t>
            </w:r>
            <w:r>
              <w:rPr>
                <w:rFonts w:hint="eastAsia" w:ascii="仿宋" w:hAnsi="仿宋" w:eastAsia="仿宋" w:cs="仿宋"/>
                <w:color w:val="000000"/>
                <w:sz w:val="18"/>
                <w:szCs w:val="18"/>
              </w:rPr>
              <w:t>软件技术，具音量可调</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输出阻抗</w:t>
            </w:r>
            <w:r>
              <w:rPr>
                <w:rStyle w:val="117"/>
                <w:rFonts w:hint="eastAsia" w:ascii="仿宋" w:hAnsi="仿宋" w:eastAsia="仿宋" w:cs="仿宋"/>
                <w:sz w:val="18"/>
                <w:szCs w:val="18"/>
              </w:rPr>
              <w:t xml:space="preserve"> 600</w:t>
            </w:r>
            <w:r>
              <w:rPr>
                <w:rFonts w:hint="eastAsia" w:ascii="仿宋" w:hAnsi="仿宋" w:eastAsia="仿宋" w:cs="仿宋"/>
                <w:color w:val="000000"/>
                <w:sz w:val="18"/>
                <w:szCs w:val="18"/>
              </w:rPr>
              <w:t>欧姆非平衡</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输出信号幅度</w:t>
            </w:r>
            <w:r>
              <w:rPr>
                <w:rStyle w:val="117"/>
                <w:rFonts w:hint="eastAsia" w:ascii="仿宋" w:hAnsi="仿宋" w:eastAsia="仿宋" w:cs="仿宋"/>
                <w:sz w:val="18"/>
                <w:szCs w:val="18"/>
              </w:rPr>
              <w:t xml:space="preserve"> 2.5Vpp/-25db</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麦克风</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高保真震膜电容咪头</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动态范围</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w:t>
            </w:r>
            <w:r>
              <w:rPr>
                <w:rStyle w:val="117"/>
                <w:rFonts w:hint="eastAsia" w:ascii="仿宋" w:hAnsi="仿宋" w:eastAsia="仿宋" w:cs="仿宋"/>
                <w:sz w:val="18"/>
                <w:szCs w:val="18"/>
              </w:rPr>
              <w:t>104dB</w:t>
            </w:r>
            <w:r>
              <w:rPr>
                <w:rFonts w:hint="eastAsia" w:ascii="仿宋" w:hAnsi="仿宋" w:eastAsia="仿宋" w:cs="仿宋"/>
                <w:color w:val="000000"/>
                <w:sz w:val="18"/>
                <w:szCs w:val="18"/>
              </w:rPr>
              <w:t>（</w:t>
            </w:r>
            <w:r>
              <w:rPr>
                <w:rStyle w:val="117"/>
                <w:rFonts w:hint="eastAsia" w:ascii="仿宋" w:hAnsi="仿宋" w:eastAsia="仿宋" w:cs="仿宋"/>
                <w:sz w:val="18"/>
                <w:szCs w:val="18"/>
              </w:rPr>
              <w:t>1KHz at Max dB SPL</w:t>
            </w:r>
            <w:r>
              <w:rPr>
                <w:rFonts w:hint="eastAsia" w:ascii="仿宋" w:hAnsi="仿宋" w:eastAsia="仿宋" w:cs="仿宋"/>
                <w:color w:val="000000"/>
                <w:sz w:val="18"/>
                <w:szCs w:val="18"/>
              </w:rPr>
              <w:t>）</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最大承受音压</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w:t>
            </w:r>
            <w:r>
              <w:rPr>
                <w:rStyle w:val="117"/>
                <w:rFonts w:hint="eastAsia" w:ascii="仿宋" w:hAnsi="仿宋" w:eastAsia="仿宋" w:cs="仿宋"/>
                <w:sz w:val="18"/>
                <w:szCs w:val="18"/>
              </w:rPr>
              <w:t>120dB SPL</w:t>
            </w:r>
            <w:r>
              <w:rPr>
                <w:rFonts w:hint="eastAsia" w:ascii="仿宋" w:hAnsi="仿宋" w:eastAsia="仿宋" w:cs="仿宋"/>
                <w:color w:val="000000"/>
                <w:sz w:val="18"/>
                <w:szCs w:val="18"/>
              </w:rPr>
              <w:t>（</w:t>
            </w:r>
            <w:r>
              <w:rPr>
                <w:rStyle w:val="117"/>
                <w:rFonts w:hint="eastAsia" w:ascii="仿宋" w:hAnsi="仿宋" w:eastAsia="仿宋" w:cs="仿宋"/>
                <w:sz w:val="18"/>
                <w:szCs w:val="18"/>
              </w:rPr>
              <w:t>1KHz,THD 1%</w:t>
            </w:r>
            <w:r>
              <w:rPr>
                <w:rFonts w:hint="eastAsia" w:ascii="仿宋" w:hAnsi="仿宋" w:eastAsia="仿宋" w:cs="仿宋"/>
                <w:color w:val="000000"/>
                <w:sz w:val="18"/>
                <w:szCs w:val="18"/>
              </w:rPr>
              <w:t>）</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安装方式</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卡座分离式设计，便于吸顶安装</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保护电路</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雷击保护、电源极性反转保护</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电源电压</w:t>
            </w:r>
            <w:r>
              <w:rPr>
                <w:rStyle w:val="117"/>
                <w:rFonts w:hint="eastAsia" w:ascii="仿宋" w:hAnsi="仿宋" w:eastAsia="仿宋" w:cs="仿宋"/>
                <w:sz w:val="18"/>
                <w:szCs w:val="18"/>
              </w:rPr>
              <w:t xml:space="preserve"> DC 12V</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工作电流</w:t>
            </w:r>
            <w:r>
              <w:rPr>
                <w:rStyle w:val="117"/>
                <w:rFonts w:hint="eastAsia" w:ascii="仿宋" w:hAnsi="仿宋" w:eastAsia="仿宋" w:cs="仿宋"/>
                <w:sz w:val="18"/>
                <w:szCs w:val="18"/>
              </w:rPr>
              <w:t xml:space="preserve"> 25mA</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物理尺寸</w:t>
            </w:r>
            <w:r>
              <w:rPr>
                <w:rStyle w:val="117"/>
                <w:rFonts w:hint="eastAsia" w:ascii="仿宋" w:hAnsi="仿宋" w:eastAsia="仿宋" w:cs="仿宋"/>
                <w:sz w:val="18"/>
                <w:szCs w:val="18"/>
              </w:rPr>
              <w:t xml:space="preserve"> 82mm</w:t>
            </w:r>
            <w:r>
              <w:rPr>
                <w:rFonts w:hint="eastAsia" w:ascii="仿宋" w:hAnsi="仿宋" w:eastAsia="仿宋" w:cs="仿宋"/>
                <w:color w:val="000000"/>
                <w:sz w:val="18"/>
                <w:szCs w:val="18"/>
              </w:rPr>
              <w:t>（直径）</w:t>
            </w:r>
            <w:r>
              <w:rPr>
                <w:rStyle w:val="117"/>
                <w:rFonts w:hint="eastAsia" w:ascii="仿宋" w:hAnsi="仿宋" w:eastAsia="仿宋" w:cs="仿宋"/>
                <w:sz w:val="18"/>
                <w:szCs w:val="18"/>
              </w:rPr>
              <w:t xml:space="preserve"> x 32mm</w:t>
            </w:r>
            <w:r>
              <w:rPr>
                <w:rFonts w:hint="eastAsia" w:ascii="仿宋" w:hAnsi="仿宋" w:eastAsia="仿宋" w:cs="仿宋"/>
                <w:color w:val="000000"/>
                <w:sz w:val="18"/>
                <w:szCs w:val="18"/>
              </w:rPr>
              <w:t>（高）</w:t>
            </w:r>
            <w:r>
              <w:rPr>
                <w:rStyle w:val="117"/>
                <w:rFonts w:hint="eastAsia" w:ascii="仿宋" w:hAnsi="仿宋" w:eastAsia="仿宋" w:cs="仿宋"/>
                <w:sz w:val="18"/>
                <w:szCs w:val="18"/>
              </w:rPr>
              <w:br w:type="textWrapping"/>
            </w:r>
            <w:r>
              <w:rPr>
                <w:rFonts w:hint="eastAsia" w:ascii="仿宋" w:hAnsi="仿宋" w:eastAsia="仿宋" w:cs="仿宋"/>
                <w:color w:val="000000"/>
                <w:sz w:val="18"/>
                <w:szCs w:val="18"/>
              </w:rPr>
              <w:t>工作环境温度</w:t>
            </w:r>
            <w:r>
              <w:rPr>
                <w:rStyle w:val="117"/>
                <w:rFonts w:hint="eastAsia" w:ascii="仿宋" w:hAnsi="仿宋" w:eastAsia="仿宋" w:cs="仿宋"/>
                <w:sz w:val="18"/>
                <w:szCs w:val="18"/>
              </w:rPr>
              <w:t xml:space="preserve"> -25</w:t>
            </w:r>
            <w:r>
              <w:rPr>
                <w:rFonts w:hint="eastAsia" w:ascii="仿宋" w:hAnsi="仿宋" w:eastAsia="仿宋" w:cs="仿宋"/>
                <w:color w:val="000000"/>
                <w:sz w:val="18"/>
                <w:szCs w:val="18"/>
              </w:rPr>
              <w:t>℃</w:t>
            </w:r>
            <w:r>
              <w:rPr>
                <w:rStyle w:val="117"/>
                <w:rFonts w:hint="eastAsia" w:ascii="仿宋" w:hAnsi="仿宋" w:eastAsia="仿宋" w:cs="仿宋"/>
                <w:sz w:val="18"/>
                <w:szCs w:val="18"/>
              </w:rPr>
              <w:t xml:space="preserve"> </w:t>
            </w:r>
            <w:r>
              <w:rPr>
                <w:rFonts w:hint="eastAsia" w:ascii="仿宋" w:hAnsi="仿宋" w:eastAsia="仿宋" w:cs="仿宋"/>
                <w:color w:val="000000"/>
                <w:sz w:val="18"/>
                <w:szCs w:val="18"/>
              </w:rPr>
              <w:t>～</w:t>
            </w:r>
            <w:r>
              <w:rPr>
                <w:rStyle w:val="117"/>
                <w:rFonts w:hint="eastAsia" w:ascii="仿宋" w:hAnsi="仿宋" w:eastAsia="仿宋" w:cs="仿宋"/>
                <w:sz w:val="18"/>
                <w:szCs w:val="18"/>
              </w:rPr>
              <w:t xml:space="preserve"> 70</w:t>
            </w:r>
            <w:r>
              <w:rPr>
                <w:rFonts w:hint="eastAsia" w:ascii="仿宋" w:hAnsi="仿宋" w:eastAsia="仿宋" w:cs="仿宋"/>
                <w:color w:val="000000"/>
                <w:sz w:val="18"/>
                <w:szCs w:val="18"/>
              </w:rPr>
              <w:t>℃</w:t>
            </w:r>
            <w:r>
              <w:rPr>
                <w:rStyle w:val="115"/>
                <w:rFonts w:hint="default" w:ascii="仿宋" w:hAnsi="仿宋" w:eastAsia="仿宋" w:cs="仿宋"/>
                <w:sz w:val="18"/>
                <w:szCs w:val="18"/>
              </w:rPr>
              <w:t>★</w:t>
            </w:r>
            <w:r>
              <w:rPr>
                <w:rStyle w:val="114"/>
                <w:rFonts w:hint="default" w:ascii="仿宋" w:hAnsi="仿宋" w:eastAsia="仿宋" w:cs="仿宋"/>
                <w:sz w:val="18"/>
                <w:szCs w:val="18"/>
              </w:rPr>
              <w:t>支持一键式开始</w:t>
            </w:r>
            <w:r>
              <w:rPr>
                <w:rStyle w:val="116"/>
                <w:rFonts w:hint="eastAsia" w:ascii="仿宋" w:hAnsi="仿宋" w:eastAsia="仿宋" w:cs="仿宋"/>
                <w:sz w:val="18"/>
                <w:szCs w:val="18"/>
              </w:rPr>
              <w:t>/</w:t>
            </w:r>
            <w:r>
              <w:rPr>
                <w:rStyle w:val="114"/>
                <w:rFonts w:hint="default" w:ascii="仿宋" w:hAnsi="仿宋" w:eastAsia="仿宋" w:cs="仿宋"/>
                <w:sz w:val="18"/>
                <w:szCs w:val="18"/>
              </w:rPr>
              <w:t>结束谈话，切换画面，回放，打点。</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413"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3</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拾音器电源适配器</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Style w:val="114"/>
                <w:rFonts w:hint="default" w:ascii="仿宋" w:hAnsi="仿宋" w:eastAsia="仿宋" w:cs="仿宋"/>
                <w:sz w:val="18"/>
                <w:szCs w:val="18"/>
              </w:rPr>
            </w:pPr>
            <w:r>
              <w:rPr>
                <w:rFonts w:hint="eastAsia" w:ascii="仿宋" w:hAnsi="仿宋" w:eastAsia="仿宋" w:cs="仿宋"/>
                <w:color w:val="000000"/>
                <w:sz w:val="18"/>
                <w:szCs w:val="18"/>
              </w:rPr>
              <w:t xml:space="preserve">拾音器采用配套的专业隔离式直流稳压电源 </w:t>
            </w:r>
            <w:r>
              <w:rPr>
                <w:rFonts w:hint="eastAsia" w:ascii="仿宋" w:hAnsi="仿宋" w:eastAsia="仿宋" w:cs="仿宋"/>
                <w:color w:val="000000"/>
                <w:sz w:val="18"/>
                <w:szCs w:val="18"/>
              </w:rPr>
              <w:br w:type="textWrapping"/>
            </w:r>
            <w:r>
              <w:rPr>
                <w:rFonts w:hint="eastAsia" w:ascii="仿宋" w:hAnsi="仿宋" w:eastAsia="仿宋" w:cs="仿宋"/>
                <w:color w:val="000000"/>
                <w:sz w:val="18"/>
                <w:szCs w:val="18"/>
              </w:rPr>
              <w:t>采用优质的变压器及滤波电容，具有精度高，纹波小的特点，有效地保证拾音器的音质。 专门针对拾音器的接线方式设计，三芯线缆可直接接入端子 。耳机插孔和两芯线音频输出端子，更能满足便捷的使用需求 提供可靠的防雷及电涌保护，以保证监听头的长期稳定工作</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1074"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4</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带秒温湿度显示屏</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显示范围：温度：-40℃ ～80℃ ，湿度：0％ ～99％</w:t>
            </w:r>
            <w:r>
              <w:rPr>
                <w:rFonts w:hint="eastAsia" w:ascii="仿宋" w:hAnsi="仿宋" w:eastAsia="仿宋" w:cs="仿宋"/>
                <w:color w:val="000000"/>
                <w:sz w:val="18"/>
                <w:szCs w:val="18"/>
              </w:rPr>
              <w:br w:type="textWrapping"/>
            </w:r>
            <w:r>
              <w:rPr>
                <w:rFonts w:hint="eastAsia" w:ascii="仿宋" w:hAnsi="仿宋" w:eastAsia="仿宋" w:cs="仿宋"/>
                <w:color w:val="000000"/>
                <w:sz w:val="18"/>
                <w:szCs w:val="18"/>
              </w:rPr>
              <w:t>温度 ：＜±5℃ ，湿度＜ ±3%RH.内置探头。</w:t>
            </w:r>
            <w:r>
              <w:rPr>
                <w:rFonts w:hint="eastAsia" w:ascii="仿宋" w:hAnsi="仿宋" w:eastAsia="仿宋" w:cs="仿宋"/>
                <w:color w:val="000000"/>
                <w:sz w:val="18"/>
                <w:szCs w:val="18"/>
              </w:rPr>
              <w:br w:type="textWrapping"/>
            </w:r>
            <w:r>
              <w:rPr>
                <w:rFonts w:hint="eastAsia" w:ascii="仿宋" w:hAnsi="仿宋" w:eastAsia="仿宋" w:cs="仿宋"/>
                <w:color w:val="000000"/>
                <w:sz w:val="18"/>
                <w:szCs w:val="18"/>
              </w:rPr>
              <w:t xml:space="preserve">显示时间精确到秒（年月日、时分秒） </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5</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网络摄像机</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 xml:space="preserve">★400万1/2.7"CMOS ICR星光级变焦半球网络摄像机 </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 xml:space="preserve">最低照度:彩色:0.005lux@(F1.2, AGC ON),黑白: 0 Lux with IR </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 xml:space="preserve">镜头:2.7-12mm @ F1.2 水平视场角: 102°~29°; 电动镜头 </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 xml:space="preserve">调整角度:水平:0°~355°,垂直:0°~75°,旋转0°~355° </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宽动态范围:120dB ;视频压缩标准:H.265 / H.264 / MJPEG</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★需具有20路取流路数能力，以满足更多用户同时在线访问摄像机视频。最低照度彩色：0.01 lx，黑白:0.001 lx。红外补光距离不小于50米。</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★需支持三码流技术，可同时输出三路码流，主码流最高2560x1440@30fps，第三码流最大2560x1440 @ 30fps，子码流704x576@30fps。在2560x1440 @ 25fps下，清晰度不小于1400TVL。</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支持H.264、H.265、MJPEG视频编码格式，且具有High Profile编码能力。</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信噪比不小于55dB。需支持宽动态功能。</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★需支持8行字符显示，字体颜色可设置，需具有图片叠加到视频画面功能。支持区域遮盖功能，并能支持8块区域。</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需具有黑白名单功能，其中白名单可添加不小于10个IP地址。</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★需具备人脸检测、区域入侵检测、越界检测、虚焦检测、进入区域、离开区域、徘徊、人员聚集、逆行、音频异常、场景变更等功能。</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★可开启或关闭智能后检索功能。</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需具有电子防抖、ROI感兴趣区域、SVC可伸缩编码、自动增益、背光补偿、数字降噪、强光抑制、防红外过曝、走廊模式、视频水印等功能。</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需具有1个RJ-45 10M/100M自适应网络接口。</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需支持DC12V供电，且在不小于DC12V±30%范围内变化时可以正常工作。设备工作状态时，支持空气放电8kV，接触放电6kV，通讯端口支持6kV峰值电压。</w:t>
            </w:r>
          </w:p>
          <w:p>
            <w:pPr>
              <w:keepNext w:val="0"/>
              <w:keepLines w:val="0"/>
              <w:widowControl w:val="0"/>
              <w:suppressLineNumbers w:val="0"/>
              <w:topLinePunct/>
              <w:spacing w:before="0" w:beforeAutospacing="0" w:after="0" w:afterAutospacing="0"/>
              <w:ind w:left="0" w:right="0"/>
              <w:contextualSpacing/>
              <w:jc w:val="both"/>
              <w:textAlignment w:val="center"/>
              <w:rPr>
                <w:rStyle w:val="115"/>
                <w:rFonts w:hint="default" w:ascii="仿宋" w:hAnsi="仿宋" w:eastAsia="仿宋" w:cs="仿宋"/>
                <w:sz w:val="18"/>
                <w:szCs w:val="18"/>
              </w:rPr>
            </w:pPr>
            <w:r>
              <w:rPr>
                <w:rStyle w:val="115"/>
                <w:rFonts w:hint="default" w:ascii="仿宋" w:hAnsi="仿宋" w:eastAsia="仿宋" w:cs="仿宋"/>
                <w:sz w:val="18"/>
                <w:szCs w:val="18"/>
              </w:rPr>
              <w:t>需支持本地SD卡存储，最大支持128G。</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Style w:val="115"/>
                <w:rFonts w:hint="default" w:ascii="仿宋" w:hAnsi="仿宋" w:eastAsia="仿宋" w:cs="仿宋"/>
                <w:sz w:val="18"/>
                <w:szCs w:val="18"/>
              </w:rPr>
              <w:t>★同一静止场景相同图像质量下，设备在H.265编码方式时，开启智能编码功能和不开启智能编码相比，码率节约1/2。以上★项提供公安部型式检测报告复印件加盖厂商鲜章。</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3</w:t>
            </w:r>
          </w:p>
        </w:tc>
      </w:tr>
      <w:tr>
        <w:tblPrEx>
          <w:tblCellMar>
            <w:top w:w="0" w:type="dxa"/>
            <w:left w:w="0" w:type="dxa"/>
            <w:bottom w:w="0" w:type="dxa"/>
            <w:right w:w="0" w:type="dxa"/>
          </w:tblCellMar>
        </w:tblPrEx>
        <w:trPr>
          <w:trHeight w:val="464"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6</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电源适配器</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topLinePunct/>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12V/2A圆头、两端带线式，国标，输入线长500mm，输出线长1000mm</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个</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3</w:t>
            </w:r>
          </w:p>
        </w:tc>
      </w:tr>
      <w:tr>
        <w:tblPrEx>
          <w:tblCellMar>
            <w:top w:w="0" w:type="dxa"/>
            <w:left w:w="0" w:type="dxa"/>
            <w:bottom w:w="0" w:type="dxa"/>
            <w:right w:w="0" w:type="dxa"/>
          </w:tblCellMar>
        </w:tblPrEx>
        <w:trPr>
          <w:trHeight w:val="634"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7</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路由器</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无线传输速度：1200Mbps；支持双频千兆WIFI</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696"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8</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3.5寸监控级硬盘</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topLinePunct/>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4TB/64MB(6Gb/秒 NCQ)/5900RPM/SATA3</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个</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404"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9</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监听耳机</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3.5mm/6.3mm 立体声插头.头戴监听高保真耳机</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套</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10</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电脑</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 xml:space="preserve">主板：Intel 300系列及以上芯片组 </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CPU：≥Intel Core i5-9500；</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内存：≥8G DDR4 2666MH；</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硬盘：≥1TB SATA3 7200rpm +256G M.2 NVME SSD 固态硬盘；</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 xml:space="preserve">显卡：≥2G独立显卡； </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声卡：集成5.1声道声卡，具有5个以上音频接口</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网卡：集成10/100/1000M以太网卡；</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防水抗菌键盘、抗菌鼠标</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显示器：≥23寸LED显示器，分辨率不低于1920 x 1080，VGA + DVI双接口，具有低蓝光认证</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电源：≤ 180W节能电源；</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Style w:val="115"/>
                <w:rFonts w:hint="default" w:ascii="仿宋" w:hAnsi="仿宋" w:eastAsia="仿宋" w:cs="仿宋"/>
                <w:sz w:val="18"/>
                <w:szCs w:val="18"/>
              </w:rPr>
              <w:t>★</w:t>
            </w:r>
            <w:r>
              <w:rPr>
                <w:rFonts w:hint="eastAsia" w:ascii="仿宋" w:hAnsi="仿宋" w:eastAsia="仿宋" w:cs="仿宋"/>
                <w:color w:val="000000"/>
                <w:sz w:val="18"/>
                <w:szCs w:val="18"/>
              </w:rPr>
              <w:t>机箱：≤15L立式机箱，顶置提手，具有光触媒功能，可有效清除空气中的甲醛，提供国家权威机构的检测报告复印件加盖厂家鲜章；</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接口：≥10个USB接口（至少6个USB 3.1 Gen1接口）、2个PS/2接口、1个串口，主板集成2个视频接口（其中至少1个VGA）前置6个USB接口，具有USB 3.1 Gen2接口</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扩展槽：≥1个PCI-E*16，≥2个PCI-E*1</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操作系统：预装正版Windows 10 正版操作系统</w:t>
            </w:r>
          </w:p>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服务要求.</w:t>
            </w:r>
            <w:r>
              <w:rPr>
                <w:rStyle w:val="115"/>
                <w:rFonts w:hint="default" w:ascii="仿宋" w:hAnsi="仿宋" w:eastAsia="仿宋" w:cs="仿宋"/>
                <w:sz w:val="18"/>
                <w:szCs w:val="18"/>
              </w:rPr>
              <w:t xml:space="preserve"> ★</w:t>
            </w:r>
            <w:r>
              <w:rPr>
                <w:rFonts w:hint="eastAsia" w:ascii="仿宋" w:hAnsi="仿宋" w:eastAsia="仿宋" w:cs="仿宋"/>
                <w:color w:val="000000"/>
                <w:sz w:val="18"/>
                <w:szCs w:val="18"/>
              </w:rPr>
              <w:t xml:space="preserve"> 提供三年原厂7*24*365节假日无休免费上门服务。</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套</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11</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笔记本</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处理器：Intel酷睿i5-10210U处理</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内存：8G DDR4 2667MHz内存，双内存槽位；</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硬盘：256G M.2 SSD硬盘  </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显示屏：15.6"显示屏分辨率不低于1920 x 1080，屏幕可180度开合，适应各种使用场景；</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显卡：集成显卡</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网卡：千兆网口和802.11 AX无线网卡[WIFI6]（带蓝牙功能）</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定位设备：触摸板+指点杆  </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键盘：防泼溅键盘</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摄像头：720P高清摄像头  </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指纹识别器：按压式指纹仪</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接口：2*USB 3.0接口（1个PowerUSB）、1个USB 3.1 Type-C Gen 1接口、1个USB 3.1 Type-C Gen 2接口、HDMI、耳麦二合一接口、线缆锁孔、读卡器；</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电池：内置45WHr以上锂电池. 提供1年原厂上门保修服务。</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带包、无线鼠标。</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12</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打印机</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多功能商用黑白激光多功能一体机; A4幅面打印/复印/扫描/传真；支持自动双面打印；</w:t>
            </w:r>
            <w:r>
              <w:rPr>
                <w:rStyle w:val="115"/>
                <w:rFonts w:hint="default" w:ascii="仿宋" w:hAnsi="仿宋" w:eastAsia="仿宋" w:cs="仿宋"/>
                <w:sz w:val="18"/>
                <w:szCs w:val="18"/>
              </w:rPr>
              <w:t>★</w:t>
            </w:r>
            <w:r>
              <w:rPr>
                <w:rFonts w:hint="eastAsia" w:ascii="仿宋" w:hAnsi="仿宋" w:eastAsia="仿宋" w:cs="仿宋"/>
                <w:color w:val="000000"/>
                <w:sz w:val="18"/>
                <w:szCs w:val="18"/>
              </w:rPr>
              <w:t>支持无线/有线网络打印；黑白打印复印速度 20ppm；打印复印分辨率：600×600dpi。光学分辨率：1200×1200dpi；</w:t>
            </w:r>
            <w:r>
              <w:rPr>
                <w:rStyle w:val="115"/>
                <w:rFonts w:hint="default" w:ascii="仿宋" w:hAnsi="仿宋" w:eastAsia="仿宋" w:cs="仿宋"/>
                <w:sz w:val="18"/>
                <w:szCs w:val="18"/>
              </w:rPr>
              <w:t>★</w:t>
            </w:r>
            <w:r>
              <w:rPr>
                <w:rFonts w:hint="eastAsia" w:ascii="仿宋" w:hAnsi="仿宋" w:eastAsia="仿宋" w:cs="仿宋"/>
                <w:color w:val="000000"/>
                <w:sz w:val="18"/>
                <w:szCs w:val="18"/>
              </w:rPr>
              <w:t>内置快速以太网10/100Base-TX 网络端口;内置WiFi 802.11b/g/n；</w:t>
            </w:r>
            <w:r>
              <w:rPr>
                <w:rStyle w:val="115"/>
                <w:rFonts w:hint="default" w:ascii="仿宋" w:hAnsi="仿宋" w:eastAsia="仿宋" w:cs="仿宋"/>
                <w:sz w:val="18"/>
                <w:szCs w:val="18"/>
              </w:rPr>
              <w:t>★</w:t>
            </w:r>
            <w:r>
              <w:rPr>
                <w:rFonts w:hint="eastAsia" w:ascii="仿宋" w:hAnsi="仿宋" w:eastAsia="仿宋" w:cs="仿宋"/>
                <w:color w:val="000000"/>
                <w:sz w:val="18"/>
                <w:szCs w:val="18"/>
              </w:rPr>
              <w:t>鼓粉一体，</w:t>
            </w:r>
            <w:r>
              <w:rPr>
                <w:rStyle w:val="115"/>
                <w:rFonts w:hint="default" w:ascii="仿宋" w:hAnsi="仿宋" w:eastAsia="仿宋" w:cs="仿宋"/>
                <w:sz w:val="18"/>
                <w:szCs w:val="18"/>
              </w:rPr>
              <w:t>★</w:t>
            </w:r>
            <w:r>
              <w:rPr>
                <w:rFonts w:hint="eastAsia" w:ascii="仿宋" w:hAnsi="仿宋" w:eastAsia="仿宋" w:cs="仿宋"/>
                <w:color w:val="000000"/>
                <w:sz w:val="18"/>
                <w:szCs w:val="18"/>
              </w:rPr>
              <w:t>3.0英寸彩色触摸液晶显示屏。处理器：600MHz；内存：128MB；提供1年原厂上门保修服务承诺。</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台</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13</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监听音箱</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功率放大器RMS功率:2*2W</w:t>
            </w:r>
          </w:p>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功率放大器频率响应:30Hz-20kHz</w:t>
            </w:r>
          </w:p>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信噪比DB(A):≧85dBA</w:t>
            </w:r>
          </w:p>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失真度(%):≤0.5%</w:t>
            </w:r>
          </w:p>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通道分离度（DB):≧45dB</w:t>
            </w:r>
          </w:p>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输入灵敏度:700±50mV</w:t>
            </w:r>
          </w:p>
          <w:p>
            <w:pPr>
              <w:keepNext w:val="0"/>
              <w:keepLines w:val="0"/>
              <w:suppressLineNumbers w:val="0"/>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音频输入端口:AUX</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套</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14</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资料柜</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软包资料柜。柜体采用≥18mm厚优质环保双面板，优质五金配件；</w:t>
            </w:r>
          </w:p>
          <w:p>
            <w:pPr>
              <w:keepNext w:val="0"/>
              <w:keepLines w:val="0"/>
              <w:widowControl w:val="0"/>
              <w:suppressLineNumbers w:val="0"/>
              <w:topLinePunct/>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柜门防撞处理，配按弹器及暗锁；</w:t>
            </w:r>
          </w:p>
          <w:p>
            <w:pPr>
              <w:keepNext w:val="0"/>
              <w:keepLines w:val="0"/>
              <w:widowControl w:val="0"/>
              <w:suppressLineNumbers w:val="0"/>
              <w:topLinePunct/>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安装在隔墙内部，避免出现凸角；</w:t>
            </w:r>
          </w:p>
          <w:p>
            <w:pPr>
              <w:keepNext w:val="0"/>
              <w:keepLines w:val="0"/>
              <w:widowControl w:val="0"/>
              <w:suppressLineNumbers w:val="0"/>
              <w:topLinePunct/>
              <w:spacing w:before="0" w:beforeAutospacing="0" w:after="0" w:afterAutospacing="0"/>
              <w:ind w:left="0" w:right="0"/>
              <w:contextualSpacing/>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尺寸：宽：1.5米*高：2米*深：0.3米</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个</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15</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谈话桌</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软包谈话桌。采用多层实木基材，采用≥20mm环保挤塑棉包裹，外层使用PVC优质阻燃皮革，产品整体达到B1级阻燃，环保，防撞。尺寸长1.6米，宽0.8米，高0.75米。具体款式根据甲方要求定制。</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张</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2</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16</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椅子</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尺寸为460*490*950mm，外包30mm高回弹海绵+挤塑棉+PVC优质阻燃皮革，B1级阻燃，E1级环保，防撞性能好。</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把</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4</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17</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空调</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1.5P变频壁挂空调，能效不低于2级，内外机的安装、调试。</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套</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18</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控制台</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 xml:space="preserve">尺寸：长1.4米，宽：0.6米，高：0.75米；高密度压缩板，钢架结构，带移动的活动柜一个，台面厚度≥30mm， </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张</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19</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转椅</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上下升降，透气网棉材质，全钢制椅子腿</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把</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20</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工程服务费</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keepNext w:val="0"/>
              <w:keepLines w:val="0"/>
              <w:widowControl w:val="0"/>
              <w:suppressLineNumbers w:val="0"/>
              <w:topLinePunct/>
              <w:spacing w:before="0" w:beforeAutospacing="0" w:after="0" w:afterAutospacing="0"/>
              <w:ind w:left="0" w:right="0"/>
              <w:contextualSpacing/>
              <w:jc w:val="both"/>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以上设备的搬运、安装、调试、培训服务费及相关网线、电源线、线槽等辅材一批。</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项</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textAlignment w:val="center"/>
              <w:rPr>
                <w:rFonts w:hint="default" w:ascii="仿宋" w:hAnsi="仿宋" w:eastAsia="仿宋" w:cs="仿宋"/>
                <w:color w:val="000000"/>
                <w:sz w:val="18"/>
                <w:szCs w:val="18"/>
              </w:rPr>
            </w:pPr>
            <w:r>
              <w:rPr>
                <w:rFonts w:hint="eastAsia" w:ascii="仿宋" w:hAnsi="仿宋" w:eastAsia="仿宋" w:cs="仿宋"/>
                <w:color w:val="000000"/>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adjustRightInd/>
              <w:snapToGrid/>
              <w:spacing w:before="0" w:beforeAutospacing="0" w:after="0" w:afterAutospacing="0"/>
              <w:ind w:left="0" w:right="0"/>
              <w:jc w:val="center"/>
              <w:rPr>
                <w:rFonts w:hint="default" w:ascii="仿宋" w:hAnsi="仿宋" w:eastAsia="仿宋" w:cs="宋体"/>
                <w:color w:val="000000"/>
                <w:sz w:val="18"/>
                <w:szCs w:val="18"/>
              </w:rPr>
            </w:pPr>
            <w:r>
              <w:rPr>
                <w:rFonts w:hint="eastAsia" w:ascii="仿宋" w:hAnsi="仿宋" w:eastAsia="仿宋"/>
                <w:color w:val="000000"/>
                <w:sz w:val="18"/>
                <w:szCs w:val="18"/>
              </w:rPr>
              <w:t>21</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谈话间及走廊实木复合地板</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家用仿实木强化复合木地板；北欧风格</w:t>
            </w:r>
          </w:p>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厚度：12mm；耐磨转数≧6000转；基材：高密度纤维板；甲醛释放量：≦1.5mg/L；单片规格：1218*195*11；燃烧性能：B1级；静曲强度：Χ≥30Mpa,Xmin≥24.0mpa;含水率：≦10%；密度：≥0.8g/cm</w:t>
            </w:r>
            <w:r>
              <w:rPr>
                <w:rFonts w:hint="default" w:ascii="Calibri" w:hAnsi="Calibri" w:eastAsia="仿宋" w:cs="Calibri"/>
                <w:color w:val="000000"/>
                <w:sz w:val="18"/>
                <w:szCs w:val="18"/>
              </w:rPr>
              <w:t>²</w:t>
            </w:r>
            <w:r>
              <w:rPr>
                <w:rFonts w:hint="eastAsia" w:ascii="仿宋" w:hAnsi="仿宋" w:eastAsia="仿宋" w:cs="仿宋"/>
                <w:color w:val="000000"/>
                <w:sz w:val="18"/>
                <w:szCs w:val="18"/>
              </w:rPr>
              <w:t>;抗冲击：≦12mm</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46</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22</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实木踢脚线</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厚度：≥15mm，高度8cm,材质：柳桉木；漆面：钢琴烤漆 工艺：高度指接，长度齿接；环保等级：E0；</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45</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23</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防静电地板</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rPr>
                <w:rFonts w:hint="default" w:ascii="仿宋" w:hAnsi="仿宋" w:eastAsia="仿宋" w:cs="仿宋"/>
                <w:color w:val="000000"/>
                <w:sz w:val="18"/>
                <w:szCs w:val="18"/>
              </w:rPr>
            </w:pPr>
            <w:r>
              <w:rPr>
                <w:rFonts w:hint="eastAsia" w:ascii="仿宋" w:hAnsi="仿宋" w:eastAsia="仿宋" w:cs="仿宋"/>
                <w:color w:val="000000"/>
                <w:sz w:val="18"/>
                <w:szCs w:val="18"/>
              </w:rPr>
              <w:t>基材材质及要求：全钢防静电活动地板采用优质冷轧钢板（上钢板厚度≥0.8mm下钢板厚度≥0.9mm），内腔填充425#优质发泡水泥。基层要求绝对环保，基层内绝不允许含任何石棉、纤维或其他有毒副作用材料。尺寸：600mm×600mm×35mm（厚）防静电贴面 材质及要求：高耐磨防火高压层板（HPL三聚氰胺） 尺寸：≥1.5mm（厚）地板支撑：荷载20KN保持1分钟支撑完好如初。上托板厚度要≥3.0mm，下托板厚度要≥2.0mm，表面采用镀锌防锈，金属体表面无明显疵点。罗杆上下可调在±25mm范围之间；横梁 壁厚需达到1.0mm，表面采用热镀锌钢制方管，镀锌表面无明显疵点。燃烧性能 不燃Aln级；耐磨性 ≥3000转；滚动载荷 滚动10000次挠度≤2mm， 永久变形≤0.5mm ；翘曲度 ≤0.60mm；外观 贴装表面应牢固，不起皮，不起泡，不起皱。架空活动地板表面应不反光、不打滑、耐腐蚀、不起尘、不吸尘。基脚要牢固。</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11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24</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墙面轻钢龙骨</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为达到理想的隔音效果及墙面找平，将房间四周设置墙面轻钢龙骨。轻钢龙骨采用Q75系列镀锌成型龙骨，国标。轻钢龙骨的安装应符合下列规定：①应按弹线位置固定沿地、沿顶龙骨及边框龙骨，龙骨的边线应与弹线重合。龙骨的端部应安装牢固，龙骨与基体的固定点间距应不大于1m。②安装竖向龙骨应垂直，龙骨间距应符合设计要求。龙骨间距不宜大于400mm。③安装支撑龙骨时，应先将支撑卡安装在竖向龙骨的开口方向，卡距宜为400～600mm，距龙骨两端的距离宜为20～25mm。  ④安装贯通系列龙骨时，低于3m的隔墙安装一道，3～5m隔墙安装两道。 ⑤饰面板横向接缝处不在沿地、沿顶龙骨上时，加横撑龙骨固定。 ⑥门窗或特殊接点处安装附加龙骨应符合设计要求。 </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94</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25</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墙面隔音棉</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1、密度: 1000g/m2；2、热传导率:≤0.04W/m.K； 3、耐热度:≥700℃； 4、吸湿率：＜5% ; 5、阻燃性:A1级以上； 6、无黏结剂，无气味； 7、耐腐蚀性：耐强酸、强碱，长时间不会减低其功能特性； 8、回弹性：复原性极好，抗拉强度≥1.0kg。提供厂家环保检测报告。</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94</w:t>
            </w:r>
          </w:p>
        </w:tc>
      </w:tr>
      <w:tr>
        <w:tblPrEx>
          <w:tblCellMar>
            <w:top w:w="0" w:type="dxa"/>
            <w:left w:w="0" w:type="dxa"/>
            <w:bottom w:w="0" w:type="dxa"/>
            <w:right w:w="0" w:type="dxa"/>
          </w:tblCellMar>
        </w:tblPrEx>
        <w:trPr>
          <w:trHeight w:val="3080"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26</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墙面多层板基层</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1"/>
              <w:keepNext w:val="0"/>
              <w:keepLines w:val="0"/>
              <w:numPr>
                <w:ilvl w:val="0"/>
                <w:numId w:val="5"/>
              </w:numPr>
              <w:suppressLineNumbers w:val="0"/>
              <w:spacing w:before="0" w:beforeAutospacing="0" w:after="0" w:afterAutospacing="0"/>
              <w:ind w:right="0" w:firstLineChars="0"/>
              <w:jc w:val="both"/>
              <w:rPr>
                <w:rFonts w:hint="default" w:ascii="仿宋" w:hAnsi="仿宋" w:eastAsia="仿宋" w:cs="仿宋"/>
                <w:sz w:val="18"/>
                <w:szCs w:val="18"/>
              </w:rPr>
            </w:pPr>
            <w:r>
              <w:rPr>
                <w:rFonts w:hint="eastAsia" w:ascii="仿宋" w:hAnsi="仿宋" w:eastAsia="仿宋" w:cs="仿宋"/>
                <w:sz w:val="18"/>
                <w:szCs w:val="18"/>
              </w:rPr>
              <w:t>GB8624-2006《建筑材料及制品燃烧性能分级》B级，并提供厂家环保检测报告</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GB/T8625-2005《建筑材料难燃性试验方法》难燃性材料，并提供检测证书或报告。</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②产品游离甲醛释放量≤4.0mg/100g，远低于国标E1级9.0mg/100g之规定；</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③阻燃胶合板的吸湿性不大，吸水厚度膨胀率稳定，防潮性能卓越，不影响饰面、油漆等二次加工；</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④具有较高的化学稳定性及优良的耐老化性；</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⑤MOR、MOE、IB等物理力学性能指标均达到国标之规定优等品A级要求；</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⑥阻燃胶合板自身安全环保，燃烧剩余物无毒、无污染；</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⑦阻燃胶合板握螺钉力优良，不腐蚀金属链接件；</w:t>
            </w:r>
          </w:p>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sz w:val="18"/>
                <w:szCs w:val="18"/>
              </w:rPr>
              <w:t>⑧不损害阻燃胶合板的饰面性、胶粘性及机加工性能；</w:t>
            </w:r>
          </w:p>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产品规格：1220×2440×9mm</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94</w:t>
            </w:r>
          </w:p>
        </w:tc>
      </w:tr>
      <w:tr>
        <w:tblPrEx>
          <w:tblCellMar>
            <w:top w:w="0" w:type="dxa"/>
            <w:left w:w="0" w:type="dxa"/>
            <w:bottom w:w="0" w:type="dxa"/>
            <w:right w:w="0" w:type="dxa"/>
          </w:tblCellMar>
        </w:tblPrEx>
        <w:trPr>
          <w:trHeight w:val="116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27</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墙面防火棉软包</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default" w:ascii="仿宋" w:hAnsi="仿宋" w:eastAsia="仿宋" w:cs="仿宋"/>
                <w:sz w:val="18"/>
                <w:szCs w:val="18"/>
              </w:rPr>
            </w:pPr>
            <w:r>
              <w:rPr>
                <w:rFonts w:hint="eastAsia" w:ascii="仿宋" w:hAnsi="仿宋" w:eastAsia="仿宋" w:cs="仿宋"/>
                <w:color w:val="000000"/>
                <w:sz w:val="18"/>
                <w:szCs w:val="18"/>
              </w:rPr>
              <w:t>防火棉软包：芯材采用50mm厚高密度防火棉，具有防撞防火隔音属性， 外饰面用阻燃优质耐磨皮革，整体具有防撞、阻燃、耐磨、防潮、隔音的特性，尺寸：根据设计图纸定制，安装工艺：免钉胶粘软包背面，配合专用硅胶收边条，   阻燃等级：B1，</w:t>
            </w:r>
            <w:r>
              <w:rPr>
                <w:rFonts w:hint="eastAsia" w:ascii="仿宋" w:hAnsi="仿宋" w:eastAsia="仿宋" w:cs="仿宋"/>
                <w:sz w:val="18"/>
                <w:szCs w:val="18"/>
              </w:rPr>
              <w:t>并提供检测证书或报告，</w:t>
            </w:r>
            <w:r>
              <w:rPr>
                <w:rFonts w:hint="eastAsia" w:ascii="仿宋" w:hAnsi="仿宋" w:eastAsia="仿宋" w:cs="仿宋"/>
                <w:color w:val="000000"/>
                <w:sz w:val="18"/>
                <w:szCs w:val="18"/>
              </w:rPr>
              <w:t xml:space="preserve"> 环保等级：E1，</w:t>
            </w:r>
            <w:r>
              <w:rPr>
                <w:rFonts w:hint="eastAsia" w:ascii="仿宋" w:hAnsi="仿宋" w:eastAsia="仿宋" w:cs="仿宋"/>
                <w:sz w:val="18"/>
                <w:szCs w:val="18"/>
              </w:rPr>
              <w:t>并提供厂家环保检测报告。</w:t>
            </w:r>
          </w:p>
          <w:p>
            <w:pPr>
              <w:keepNext w:val="0"/>
              <w:keepLines w:val="0"/>
              <w:suppressLineNumbers w:val="0"/>
              <w:spacing w:before="0" w:beforeAutospacing="0" w:after="0" w:afterAutospacing="0"/>
              <w:ind w:left="0" w:right="0"/>
              <w:rPr>
                <w:rFonts w:hint="default" w:ascii="仿宋" w:hAnsi="仿宋" w:eastAsia="仿宋" w:cs="仿宋"/>
                <w:color w:val="000000"/>
                <w:sz w:val="18"/>
                <w:szCs w:val="18"/>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color w:val="000000"/>
                <w:sz w:val="18"/>
                <w:szCs w:val="18"/>
              </w:rPr>
            </w:pPr>
            <w:r>
              <w:rPr>
                <w:rFonts w:hint="eastAsia" w:ascii="仿宋" w:hAnsi="仿宋" w:eastAsia="仿宋" w:cs="仿宋"/>
                <w:color w:val="000000"/>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color w:val="000000"/>
                <w:sz w:val="18"/>
                <w:szCs w:val="18"/>
              </w:rPr>
            </w:pPr>
            <w:r>
              <w:rPr>
                <w:rFonts w:hint="eastAsia" w:ascii="仿宋" w:hAnsi="仿宋" w:eastAsia="仿宋" w:cs="仿宋"/>
                <w:color w:val="000000"/>
                <w:sz w:val="18"/>
                <w:szCs w:val="18"/>
              </w:rPr>
              <w:t>114</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28</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墙面木质吸音板</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color w:val="000000"/>
                <w:sz w:val="18"/>
                <w:szCs w:val="18"/>
              </w:rPr>
            </w:pPr>
            <w:r>
              <w:rPr>
                <w:rFonts w:hint="eastAsia" w:ascii="仿宋" w:hAnsi="仿宋" w:eastAsia="仿宋" w:cs="仿宋"/>
                <w:color w:val="000000"/>
                <w:sz w:val="18"/>
                <w:szCs w:val="18"/>
              </w:rPr>
              <w:t>墙面防火棉2.4米以上设置木质吸音板，特点：美观、吸音；基材：陶铝板，燃烧性能达到不燃（A1)级别;甲醛释放量：≦1.5MG/L，产品尺寸：2440*1220*15。</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color w:val="000000"/>
                <w:sz w:val="18"/>
                <w:szCs w:val="18"/>
              </w:rPr>
            </w:pPr>
            <w:r>
              <w:rPr>
                <w:rFonts w:hint="eastAsia" w:ascii="仿宋" w:hAnsi="仿宋" w:eastAsia="仿宋" w:cs="仿宋"/>
                <w:color w:val="000000"/>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color w:val="000000"/>
                <w:sz w:val="18"/>
                <w:szCs w:val="18"/>
              </w:rPr>
            </w:pPr>
            <w:r>
              <w:rPr>
                <w:rFonts w:hint="eastAsia" w:ascii="仿宋" w:hAnsi="仿宋" w:eastAsia="仿宋" w:cs="仿宋"/>
                <w:color w:val="000000"/>
                <w:sz w:val="18"/>
                <w:szCs w:val="18"/>
              </w:rPr>
              <w:t>45</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29</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石膏板隔墙</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双面石膏板，厚度&gt;9mm.自攻螺丝连接，间距不小于20cm；接缝处应放置接头板，刷胶；板与板之间留5mm伸缩缝，后期镶嵌石膏，防止开裂。</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41.6</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30</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木质收口线条</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木质收口线条</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60</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31</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吸音软包门（隐形拉手）</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成品门做吸音、防撞处理。采用暗扣拉手防止碰伤；安装碰珠；禁止出现悬挂点.</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套</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2</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32</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密码电磁锁（门禁系统）</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门内外采用密码+指纹+刷卡门禁机，配套电插锁；安装电插锁应隐蔽不外露；电压：DC12V输入 、工作电流：450mA  、尺寸：204*33*42mm、重量：0.75KG/把、输入电压   12DVC 、安全类型   断电自动开锁、老化实验   50万次检验合格、使用范围   木门 玻璃门 铁门 防火门、开门方式：180度双向开门.</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套</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33</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防盗门（隐形拉手）</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定制子母门，甲级防盗门，隐形拉手，内侧防撞吸音处理</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套</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34</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LED平板灯</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 xml:space="preserve"> LED方形装饰灯，灯身材质：铝型材质+PMMA；1、光源：LED芯片；规格≤600*600*15mm；色温≥6000K；功率≥48w。</w:t>
            </w:r>
          </w:p>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2.高效节能：节能，亮度高，无汞，无红外线，无紫外线，无电磁干扰，无热效应，无辐射，无频闪现象；最新的高效（95%）恒流驱动器；</w:t>
            </w:r>
          </w:p>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3.明亮匀光: 明亮的光线完全平面输出，发光角度更宽；</w:t>
            </w:r>
          </w:p>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4.超薄超轻：专用电路设计，避免单一的坏灯影响整体的效果；</w:t>
            </w:r>
          </w:p>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 xml:space="preserve">5.稳定耐用: 5年使用期限，不受无线电干涉，不会污染环境。                                                                                                                                                                                                 </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个</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9</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35</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吊顶轻钢龙骨</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吊劲采用</w:t>
            </w:r>
            <w:r>
              <w:rPr>
                <w:rFonts w:hint="eastAsia" w:ascii="MS Gothic" w:hAnsi="MS Gothic" w:eastAsia="MS Gothic" w:cs="MS Gothic"/>
                <w:sz w:val="18"/>
                <w:szCs w:val="18"/>
              </w:rPr>
              <w:t>∅</w:t>
            </w:r>
            <w:r>
              <w:rPr>
                <w:rFonts w:hint="eastAsia" w:ascii="仿宋" w:hAnsi="仿宋" w:eastAsia="仿宋" w:cs="仿宋"/>
                <w:sz w:val="18"/>
                <w:szCs w:val="18"/>
              </w:rPr>
              <w:t>8镀锌螺纹钢，用M8*100膨胀螺丝固定在楼板上，龙骨采用38系列U型镀锌轻钢龙骨，国标；主龙骨间距≦800mm，副龙骨间距600mm。轻钢龙骨安装位置正确必须牢固，平直无弯曲无变形，连接方法正确，无松动。成品平整度偏差≦3mm，接缝高低偏差≦1mm</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54</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36</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吊顶矿棉板</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尺寸：600*600*0.8，冲孔板，内贴防尘吸音布料；表面烤漆处理；面板无脱层、翘曲、折裂、缺楞掉角等缺陷，表面平整、洁净，颜色一致。面板接缝形式符合设计要求，宽窄一致，平直整齐，接缝严密。</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平米</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54</w:t>
            </w:r>
          </w:p>
        </w:tc>
      </w:tr>
      <w:tr>
        <w:tblPrEx>
          <w:tblCellMar>
            <w:top w:w="0" w:type="dxa"/>
            <w:left w:w="0" w:type="dxa"/>
            <w:bottom w:w="0" w:type="dxa"/>
            <w:right w:w="0" w:type="dxa"/>
          </w:tblCellMar>
        </w:tblPrEx>
        <w:trPr>
          <w:trHeight w:val="477"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37</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开关、插座</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开关、插座（安全保护覆盖插孔）</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个</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8</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38</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窗帘</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静音窗帘轨道，单轨；轨道采用白色铝合金拉伸成型材，滑轮座及滑轮采用硬质聚乙烯，吊环采用SUS304不锈钢材质，套端采用尼龙材质，安装码采用镀锌钢板；窗帘面料采用亚麻遮光布料，遮光率≥80%，克重0.85kg/m,面料门幅2.8m，甲醛含量：≦20mg/kg,无异味、垂感好、吸音好；耐洗色牢度：GB/T3921-2008方法A（1）40℃≥3；耐光色牢度≥4，整体风格色调与装修一致。</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套</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1</w:t>
            </w:r>
          </w:p>
        </w:tc>
      </w:tr>
      <w:tr>
        <w:tblPrEx>
          <w:tblCellMar>
            <w:top w:w="0" w:type="dxa"/>
            <w:left w:w="0" w:type="dxa"/>
            <w:bottom w:w="0" w:type="dxa"/>
            <w:right w:w="0" w:type="dxa"/>
          </w:tblCellMar>
        </w:tblPrEx>
        <w:trPr>
          <w:trHeight w:val="468"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39</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不锈钢防护栏</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窗户不锈钢防护栏并外包防撞击环保软包。</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个</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1</w:t>
            </w:r>
          </w:p>
        </w:tc>
      </w:tr>
      <w:tr>
        <w:tblPrEx>
          <w:tblCellMar>
            <w:top w:w="0" w:type="dxa"/>
            <w:left w:w="0" w:type="dxa"/>
            <w:bottom w:w="0" w:type="dxa"/>
            <w:right w:w="0" w:type="dxa"/>
          </w:tblCellMar>
        </w:tblPrEx>
        <w:trPr>
          <w:trHeight w:val="312"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40</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napToGrid/>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强电铺设</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所有线路重新布设，开槽暗装；所有电线穿PVC管，直径</w:t>
            </w:r>
            <w:r>
              <w:rPr>
                <w:rFonts w:hint="eastAsia" w:ascii="MS Gothic" w:hAnsi="MS Gothic" w:eastAsia="MS Gothic" w:cs="MS Gothic"/>
                <w:sz w:val="18"/>
                <w:szCs w:val="18"/>
              </w:rPr>
              <w:t>∅</w:t>
            </w:r>
            <w:r>
              <w:rPr>
                <w:rFonts w:hint="eastAsia" w:ascii="仿宋" w:hAnsi="仿宋" w:eastAsia="仿宋" w:cs="仿宋"/>
                <w:sz w:val="18"/>
                <w:szCs w:val="18"/>
              </w:rPr>
              <w:t>20，管内最多穿3根4m2BV线，布管时遵守横平竖直的原则，接头处需加装分线盒。  根据设计图纸计算负载功率，每个回路采用BV2.5M2线缆接入原有配电箱内的空气开关；插座单独回路，每个回路采用BV4M2线缆接入原有配电箱内的空气开关；电线电缆、开关、插座、终端盒等器件外观完好,绝缘器件无裂纹,安装牢固、平正,安装方式符合规定;并列安装的开关、插座终端盒内的偏差,暗装开关、插座、终端盒的面板、盒周边的间隙符合规定.</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项</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1</w:t>
            </w:r>
          </w:p>
        </w:tc>
      </w:tr>
      <w:tr>
        <w:tblPrEx>
          <w:tblCellMar>
            <w:top w:w="0" w:type="dxa"/>
            <w:left w:w="0" w:type="dxa"/>
            <w:bottom w:w="0" w:type="dxa"/>
            <w:right w:w="0" w:type="dxa"/>
          </w:tblCellMar>
        </w:tblPrEx>
        <w:trPr>
          <w:trHeight w:val="811"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41</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弱电铺设</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根据设备安装位置综合布线，暗线。强弱电之间间距≧300mm,施工过程中与设备安装方位精密配合，确保位置准确，精确放线。</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项</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1</w:t>
            </w:r>
          </w:p>
        </w:tc>
      </w:tr>
      <w:tr>
        <w:tblPrEx>
          <w:tblCellMar>
            <w:top w:w="0" w:type="dxa"/>
            <w:left w:w="0" w:type="dxa"/>
            <w:bottom w:w="0" w:type="dxa"/>
            <w:right w:w="0" w:type="dxa"/>
          </w:tblCellMar>
        </w:tblPrEx>
        <w:trPr>
          <w:trHeight w:val="708" w:hRule="atLeast"/>
        </w:trPr>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42</w:t>
            </w:r>
          </w:p>
        </w:tc>
        <w:tc>
          <w:tcPr>
            <w:tcW w:w="35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contextualSpacing/>
              <w:jc w:val="center"/>
              <w:rPr>
                <w:rFonts w:hint="default" w:ascii="仿宋" w:hAnsi="仿宋" w:eastAsia="仿宋" w:cs="仿宋"/>
                <w:color w:val="000000"/>
                <w:sz w:val="18"/>
                <w:szCs w:val="18"/>
              </w:rPr>
            </w:pPr>
            <w:r>
              <w:rPr>
                <w:rFonts w:hint="eastAsia" w:ascii="仿宋" w:hAnsi="仿宋" w:eastAsia="仿宋" w:cs="仿宋"/>
                <w:color w:val="000000"/>
                <w:sz w:val="18"/>
                <w:szCs w:val="18"/>
              </w:rPr>
              <w:t>服务</w:t>
            </w:r>
          </w:p>
        </w:tc>
        <w:tc>
          <w:tcPr>
            <w:tcW w:w="37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仿宋" w:hAnsi="仿宋" w:eastAsia="仿宋" w:cs="仿宋"/>
                <w:sz w:val="18"/>
                <w:szCs w:val="18"/>
              </w:rPr>
            </w:pPr>
            <w:r>
              <w:rPr>
                <w:rFonts w:hint="eastAsia" w:ascii="仿宋" w:hAnsi="仿宋" w:eastAsia="仿宋" w:cs="仿宋"/>
                <w:sz w:val="18"/>
                <w:szCs w:val="18"/>
              </w:rPr>
              <w:t>垃圾清理、保洁。要求室内甲醛浓度小于等于0.08毫克／立方米。装修完毕做甲醛治理并出检验结果。施工期间有施工日志，隐蔽材料提供留样。</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项</w:t>
            </w:r>
          </w:p>
        </w:tc>
        <w:tc>
          <w:tcPr>
            <w:tcW w:w="3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18"/>
                <w:szCs w:val="18"/>
              </w:rPr>
            </w:pPr>
            <w:r>
              <w:rPr>
                <w:rFonts w:hint="eastAsia" w:ascii="仿宋" w:hAnsi="仿宋" w:eastAsia="仿宋" w:cs="仿宋"/>
                <w:sz w:val="18"/>
                <w:szCs w:val="18"/>
              </w:rPr>
              <w:t>1</w:t>
            </w:r>
          </w:p>
        </w:tc>
      </w:tr>
    </w:tbl>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9"/>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6"/>
        </w:numPr>
        <w:spacing w:line="360" w:lineRule="auto"/>
        <w:jc w:val="center"/>
        <w:rPr>
          <w:rFonts w:hint="eastAsia" w:ascii="宋体" w:hAnsi="宋体" w:cs="宋体"/>
          <w:color w:val="auto"/>
        </w:rPr>
      </w:pPr>
      <w:bookmarkStart w:id="34" w:name="_Toc498079264"/>
      <w:r>
        <w:rPr>
          <w:rFonts w:hint="eastAsia" w:ascii="宋体" w:hAnsi="宋体" w:cs="宋体"/>
          <w:color w:val="auto"/>
        </w:rPr>
        <w:t xml:space="preserve"> </w:t>
      </w:r>
      <w:bookmarkStart w:id="35" w:name="_Toc27922"/>
      <w:r>
        <w:rPr>
          <w:rFonts w:hint="eastAsia" w:ascii="宋体" w:hAnsi="宋体" w:cs="宋体"/>
          <w:color w:val="auto"/>
        </w:rPr>
        <w:t>磋商响应文件格</w:t>
      </w:r>
      <w:bookmarkEnd w:id="28"/>
      <w:bookmarkEnd w:id="29"/>
      <w:bookmarkEnd w:id="30"/>
      <w:bookmarkEnd w:id="34"/>
      <w:r>
        <w:rPr>
          <w:rFonts w:hint="eastAsia" w:ascii="宋体" w:hAnsi="宋体" w:cs="宋体"/>
          <w:color w:val="auto"/>
        </w:rPr>
        <w:t>式</w:t>
      </w:r>
      <w:bookmarkEnd w:id="35"/>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9"/>
        <w:rPr>
          <w:rFonts w:hint="eastAsia"/>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6" w:name="_Toc60421813"/>
    </w:p>
    <w:p>
      <w:pPr>
        <w:spacing w:line="360" w:lineRule="auto"/>
        <w:rPr>
          <w:rFonts w:hint="eastAsia" w:ascii="宋体" w:hAnsi="宋体" w:cs="宋体"/>
          <w:color w:val="auto"/>
        </w:rPr>
      </w:pPr>
    </w:p>
    <w:bookmarkEnd w:id="36"/>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sz w:val="30"/>
          <w:szCs w:val="30"/>
        </w:rPr>
      </w:pPr>
      <w:bookmarkStart w:id="37" w:name="_Toc60421814"/>
      <w:r>
        <w:rPr>
          <w:rFonts w:hint="eastAsia" w:ascii="宋体" w:hAnsi="宋体" w:cs="宋体"/>
          <w:b/>
          <w:sz w:val="30"/>
          <w:szCs w:val="30"/>
        </w:rPr>
        <w:t>格式二  报价格式</w:t>
      </w:r>
    </w:p>
    <w:p>
      <w:pPr>
        <w:spacing w:line="360" w:lineRule="auto"/>
        <w:rPr>
          <w:rFonts w:ascii="宋体" w:hAnsi="Times New Roman"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spacing w:line="360" w:lineRule="auto"/>
        <w:rPr>
          <w:rFonts w:hint="eastAsia" w:ascii="宋体" w:hAnsi="宋体" w:cs="宋体"/>
          <w:b/>
          <w:color w:val="auto"/>
          <w:sz w:val="28"/>
          <w:szCs w:val="28"/>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根据你方磋商项目编号为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在此提交的磋商响应文件，正本一份，副本二份，报价信封一份,电子文本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报价一览表；</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技术说明文件；</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资格证明文件；</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法人授权书；</w:t>
      </w:r>
    </w:p>
    <w:p>
      <w:pPr>
        <w:numPr>
          <w:ilvl w:val="0"/>
          <w:numId w:val="7"/>
        </w:numPr>
        <w:spacing w:line="360" w:lineRule="auto"/>
        <w:rPr>
          <w:rFonts w:hint="eastAsia" w:ascii="宋体" w:hAnsi="宋体" w:cs="宋体"/>
          <w:color w:val="auto"/>
          <w:sz w:val="21"/>
          <w:szCs w:val="21"/>
        </w:rPr>
      </w:pPr>
      <w:r>
        <w:rPr>
          <w:rFonts w:hint="eastAsia" w:ascii="宋体" w:hAnsi="宋体" w:cs="宋体"/>
          <w:color w:val="auto"/>
          <w:sz w:val="21"/>
          <w:szCs w:val="21"/>
        </w:rPr>
        <w:t>其他。</w:t>
      </w:r>
    </w:p>
    <w:p>
      <w:pPr>
        <w:spacing w:line="360" w:lineRule="auto"/>
        <w:rPr>
          <w:rFonts w:hint="eastAsia" w:ascii="宋体" w:hAnsi="宋体" w:cs="宋体"/>
          <w:color w:val="auto"/>
          <w:sz w:val="21"/>
          <w:szCs w:val="21"/>
        </w:rPr>
      </w:pPr>
      <w:r>
        <w:rPr>
          <w:rFonts w:hint="eastAsia" w:ascii="宋体" w:hAnsi="宋体" w:cs="宋体"/>
          <w:color w:val="auto"/>
          <w:sz w:val="21"/>
          <w:szCs w:val="21"/>
        </w:rPr>
        <w:t xml:space="preserve">   我方已完全明白磋商文件的所有条款要求，并重申以下几点：</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我方决定参加：磋商编号为</w:t>
      </w:r>
      <w:r>
        <w:rPr>
          <w:rFonts w:hint="eastAsia" w:ascii="宋体" w:hAnsi="宋体" w:cs="宋体"/>
          <w:b/>
          <w:bCs/>
          <w:color w:val="auto"/>
          <w:sz w:val="21"/>
          <w:szCs w:val="21"/>
          <w:u w:val="single"/>
        </w:rPr>
        <w:t xml:space="preserve">                       </w:t>
      </w:r>
      <w:r>
        <w:rPr>
          <w:rFonts w:hint="eastAsia" w:ascii="宋体" w:hAnsi="宋体" w:cs="宋体"/>
          <w:color w:val="auto"/>
          <w:sz w:val="21"/>
          <w:szCs w:val="21"/>
        </w:rPr>
        <w:t>号的投标；</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全部货物及服务的投标总价为：</w:t>
      </w:r>
      <w:r>
        <w:rPr>
          <w:rFonts w:hint="eastAsia" w:ascii="宋体" w:hAnsi="宋体" w:cs="宋体"/>
          <w:color w:val="auto"/>
          <w:sz w:val="21"/>
          <w:szCs w:val="21"/>
          <w:u w:val="single"/>
        </w:rPr>
        <w:t xml:space="preserve">               （大、小写）；</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本磋商响应文件的有效期在投标截止日后</w:t>
      </w:r>
      <w:r>
        <w:rPr>
          <w:rFonts w:hint="eastAsia" w:ascii="宋体" w:hAnsi="宋体" w:cs="宋体"/>
          <w:color w:val="auto"/>
          <w:sz w:val="21"/>
          <w:szCs w:val="21"/>
          <w:lang w:val="en-US" w:eastAsia="zh-CN"/>
        </w:rPr>
        <w:t>90</w:t>
      </w:r>
      <w:r>
        <w:rPr>
          <w:rFonts w:hint="eastAsia" w:ascii="宋体" w:hAnsi="宋体" w:cs="宋体"/>
          <w:color w:val="auto"/>
          <w:sz w:val="21"/>
          <w:szCs w:val="21"/>
        </w:rPr>
        <w:t>天有效，如中标，有效期将</w:t>
      </w:r>
    </w:p>
    <w:p>
      <w:pPr>
        <w:spacing w:line="360" w:lineRule="auto"/>
        <w:rPr>
          <w:rFonts w:hint="eastAsia" w:ascii="宋体" w:hAnsi="宋体" w:cs="宋体"/>
          <w:color w:val="auto"/>
          <w:sz w:val="21"/>
          <w:szCs w:val="21"/>
        </w:rPr>
      </w:pPr>
      <w:r>
        <w:rPr>
          <w:rFonts w:hint="eastAsia" w:ascii="宋体" w:hAnsi="宋体" w:cs="宋体"/>
          <w:color w:val="auto"/>
          <w:sz w:val="21"/>
          <w:szCs w:val="21"/>
        </w:rPr>
        <w:t>延至合同终止日为止；</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我方已详细研究了磋商文件的所有内容包括修正文（如果有）和所有已</w:t>
      </w:r>
    </w:p>
    <w:p>
      <w:pPr>
        <w:spacing w:line="360" w:lineRule="auto"/>
        <w:rPr>
          <w:rFonts w:hint="eastAsia" w:ascii="宋体" w:hAnsi="宋体" w:cs="宋体"/>
          <w:color w:val="auto"/>
          <w:sz w:val="21"/>
          <w:szCs w:val="21"/>
        </w:rPr>
      </w:pPr>
      <w:r>
        <w:rPr>
          <w:rFonts w:hint="eastAsia" w:ascii="宋体" w:hAnsi="宋体" w:cs="宋体"/>
          <w:color w:val="auto"/>
          <w:sz w:val="21"/>
          <w:szCs w:val="21"/>
        </w:rPr>
        <w:t>提供的参考资料以及有关附件并完全明白，我方放弃在此方面提出含糊意见或误解的一切权力。</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我方明白并愿意在规定的谈判时间和日期之后、投标有效期之内撤回投</w:t>
      </w:r>
    </w:p>
    <w:p>
      <w:pPr>
        <w:spacing w:line="360" w:lineRule="auto"/>
        <w:rPr>
          <w:rFonts w:hint="eastAsia" w:ascii="宋体" w:hAnsi="宋体" w:cs="宋体"/>
          <w:color w:val="auto"/>
          <w:sz w:val="21"/>
          <w:szCs w:val="21"/>
        </w:rPr>
      </w:pPr>
      <w:r>
        <w:rPr>
          <w:rFonts w:hint="eastAsia" w:ascii="宋体" w:hAnsi="宋体" w:cs="宋体"/>
          <w:color w:val="auto"/>
          <w:sz w:val="21"/>
          <w:szCs w:val="21"/>
        </w:rPr>
        <w:t>标，则投标保证金将被贵方没收。</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我方同意按照贵方可能提出的要求而提供与投标有关的任何其它数据或</w:t>
      </w:r>
    </w:p>
    <w:p>
      <w:pPr>
        <w:spacing w:line="360" w:lineRule="auto"/>
        <w:rPr>
          <w:rFonts w:hint="eastAsia" w:ascii="宋体" w:hAnsi="宋体" w:cs="宋体"/>
          <w:color w:val="auto"/>
          <w:sz w:val="21"/>
          <w:szCs w:val="21"/>
        </w:rPr>
      </w:pPr>
      <w:r>
        <w:rPr>
          <w:rFonts w:hint="eastAsia" w:ascii="宋体" w:hAnsi="宋体" w:cs="宋体"/>
          <w:color w:val="auto"/>
          <w:sz w:val="21"/>
          <w:szCs w:val="21"/>
        </w:rPr>
        <w:t>信息。</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我方如果成交，将保证履行磋商文件及其补充文件中的全部责任和义务，</w:t>
      </w:r>
    </w:p>
    <w:p>
      <w:pPr>
        <w:spacing w:line="360" w:lineRule="auto"/>
        <w:rPr>
          <w:rFonts w:hint="eastAsia" w:ascii="宋体" w:hAnsi="宋体" w:cs="宋体"/>
          <w:color w:val="auto"/>
          <w:sz w:val="21"/>
          <w:szCs w:val="21"/>
        </w:rPr>
      </w:pPr>
      <w:r>
        <w:rPr>
          <w:rFonts w:hint="eastAsia" w:ascii="宋体" w:hAnsi="宋体" w:cs="宋体"/>
          <w:color w:val="auto"/>
          <w:sz w:val="21"/>
          <w:szCs w:val="21"/>
        </w:rPr>
        <w:t>按质、按量、按期完成《合同书》中的全部任务。</w:t>
      </w:r>
    </w:p>
    <w:p>
      <w:pPr>
        <w:numPr>
          <w:ilvl w:val="0"/>
          <w:numId w:val="8"/>
        </w:numPr>
        <w:spacing w:line="360" w:lineRule="auto"/>
        <w:rPr>
          <w:rFonts w:hint="eastAsia" w:ascii="宋体" w:hAnsi="宋体" w:cs="宋体"/>
          <w:color w:val="auto"/>
          <w:sz w:val="21"/>
          <w:szCs w:val="21"/>
        </w:rPr>
      </w:pPr>
      <w:r>
        <w:rPr>
          <w:rFonts w:hint="eastAsia" w:ascii="宋体" w:hAnsi="宋体" w:cs="宋体"/>
          <w:color w:val="auto"/>
          <w:sz w:val="21"/>
          <w:szCs w:val="21"/>
        </w:rPr>
        <w:t>所有与本招标有关的函件请发往下列地址：</w:t>
      </w: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pStyle w:val="9"/>
        <w:rPr>
          <w:rFonts w:hint="eastAsia" w:ascii="宋体" w:hAnsi="宋体" w:cs="宋体"/>
          <w:color w:val="auto"/>
          <w:sz w:val="21"/>
          <w:szCs w:val="21"/>
        </w:rPr>
      </w:pPr>
    </w:p>
    <w:p>
      <w:pPr>
        <w:spacing w:after="100" w:line="360" w:lineRule="auto"/>
        <w:ind w:left="482"/>
        <w:rPr>
          <w:rFonts w:hint="eastAsia" w:ascii="宋体" w:hAnsi="宋体" w:cs="宋体"/>
          <w:color w:val="auto"/>
          <w:sz w:val="21"/>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传真</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电子函件</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供应商代表签字</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color w:val="auto"/>
                <w:sz w:val="21"/>
                <w:szCs w:val="21"/>
              </w:rPr>
            </w:pPr>
          </w:p>
        </w:tc>
      </w:tr>
    </w:tbl>
    <w:p>
      <w:pPr>
        <w:pStyle w:val="4"/>
        <w:jc w:val="both"/>
        <w:rPr>
          <w:rFonts w:hint="eastAsia" w:ascii="宋体" w:hAnsi="宋体" w:eastAsia="宋体" w:cs="宋体"/>
          <w:color w:val="auto"/>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8" w:name="_Toc60421818"/>
    </w:p>
    <w:bookmarkEnd w:id="38"/>
    <w:p>
      <w:pP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法人代表与被授权人身份证（复印件）需附在磋商响应文件中。</w:t>
      </w:r>
    </w:p>
    <w:p>
      <w:pPr>
        <w:spacing w:after="160" w:line="360" w:lineRule="auto"/>
        <w:rPr>
          <w:rFonts w:hint="eastAsia" w:ascii="宋体" w:hAnsi="宋体" w:cs="宋体"/>
          <w:b/>
          <w:color w:val="auto"/>
          <w:sz w:val="28"/>
          <w:szCs w:val="28"/>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项目编号：</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包号：</w:t>
      </w:r>
      <w:r>
        <w:rPr>
          <w:rFonts w:hint="eastAsia" w:ascii="宋体" w:hAnsi="宋体" w:cs="宋体"/>
          <w:color w:val="auto"/>
          <w:sz w:val="21"/>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磋商文件要求</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名称</w:t>
            </w:r>
          </w:p>
        </w:tc>
        <w:tc>
          <w:tcPr>
            <w:tcW w:w="2679"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p>
        </w:tc>
      </w:tr>
    </w:tbl>
    <w:p>
      <w:pPr>
        <w:spacing w:line="360" w:lineRule="auto"/>
        <w:rPr>
          <w:rFonts w:hint="eastAsia" w:ascii="宋体" w:hAnsi="宋体" w:cs="宋体"/>
          <w:color w:val="auto"/>
          <w:sz w:val="24"/>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pacing w:after="240" w:line="360" w:lineRule="auto"/>
        <w:rPr>
          <w:rFonts w:hint="eastAsia" w:ascii="宋体" w:hAnsi="宋体" w:cs="宋体"/>
          <w:color w:val="auto"/>
          <w:sz w:val="21"/>
          <w:szCs w:val="21"/>
        </w:rPr>
      </w:pPr>
      <w:r>
        <w:rPr>
          <w:rFonts w:hint="eastAsia" w:ascii="宋体" w:hAnsi="宋体" w:cs="宋体"/>
          <w:color w:val="auto"/>
          <w:sz w:val="21"/>
          <w:szCs w:val="21"/>
        </w:rPr>
        <w:t>日期：</w:t>
      </w:r>
    </w:p>
    <w:p>
      <w:pPr>
        <w:spacing w:after="240" w:line="360" w:lineRule="auto"/>
        <w:jc w:val="left"/>
        <w:rPr>
          <w:rFonts w:hint="eastAsia" w:ascii="宋体" w:hAnsi="宋体" w:cs="宋体"/>
          <w:b/>
          <w:color w:val="auto"/>
          <w:sz w:val="28"/>
          <w:szCs w:val="28"/>
        </w:rPr>
      </w:pPr>
      <w:r>
        <w:rPr>
          <w:rFonts w:hint="eastAsia" w:ascii="宋体" w:hAnsi="宋体" w:cs="宋体"/>
          <w:color w:val="auto"/>
          <w:sz w:val="21"/>
          <w:szCs w:val="21"/>
        </w:rPr>
        <w:t>注：请对采购文件技术要求书中内容逐条响应。</w:t>
      </w:r>
      <w:r>
        <w:rPr>
          <w:rFonts w:hint="eastAsia" w:ascii="宋体" w:hAnsi="宋体" w:cs="宋体"/>
          <w:color w:val="auto"/>
          <w:sz w:val="21"/>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项目编号：</w:t>
      </w:r>
      <w:r>
        <w:rPr>
          <w:rFonts w:hint="eastAsia" w:ascii="宋体" w:hAnsi="宋体" w:cs="宋体"/>
          <w:color w:val="auto"/>
          <w:sz w:val="21"/>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序号</w:t>
            </w:r>
          </w:p>
        </w:tc>
        <w:tc>
          <w:tcPr>
            <w:tcW w:w="192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磋商文件条目号</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磋商文件的商务条款</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磋商响应文件的商务条款</w:t>
            </w:r>
          </w:p>
        </w:tc>
        <w:tc>
          <w:tcPr>
            <w:tcW w:w="1605"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color w:val="auto"/>
                <w:sz w:val="21"/>
                <w:szCs w:val="21"/>
              </w:rPr>
            </w:pPr>
          </w:p>
        </w:tc>
      </w:tr>
    </w:tbl>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pacing w:after="240" w:line="360" w:lineRule="auto"/>
        <w:rPr>
          <w:rFonts w:hint="eastAsia" w:ascii="宋体" w:hAnsi="宋体" w:cs="宋体"/>
          <w:b/>
          <w:color w:val="auto"/>
          <w:sz w:val="24"/>
        </w:rPr>
      </w:pPr>
    </w:p>
    <w:p>
      <w:pPr>
        <w:spacing w:after="240" w:line="360" w:lineRule="auto"/>
        <w:rPr>
          <w:rFonts w:hint="eastAsia" w:ascii="宋体" w:hAnsi="宋体" w:cs="宋体"/>
          <w:b/>
          <w:bCs/>
          <w:color w:val="auto"/>
          <w:sz w:val="28"/>
          <w:szCs w:val="28"/>
          <w:u w:val="single"/>
        </w:rPr>
      </w:pPr>
    </w:p>
    <w:p>
      <w:pPr>
        <w:pStyle w:val="75"/>
        <w:numPr>
          <w:ilvl w:val="0"/>
          <w:numId w:val="0"/>
        </w:numPr>
        <w:ind w:left="1838" w:leftChars="0"/>
        <w:rPr>
          <w:rFonts w:hint="eastAsia"/>
          <w:color w:val="auto"/>
        </w:rPr>
      </w:pPr>
    </w:p>
    <w:p>
      <w:pPr>
        <w:pStyle w:val="47"/>
        <w:rPr>
          <w:rFonts w:hint="eastAsia"/>
          <w:color w:val="auto"/>
        </w:rPr>
      </w:pPr>
    </w:p>
    <w:p>
      <w:pPr>
        <w:pStyle w:val="47"/>
        <w:rPr>
          <w:rFonts w:hint="eastAsia"/>
          <w:color w:val="auto"/>
        </w:rPr>
      </w:pPr>
    </w:p>
    <w:p>
      <w:pPr>
        <w:spacing w:after="160" w:line="360" w:lineRule="auto"/>
        <w:rPr>
          <w:rFonts w:hint="eastAsia"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bl>
    <w:p>
      <w:pPr>
        <w:spacing w:after="160" w:line="360" w:lineRule="auto"/>
        <w:rPr>
          <w:rFonts w:hint="eastAsia" w:ascii="宋体" w:hAnsi="宋体" w:cs="宋体"/>
          <w:b/>
          <w:color w:val="auto"/>
        </w:rPr>
      </w:pPr>
    </w:p>
    <w:p>
      <w:pPr>
        <w:spacing w:after="160" w:line="360" w:lineRule="auto"/>
        <w:rPr>
          <w:rFonts w:hint="eastAsia" w:ascii="宋体" w:hAnsi="宋体" w:cs="宋体"/>
          <w:b/>
          <w:color w:val="auto"/>
        </w:rPr>
      </w:pPr>
    </w:p>
    <w:p>
      <w:pPr>
        <w:spacing w:after="160" w:line="360" w:lineRule="auto"/>
        <w:rPr>
          <w:rFonts w:hint="eastAsia" w:ascii="宋体" w:hAnsi="宋体" w:cs="宋体"/>
          <w:b/>
          <w:color w:val="auto"/>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hint="eastAsia" w:ascii="宋体" w:hAnsi="宋体" w:cs="宋体"/>
          <w:color w:val="auto"/>
          <w:sz w:val="21"/>
          <w:szCs w:val="21"/>
        </w:rPr>
      </w:pPr>
      <w:r>
        <w:rPr>
          <w:rFonts w:hint="eastAsia" w:ascii="宋体" w:hAnsi="宋体" w:cs="宋体"/>
          <w:color w:val="auto"/>
          <w:sz w:val="21"/>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975"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971"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毕业院校及专业</w:t>
            </w:r>
          </w:p>
        </w:tc>
        <w:tc>
          <w:tcPr>
            <w:tcW w:w="3397" w:type="dxa"/>
            <w:gridSpan w:val="4"/>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毕业时间</w:t>
            </w:r>
          </w:p>
        </w:tc>
        <w:tc>
          <w:tcPr>
            <w:tcW w:w="2037" w:type="dxa"/>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时   间</w:t>
            </w:r>
          </w:p>
        </w:tc>
        <w:tc>
          <w:tcPr>
            <w:tcW w:w="4242" w:type="dxa"/>
            <w:gridSpan w:val="5"/>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4242" w:type="dxa"/>
            <w:gridSpan w:val="5"/>
            <w:tcBorders>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color w:val="auto"/>
                <w:sz w:val="21"/>
                <w:szCs w:val="21"/>
              </w:rPr>
            </w:pPr>
          </w:p>
        </w:tc>
      </w:tr>
    </w:tbl>
    <w:p>
      <w:pP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投标申请人：            （单位全称） (盖章)                </w:t>
      </w:r>
    </w:p>
    <w:p>
      <w:pPr>
        <w:spacing w:after="160" w:line="360" w:lineRule="auto"/>
        <w:rPr>
          <w:rFonts w:hint="eastAsia" w:ascii="宋体" w:hAnsi="宋体" w:cs="宋体"/>
          <w:color w:val="auto"/>
          <w:sz w:val="21"/>
          <w:szCs w:val="21"/>
        </w:rPr>
      </w:pPr>
    </w:p>
    <w:p>
      <w:pP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法定代表人或授权代表：               (签字或盖章)                    </w:t>
      </w:r>
    </w:p>
    <w:p>
      <w:pPr>
        <w:spacing w:after="160" w:line="360" w:lineRule="auto"/>
        <w:rPr>
          <w:rFonts w:hint="eastAsia" w:ascii="宋体" w:hAnsi="宋体" w:cs="宋体"/>
          <w:color w:val="auto"/>
          <w:sz w:val="21"/>
          <w:szCs w:val="21"/>
        </w:rPr>
      </w:pPr>
      <w:r>
        <w:rPr>
          <w:rFonts w:hint="eastAsia" w:ascii="宋体" w:hAnsi="宋体" w:cs="宋体"/>
          <w:color w:val="auto"/>
          <w:sz w:val="21"/>
          <w:szCs w:val="21"/>
        </w:rPr>
        <w:t>日   期：     年   月   日</w:t>
      </w:r>
    </w:p>
    <w:p>
      <w:pPr>
        <w:spacing w:after="120" w:afterLines="50" w:line="360" w:lineRule="auto"/>
        <w:rPr>
          <w:rFonts w:hint="eastAsia" w:ascii="宋体" w:hAnsi="宋体" w:cs="宋体"/>
          <w:b/>
          <w:color w:val="auto"/>
          <w:sz w:val="28"/>
          <w:szCs w:val="28"/>
        </w:rPr>
      </w:pPr>
    </w:p>
    <w:p>
      <w:pPr>
        <w:spacing w:after="120" w:afterLines="50" w:line="360" w:lineRule="auto"/>
        <w:rPr>
          <w:rFonts w:hint="eastAsia" w:ascii="宋体" w:hAnsi="宋体" w:cs="宋体"/>
          <w:b/>
          <w:color w:val="auto"/>
          <w:sz w:val="28"/>
          <w:szCs w:val="28"/>
        </w:rPr>
      </w:pPr>
    </w:p>
    <w:p>
      <w:pPr>
        <w:spacing w:line="360" w:lineRule="auto"/>
        <w:rPr>
          <w:rFonts w:hint="eastAsia" w:ascii="宋体" w:hAnsi="宋体" w:cs="宋体"/>
          <w:b/>
          <w:color w:val="auto"/>
          <w:sz w:val="24"/>
        </w:rPr>
      </w:pPr>
      <w:r>
        <w:rPr>
          <w:rFonts w:hint="eastAsia" w:ascii="宋体" w:hAnsi="宋体" w:cs="宋体"/>
          <w:b/>
          <w:color w:val="auto"/>
          <w:sz w:val="24"/>
        </w:rPr>
        <w:t>格式九  实施方案；</w:t>
      </w:r>
    </w:p>
    <w:p>
      <w:pPr>
        <w:spacing w:line="360" w:lineRule="auto"/>
        <w:rPr>
          <w:rFonts w:hint="eastAsia" w:ascii="宋体" w:hAnsi="宋体" w:cs="宋体"/>
          <w:b/>
          <w:color w:val="auto"/>
          <w:sz w:val="24"/>
        </w:rPr>
      </w:pPr>
      <w:r>
        <w:rPr>
          <w:rFonts w:hint="eastAsia" w:ascii="宋体" w:hAnsi="宋体" w:cs="宋体"/>
          <w:b/>
          <w:color w:val="auto"/>
          <w:sz w:val="24"/>
        </w:rPr>
        <w:t>格式十  售后服务方案；</w:t>
      </w:r>
    </w:p>
    <w:p>
      <w:pPr>
        <w:spacing w:line="360" w:lineRule="auto"/>
        <w:rPr>
          <w:rFonts w:hint="eastAsia"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hint="eastAsia"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hint="eastAsia" w:ascii="宋体" w:hAnsi="宋体" w:cs="宋体"/>
          <w:color w:val="auto"/>
        </w:rPr>
      </w:pPr>
    </w:p>
    <w:p>
      <w:pPr>
        <w:spacing w:line="360" w:lineRule="auto"/>
        <w:jc w:val="center"/>
        <w:rPr>
          <w:rFonts w:hint="eastAsia" w:ascii="宋体" w:hAnsi="宋体" w:cs="宋体"/>
          <w:b/>
          <w:bCs/>
          <w:color w:val="auto"/>
          <w:sz w:val="32"/>
          <w:szCs w:val="32"/>
        </w:rPr>
      </w:pPr>
      <w:r>
        <w:rPr>
          <w:rFonts w:hint="eastAsia" w:ascii="宋体" w:hAnsi="宋体" w:cs="宋体"/>
          <w:b/>
          <w:bCs/>
          <w:color w:val="auto"/>
          <w:sz w:val="32"/>
          <w:szCs w:val="32"/>
        </w:rPr>
        <w:t>格式十三 资格证明文件</w:t>
      </w:r>
    </w:p>
    <w:p>
      <w:pPr>
        <w:keepNext w:val="0"/>
        <w:keepLines w:val="0"/>
        <w:suppressLineNumbers w:val="0"/>
        <w:spacing w:before="0" w:beforeAutospacing="0" w:after="0" w:afterAutospacing="0" w:line="360" w:lineRule="auto"/>
        <w:ind w:left="0" w:right="0" w:firstLine="413" w:firstLineChars="197"/>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1.供应商必须符合《中华人民共和国政府采购法》第二十二条要求；</w:t>
      </w:r>
    </w:p>
    <w:p>
      <w:pPr>
        <w:keepNext w:val="0"/>
        <w:keepLines w:val="0"/>
        <w:suppressLineNumbers w:val="0"/>
        <w:spacing w:before="0" w:beforeAutospacing="0" w:after="0" w:afterAutospacing="0" w:line="360" w:lineRule="auto"/>
        <w:ind w:left="0" w:right="0" w:firstLine="413" w:firstLineChars="197"/>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2.供应商应是在中华人民共和国境内注册取得营业执照的独立法人或其他组织，具有相应经营范围；</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3.营业执照副本（复印件）；</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4.法人代表身份证（正、反面复印件）；</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5.法人授权函（原件）及被授权人身份证（正、反面复印件）；</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6.2018年度以来最新的经权威机构审计的完整的财务报告（复印件）（不满一年的新公司不提供该报告）；</w:t>
      </w:r>
    </w:p>
    <w:p>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7.提供本项目采购活动前三年内在经营活动中没有重大违法记录的书面声明(必须为公告发布之日至投标截止时间内出具的原件，原件装订于投标文件内)；</w:t>
      </w:r>
    </w:p>
    <w:p>
      <w:pPr>
        <w:keepNext w:val="0"/>
        <w:keepLines w:val="0"/>
        <w:numPr>
          <w:ilvl w:val="0"/>
          <w:numId w:val="0"/>
        </w:numPr>
        <w:suppressLineNumbers w:val="0"/>
        <w:spacing w:before="0" w:beforeAutospacing="0" w:after="0" w:afterAutospacing="0" w:line="360" w:lineRule="exact"/>
        <w:ind w:left="0" w:right="0" w:firstLine="420" w:firstLineChars="200"/>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9</w:t>
      </w:r>
      <w:r>
        <w:rPr>
          <w:rFonts w:hint="eastAsia" w:ascii="宋体" w:hAnsi="宋体" w:eastAsia="宋体" w:cs="宋体"/>
          <w:color w:val="auto"/>
          <w:kern w:val="2"/>
          <w:sz w:val="21"/>
          <w:szCs w:val="21"/>
          <w:lang w:val="en-US" w:eastAsia="zh-CN" w:bidi="ar-SA"/>
        </w:rPr>
        <w:t>、本项目不接受联合体投标。</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p>
    <w:p>
      <w:pPr>
        <w:spacing w:line="360" w:lineRule="auto"/>
        <w:jc w:val="center"/>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p>
    <w:p>
      <w:pPr>
        <w:pStyle w:val="9"/>
        <w:rPr>
          <w:rFonts w:hint="eastAsia" w:ascii="宋体" w:hAnsi="宋体" w:cs="宋体"/>
          <w:b/>
          <w:bCs/>
          <w:color w:val="auto"/>
          <w:sz w:val="24"/>
        </w:rPr>
      </w:pPr>
      <w:bookmarkStart w:id="39" w:name="_GoBack"/>
      <w:bookmarkEnd w:id="39"/>
    </w:p>
    <w:p>
      <w:pPr>
        <w:pStyle w:val="9"/>
        <w:rPr>
          <w:rFonts w:hint="eastAsia" w:ascii="宋体" w:hAnsi="宋体" w:cs="宋体"/>
          <w:b/>
          <w:bCs/>
          <w:color w:val="auto"/>
          <w:sz w:val="24"/>
        </w:rPr>
      </w:pPr>
    </w:p>
    <w:p>
      <w:pPr>
        <w:spacing w:line="360" w:lineRule="auto"/>
        <w:rPr>
          <w:rFonts w:ascii="宋体" w:hAnsi="宋体" w:cs="宋体"/>
          <w:b/>
          <w:bCs/>
          <w:color w:val="auto"/>
          <w:sz w:val="21"/>
          <w:szCs w:val="21"/>
        </w:rPr>
      </w:pPr>
      <w:r>
        <w:rPr>
          <w:rFonts w:ascii="宋体" w:hAnsi="宋体" w:cs="宋体"/>
          <w:b/>
          <w:bCs/>
          <w:color w:val="auto"/>
          <w:sz w:val="21"/>
          <w:szCs w:val="21"/>
        </w:rPr>
        <w:t xml:space="preserve"> </w:t>
      </w:r>
    </w:p>
    <w:p>
      <w:pPr>
        <w:spacing w:line="360" w:lineRule="auto"/>
        <w:rPr>
          <w:rFonts w:ascii="宋体" w:hAnsi="宋体" w:cs="宋体"/>
          <w:b/>
          <w:bCs/>
          <w:color w:val="auto"/>
          <w:sz w:val="21"/>
          <w:szCs w:val="21"/>
        </w:rPr>
      </w:pPr>
    </w:p>
    <w:p>
      <w:pPr>
        <w:spacing w:line="360" w:lineRule="auto"/>
        <w:rPr>
          <w:rFonts w:ascii="宋体" w:cs="宋体"/>
          <w:b/>
          <w:bCs/>
          <w:color w:val="auto"/>
          <w:sz w:val="21"/>
          <w:szCs w:val="21"/>
        </w:rPr>
      </w:pPr>
      <w:r>
        <w:rPr>
          <w:rFonts w:ascii="宋体" w:hAnsi="宋体" w:cs="宋体"/>
          <w:b/>
          <w:bCs/>
          <w:color w:val="auto"/>
          <w:sz w:val="21"/>
          <w:szCs w:val="21"/>
        </w:rPr>
        <w:t>3</w:t>
      </w:r>
      <w:r>
        <w:rPr>
          <w:rFonts w:hint="eastAsia" w:ascii="宋体" w:hAnsi="宋体" w:cs="宋体"/>
          <w:b/>
          <w:bCs/>
          <w:color w:val="auto"/>
          <w:sz w:val="21"/>
          <w:szCs w:val="21"/>
        </w:rPr>
        <w:t>年内在经营活动中没有重大违法记录的书面声明（格式）</w:t>
      </w:r>
    </w:p>
    <w:p>
      <w:pPr>
        <w:spacing w:line="360" w:lineRule="auto"/>
        <w:rPr>
          <w:rFonts w:ascii="宋体" w:cs="宋体"/>
          <w:color w:val="auto"/>
          <w:sz w:val="21"/>
          <w:szCs w:val="21"/>
        </w:rPr>
      </w:pPr>
    </w:p>
    <w:p>
      <w:pPr>
        <w:spacing w:line="360" w:lineRule="auto"/>
        <w:rPr>
          <w:rFonts w:ascii="宋体" w:cs="宋体"/>
          <w:color w:val="auto"/>
          <w:sz w:val="21"/>
          <w:szCs w:val="21"/>
        </w:rPr>
      </w:pPr>
    </w:p>
    <w:p>
      <w:pPr>
        <w:spacing w:line="360" w:lineRule="auto"/>
        <w:rPr>
          <w:rFonts w:ascii="宋体" w:cs="宋体"/>
          <w:color w:val="auto"/>
          <w:sz w:val="21"/>
          <w:szCs w:val="21"/>
        </w:rPr>
      </w:pPr>
      <w:r>
        <w:rPr>
          <w:rFonts w:hint="eastAsia" w:ascii="宋体" w:hAnsi="宋体" w:cs="宋体"/>
          <w:color w:val="auto"/>
          <w:sz w:val="21"/>
          <w:szCs w:val="21"/>
        </w:rPr>
        <w:t>致：</w:t>
      </w:r>
      <w:r>
        <w:rPr>
          <w:rFonts w:ascii="宋体" w:hAnsi="宋体" w:cs="宋体"/>
          <w:color w:val="auto"/>
          <w:sz w:val="21"/>
          <w:szCs w:val="21"/>
        </w:rPr>
        <w:t xml:space="preserve">                                             </w:t>
      </w:r>
    </w:p>
    <w:p>
      <w:pPr>
        <w:spacing w:line="360" w:lineRule="auto"/>
        <w:rPr>
          <w:rFonts w:ascii="宋体" w:cs="宋体"/>
          <w:color w:val="auto"/>
          <w:sz w:val="21"/>
          <w:szCs w:val="21"/>
        </w:rPr>
      </w:pPr>
    </w:p>
    <w:p>
      <w:pPr>
        <w:spacing w:line="360" w:lineRule="auto"/>
        <w:ind w:firstLine="420" w:firstLineChars="200"/>
        <w:rPr>
          <w:color w:val="auto"/>
        </w:rPr>
      </w:pPr>
      <w:r>
        <w:rPr>
          <w:rFonts w:hint="eastAsia" w:ascii="宋体" w:hAnsi="宋体" w:cs="宋体"/>
          <w:color w:val="auto"/>
          <w:sz w:val="21"/>
          <w:szCs w:val="21"/>
        </w:rPr>
        <w:t>我公司在参加本次政府采购活动前，做出以下郑重声明：</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一、参加本次政府采购活动前三年内，在经营活动中没有重大违法记录。</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color w:val="auto"/>
          <w:sz w:val="21"/>
          <w:szCs w:val="21"/>
        </w:rPr>
        <w:t> </w:t>
      </w:r>
    </w:p>
    <w:p>
      <w:pPr>
        <w:pStyle w:val="9"/>
        <w:ind w:firstLine="480"/>
        <w:rPr>
          <w:color w:val="auto"/>
        </w:rPr>
      </w:pP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特此声明。</w:t>
      </w:r>
    </w:p>
    <w:p>
      <w:pPr>
        <w:pStyle w:val="9"/>
        <w:ind w:firstLine="480"/>
        <w:rPr>
          <w:color w:val="auto"/>
        </w:rPr>
      </w:pPr>
    </w:p>
    <w:p>
      <w:pPr>
        <w:pStyle w:val="9"/>
        <w:ind w:firstLine="480"/>
        <w:rPr>
          <w:color w:val="auto"/>
        </w:rPr>
      </w:pPr>
    </w:p>
    <w:p>
      <w:pPr>
        <w:pStyle w:val="9"/>
        <w:ind w:firstLine="480"/>
        <w:rPr>
          <w:color w:val="auto"/>
        </w:rPr>
      </w:pPr>
    </w:p>
    <w:p>
      <w:pPr>
        <w:pStyle w:val="9"/>
        <w:ind w:firstLine="480"/>
        <w:rPr>
          <w:color w:val="auto"/>
        </w:rPr>
      </w:pPr>
    </w:p>
    <w:p>
      <w:pPr>
        <w:pStyle w:val="9"/>
        <w:ind w:firstLine="480"/>
        <w:rPr>
          <w:color w:val="auto"/>
        </w:rPr>
      </w:pPr>
    </w:p>
    <w:p>
      <w:pPr>
        <w:pStyle w:val="9"/>
        <w:ind w:firstLine="480"/>
        <w:rPr>
          <w:color w:val="auto"/>
        </w:rPr>
      </w:pPr>
    </w:p>
    <w:p>
      <w:pPr>
        <w:pStyle w:val="9"/>
        <w:ind w:firstLine="480"/>
        <w:rPr>
          <w:color w:val="auto"/>
        </w:rPr>
      </w:pPr>
    </w:p>
    <w:p>
      <w:pPr>
        <w:pStyle w:val="9"/>
        <w:ind w:firstLine="480"/>
        <w:rPr>
          <w:color w:val="auto"/>
        </w:rPr>
      </w:pPr>
    </w:p>
    <w:p>
      <w:pPr>
        <w:wordWrap w:val="0"/>
        <w:spacing w:line="360" w:lineRule="auto"/>
        <w:jc w:val="right"/>
        <w:rPr>
          <w:rFonts w:ascii="宋体" w:cs="宋体"/>
          <w:color w:val="auto"/>
          <w:sz w:val="21"/>
          <w:szCs w:val="21"/>
        </w:rPr>
      </w:pPr>
      <w:r>
        <w:rPr>
          <w:rFonts w:hint="eastAsia" w:ascii="宋体" w:hAnsi="宋体" w:cs="宋体"/>
          <w:color w:val="auto"/>
          <w:sz w:val="21"/>
          <w:szCs w:val="21"/>
        </w:rPr>
        <w:t>投标人（公章）：</w:t>
      </w:r>
      <w:r>
        <w:rPr>
          <w:rFonts w:ascii="宋体" w:hAnsi="宋体" w:cs="宋体"/>
          <w:color w:val="auto"/>
          <w:sz w:val="21"/>
          <w:szCs w:val="21"/>
        </w:rPr>
        <w:t xml:space="preserve">                   </w:t>
      </w:r>
    </w:p>
    <w:p>
      <w:pPr>
        <w:pStyle w:val="9"/>
        <w:jc w:val="right"/>
        <w:rPr>
          <w:rFonts w:ascii="宋体" w:cs="宋体"/>
          <w:color w:val="auto"/>
          <w:sz w:val="21"/>
          <w:szCs w:val="21"/>
        </w:rPr>
      </w:pPr>
    </w:p>
    <w:p>
      <w:pPr>
        <w:pStyle w:val="9"/>
        <w:jc w:val="right"/>
        <w:rPr>
          <w:rFonts w:ascii="宋体" w:cs="宋体"/>
          <w:color w:val="auto"/>
          <w:sz w:val="21"/>
          <w:szCs w:val="21"/>
        </w:rPr>
      </w:pPr>
    </w:p>
    <w:p>
      <w:pPr>
        <w:wordWrap w:val="0"/>
        <w:spacing w:line="360" w:lineRule="auto"/>
        <w:jc w:val="right"/>
        <w:rPr>
          <w:rFonts w:ascii="宋体" w:cs="宋体"/>
          <w:color w:val="auto"/>
          <w:sz w:val="21"/>
          <w:szCs w:val="21"/>
        </w:rPr>
      </w:pPr>
      <w:r>
        <w:rPr>
          <w:rFonts w:hint="eastAsia" w:ascii="宋体" w:hAnsi="宋体" w:cs="宋体"/>
          <w:color w:val="auto"/>
          <w:sz w:val="21"/>
          <w:szCs w:val="21"/>
        </w:rPr>
        <w:t>法定代表人或法人授权代表（签字）：</w:t>
      </w:r>
      <w:r>
        <w:rPr>
          <w:rFonts w:ascii="宋体" w:hAnsi="宋体" w:cs="宋体"/>
          <w:color w:val="auto"/>
          <w:sz w:val="21"/>
          <w:szCs w:val="21"/>
        </w:rPr>
        <w:t xml:space="preserve">                   </w:t>
      </w:r>
    </w:p>
    <w:p>
      <w:pPr>
        <w:spacing w:line="360" w:lineRule="auto"/>
        <w:jc w:val="center"/>
        <w:rPr>
          <w:rFonts w:ascii="宋体" w:hAnsi="宋体" w:cs="宋体"/>
          <w:color w:val="auto"/>
          <w:sz w:val="21"/>
          <w:szCs w:val="21"/>
        </w:rPr>
      </w:pPr>
      <w:r>
        <w:rPr>
          <w:rFonts w:ascii="宋体" w:hAnsi="宋体" w:cs="宋体"/>
          <w:color w:val="auto"/>
          <w:sz w:val="21"/>
          <w:szCs w:val="21"/>
        </w:rPr>
        <w:t xml:space="preserve">         </w:t>
      </w:r>
      <w:r>
        <w:rPr>
          <w:rFonts w:hint="eastAsia" w:ascii="宋体" w:hAnsi="宋体" w:cs="宋体"/>
          <w:color w:val="auto"/>
          <w:sz w:val="21"/>
          <w:szCs w:val="21"/>
        </w:rPr>
        <w:t>日期：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ascii="宋体" w:hAnsi="宋体" w:cs="宋体"/>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jc w:val="center"/>
        <w:rPr>
          <w:rFonts w:ascii="宋体" w:hAnsi="宋体" w:cs="宋体"/>
          <w:color w:val="auto"/>
          <w:sz w:val="21"/>
          <w:szCs w:val="21"/>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序号</w:t>
            </w:r>
          </w:p>
        </w:tc>
        <w:tc>
          <w:tcPr>
            <w:tcW w:w="1753"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项目名称</w:t>
            </w:r>
          </w:p>
        </w:tc>
        <w:tc>
          <w:tcPr>
            <w:tcW w:w="2141"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项目地址及电话</w:t>
            </w:r>
          </w:p>
        </w:tc>
        <w:tc>
          <w:tcPr>
            <w:tcW w:w="1558"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合同内容</w:t>
            </w:r>
          </w:p>
        </w:tc>
        <w:tc>
          <w:tcPr>
            <w:tcW w:w="1556"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合同总价</w:t>
            </w:r>
          </w:p>
        </w:tc>
        <w:tc>
          <w:tcPr>
            <w:tcW w:w="1315"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color w:val="auto"/>
              </w:rPr>
            </w:pPr>
          </w:p>
        </w:tc>
      </w:tr>
    </w:tbl>
    <w:p>
      <w:pPr>
        <w:pStyle w:val="9"/>
        <w:ind w:left="0" w:leftChars="0" w:firstLine="0" w:firstLineChars="0"/>
        <w:rPr>
          <w:rFonts w:hint="eastAsia" w:ascii="宋体" w:hAnsi="宋体" w:cs="宋体"/>
          <w:color w:val="auto"/>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80F3C52" w:usb2="00000016" w:usb3="00000000" w:csb0="0004001F" w:csb1="00000000"/>
  </w:font>
  <w:font w:name="MS Gothic">
    <w:altName w:val="Meiryo UI"/>
    <w:panose1 w:val="020B0609070205080204"/>
    <w:charset w:val="80"/>
    <w:family w:val="modern"/>
    <w:pitch w:val="default"/>
    <w:sig w:usb0="00000000" w:usb1="00000000" w:usb2="00000012" w:usb3="00000000" w:csb0="0002009F" w:csb1="00000000"/>
  </w:font>
  <w:font w:name="Meiryo UI">
    <w:panose1 w:val="020B0604030504040204"/>
    <w:charset w:val="80"/>
    <w:family w:val="auto"/>
    <w:pitch w:val="default"/>
    <w:sig w:usb0="E10102FF" w:usb1="EAC7FFFF" w:usb2="00010012" w:usb3="00000000" w:csb0="6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1&#10;HF9k0wAAAAUBAAAPAAAAAAAAAAEAIAAAACIAAABkcnMvZG93bnJldi54bWxQSwECFAAUAAAACACH&#10;TuJAGg7jILcBAABMAwAADgAAAAAAAAABACAAAAAiAQAAZHJzL2Uyb0RvYy54bWxQSwUGAAAAAAYA&#10;BgBZAQAASw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Bk4+aY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DEyyNe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MOO0G&#10;0gAAAAUBAAAPAAAAAAAAAAEAIAAAACIAAABkcnMvZG93bnJldi54bWxQSwECFAAUAAAACACHTuJA&#10;0vj2ubUBAABMAwAADgAAAAAAAAABACAAAAAhAQAAZHJzL2Uyb0RvYy54bWxQSwUGAAAAAAYABgBZ&#10;AQAASA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DjtBtIA&#10;AAAFAQAADwAAAAAAAAABACAAAAAiAAAAZHJzL2Rvd25yZXYueG1sUEsBAhQAFAAAAAgAh07iQJpY&#10;pRuzAQAATAMAAA4AAAAAAAAAAQAgAAAAIQEAAGRycy9lMm9Eb2MueG1sUEsFBgAAAAAGAAYAWQEA&#10;AEYFA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3360;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foTMA1gAAAAQBAAAPAAAA&#10;AAAAAAEAIAAAACIAAABkcnMvZG93bnJldi54bWxQSwECFAAUAAAACACHTuJA+0+ZZKUBAAAqAwAA&#10;DgAAAAAAAAABACAAAAAlAQAAZHJzL2Uyb0RvYy54bWxQSwUGAAAAAAYABgBZAQAAPAU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3FEA4886"/>
    <w:multiLevelType w:val="multilevel"/>
    <w:tmpl w:val="3FEA4886"/>
    <w:lvl w:ilvl="0" w:tentative="0">
      <w:start w:val="1"/>
      <w:numFmt w:val="decimalEnclosedCircle"/>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5"/>
  </w:num>
  <w:num w:numId="3">
    <w:abstractNumId w:val="1"/>
  </w:num>
  <w:num w:numId="4">
    <w:abstractNumId w:val="0"/>
  </w:num>
  <w:num w:numId="5">
    <w:abstractNumId w:val="6"/>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C94C72"/>
    <w:rsid w:val="3B101E80"/>
    <w:rsid w:val="3D046A2B"/>
    <w:rsid w:val="3E597CEE"/>
    <w:rsid w:val="408A5E09"/>
    <w:rsid w:val="41B8526F"/>
    <w:rsid w:val="42F8291A"/>
    <w:rsid w:val="43D1198F"/>
    <w:rsid w:val="448E4E44"/>
    <w:rsid w:val="45565D69"/>
    <w:rsid w:val="47F44944"/>
    <w:rsid w:val="48A721B3"/>
    <w:rsid w:val="4A112E6B"/>
    <w:rsid w:val="4A3D5F21"/>
    <w:rsid w:val="4A490744"/>
    <w:rsid w:val="4AE32A1C"/>
    <w:rsid w:val="4B360091"/>
    <w:rsid w:val="4B820D49"/>
    <w:rsid w:val="4CA86D16"/>
    <w:rsid w:val="4EE566F3"/>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beforeLines="0" w:after="290" w:afterLines="0" w:line="376" w:lineRule="auto"/>
      <w:outlineLvl w:val="4"/>
    </w:pPr>
    <w:rPr>
      <w:b/>
      <w:sz w:val="28"/>
      <w:szCs w:val="20"/>
    </w:rPr>
  </w:style>
  <w:style w:type="paragraph" w:styleId="8">
    <w:name w:val="heading 6"/>
    <w:basedOn w:val="1"/>
    <w:next w:val="9"/>
    <w:qFormat/>
    <w:uiPriority w:val="0"/>
    <w:pPr>
      <w:keepNext/>
      <w:keepLines/>
      <w:spacing w:before="240" w:beforeLines="0" w:after="64" w:afterLines="0"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beforeLines="0" w:after="64" w:afterLines="0" w:line="320" w:lineRule="auto"/>
      <w:outlineLvl w:val="6"/>
    </w:pPr>
    <w:rPr>
      <w:b/>
      <w:sz w:val="24"/>
      <w:szCs w:val="20"/>
    </w:rPr>
  </w:style>
  <w:style w:type="paragraph" w:styleId="11">
    <w:name w:val="heading 8"/>
    <w:basedOn w:val="1"/>
    <w:next w:val="9"/>
    <w:qFormat/>
    <w:uiPriority w:val="0"/>
    <w:pPr>
      <w:keepNext/>
      <w:keepLines/>
      <w:spacing w:before="240" w:beforeLines="0" w:after="64" w:afterLines="0"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beforeLines="0" w:after="64" w:afterLines="0" w:line="320" w:lineRule="auto"/>
      <w:outlineLvl w:val="8"/>
    </w:pPr>
    <w:rPr>
      <w:rFonts w:ascii="Arial" w:hAnsi="Arial" w:eastAsia="黑体"/>
      <w:szCs w:val="20"/>
    </w:rPr>
  </w:style>
  <w:style w:type="character" w:default="1" w:styleId="39">
    <w:name w:val="Default Paragraph Font"/>
    <w:qFormat/>
    <w:uiPriority w:val="0"/>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spacing w:line="480" w:lineRule="auto"/>
    </w:pPr>
    <w:rPr>
      <w:color w:val="000000"/>
      <w:sz w:val="24"/>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9"/>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2"/>
    <w:qFormat/>
    <w:uiPriority w:val="0"/>
    <w:rPr>
      <w:sz w:val="24"/>
      <w:szCs w:val="20"/>
    </w:rPr>
  </w:style>
  <w:style w:type="paragraph" w:styleId="22">
    <w:name w:val="Body Text Indent 2"/>
    <w:basedOn w:val="1"/>
    <w:link w:val="101"/>
    <w:qFormat/>
    <w:uiPriority w:val="0"/>
    <w:pPr>
      <w:spacing w:before="240" w:beforeLines="0" w:line="560" w:lineRule="exact"/>
      <w:ind w:firstLine="480" w:firstLineChars="200"/>
    </w:pPr>
    <w:rPr>
      <w:sz w:val="24"/>
      <w:szCs w:val="32"/>
    </w:rPr>
  </w:style>
  <w:style w:type="paragraph" w:styleId="23">
    <w:name w:val="Balloon Text"/>
    <w:basedOn w:val="1"/>
    <w:link w:val="104"/>
    <w:qFormat/>
    <w:uiPriority w:val="0"/>
    <w:rPr>
      <w:sz w:val="18"/>
      <w:szCs w:val="18"/>
    </w:rPr>
  </w:style>
  <w:style w:type="paragraph" w:styleId="24">
    <w:name w:val="footer"/>
    <w:basedOn w:val="1"/>
    <w:link w:val="78"/>
    <w:qFormat/>
    <w:uiPriority w:val="0"/>
    <w:pPr>
      <w:tabs>
        <w:tab w:val="center" w:pos="4153"/>
        <w:tab w:val="right" w:pos="8306"/>
      </w:tabs>
      <w:snapToGrid w:val="0"/>
      <w:jc w:val="left"/>
    </w:pPr>
    <w:rPr>
      <w:sz w:val="18"/>
      <w:szCs w:val="18"/>
    </w:rPr>
  </w:style>
  <w:style w:type="paragraph" w:styleId="25">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5"/>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2"/>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lang w:val="en-US" w:eastAsia="zh-CN"/>
    </w:rPr>
  </w:style>
  <w:style w:type="paragraph" w:customStyle="1" w:styleId="50">
    <w:name w:val="样式 正文缩进 + 首行缩进:  2 字符"/>
    <w:basedOn w:val="9"/>
    <w:link w:val="96"/>
    <w:qFormat/>
    <w:uiPriority w:val="0"/>
    <w:pPr>
      <w:spacing w:line="360" w:lineRule="auto"/>
      <w:ind w:firstLine="200"/>
    </w:pPr>
    <w:rPr>
      <w:rFonts w:cs="宋体"/>
      <w:sz w:val="24"/>
      <w:szCs w:val="20"/>
      <w:lang w:val="en-US" w:eastAsia="zh-CN"/>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 Char2"/>
    <w:basedOn w:val="1"/>
    <w:qFormat/>
    <w:uiPriority w:val="0"/>
    <w:pPr>
      <w:tabs>
        <w:tab w:val="left" w:pos="425"/>
      </w:tabs>
      <w:ind w:left="425" w:hanging="425"/>
    </w:pPr>
  </w:style>
  <w:style w:type="paragraph" w:customStyle="1" w:styleId="5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eastAsia="宋体" w:cs="Times New Roman"/>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ascii="Times New Roman" w:hAnsi="Times New Roman"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1">
    <w:name w:val="Balloon Text"/>
    <w:basedOn w:val="1"/>
    <w:link w:val="89"/>
    <w:qFormat/>
    <w:uiPriority w:val="0"/>
    <w:rPr>
      <w:kern w:val="0"/>
      <w:sz w:val="18"/>
      <w:szCs w:val="20"/>
    </w:rPr>
  </w:style>
  <w:style w:type="paragraph" w:customStyle="1" w:styleId="62">
    <w:name w:val="Normal"/>
    <w:basedOn w:val="1"/>
    <w:qFormat/>
    <w:uiPriority w:val="0"/>
    <w:pPr>
      <w:spacing w:line="312" w:lineRule="exact"/>
      <w:jc w:val="both"/>
    </w:pPr>
    <w:rPr>
      <w:rFonts w:ascii="Times New Roman"/>
      <w:sz w:val="21"/>
    </w:rPr>
  </w:style>
  <w:style w:type="paragraph" w:customStyle="1" w:styleId="63">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8">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9">
    <w:name w:val="Normal (Web)"/>
    <w:basedOn w:val="1"/>
    <w:qFormat/>
    <w:uiPriority w:val="0"/>
    <w:pPr>
      <w:widowControl/>
      <w:spacing w:before="100" w:beforeLines="0" w:after="100" w:afterLines="0"/>
      <w:jc w:val="left"/>
    </w:pPr>
    <w:rPr>
      <w:rFonts w:ascii="宋体" w:hAnsi="宋体"/>
      <w:sz w:val="24"/>
      <w:szCs w:val="20"/>
    </w:rPr>
  </w:style>
  <w:style w:type="paragraph" w:customStyle="1" w:styleId="70">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jc w:val="both"/>
    </w:pPr>
    <w:rPr>
      <w:rFonts w:ascii="宋体"/>
      <w:kern w:val="0"/>
    </w:rPr>
  </w:style>
  <w:style w:type="paragraph" w:customStyle="1" w:styleId="73">
    <w:name w:val="标书正文"/>
    <w:basedOn w:val="1"/>
    <w:qFormat/>
    <w:uiPriority w:val="0"/>
    <w:pPr>
      <w:snapToGrid w:val="0"/>
      <w:spacing w:line="360" w:lineRule="auto"/>
      <w:ind w:firstLine="200" w:firstLineChars="200"/>
    </w:pPr>
    <w:rPr>
      <w:kern w:val="2"/>
      <w:sz w:val="24"/>
    </w:rPr>
  </w:style>
  <w:style w:type="paragraph" w:customStyle="1" w:styleId="74">
    <w:name w:val="表格"/>
    <w:basedOn w:val="1"/>
    <w:qFormat/>
    <w:uiPriority w:val="0"/>
    <w:pPr>
      <w:adjustRightInd w:val="0"/>
      <w:snapToGrid w:val="0"/>
      <w:jc w:val="center"/>
    </w:pPr>
    <w:rPr>
      <w:bCs/>
      <w:u w:val="none"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Char"/>
    <w:link w:val="16"/>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Char"/>
    <w:link w:val="24"/>
    <w:qFormat/>
    <w:uiPriority w:val="0"/>
    <w:rPr>
      <w:rFonts w:eastAsia="宋体"/>
      <w:kern w:val="2"/>
      <w:sz w:val="18"/>
      <w:szCs w:val="18"/>
      <w:lang w:val="en-US" w:eastAsia="zh-CN" w:bidi="ar-SA"/>
    </w:rPr>
  </w:style>
  <w:style w:type="character" w:customStyle="1" w:styleId="79">
    <w:name w:val="标题 4 Char"/>
    <w:link w:val="6"/>
    <w:qFormat/>
    <w:uiPriority w:val="0"/>
    <w:rPr>
      <w:rFonts w:ascii="Arial" w:hAnsi="Arial" w:eastAsia="黑体"/>
      <w:b/>
      <w:kern w:val="2"/>
      <w:sz w:val="28"/>
      <w:lang w:val="en-US" w:eastAsia="zh-CN" w:bidi="ar-SA"/>
    </w:rPr>
  </w:style>
  <w:style w:type="character" w:customStyle="1" w:styleId="80">
    <w:name w:val="批注主题 Char"/>
    <w:link w:val="34"/>
    <w:qFormat/>
    <w:uiPriority w:val="0"/>
    <w:rPr>
      <w:b/>
      <w:bCs/>
      <w:kern w:val="2"/>
      <w:sz w:val="21"/>
      <w:szCs w:val="24"/>
    </w:rPr>
  </w:style>
  <w:style w:type="character" w:customStyle="1" w:styleId="81">
    <w:name w:val="标题 3 Char"/>
    <w:link w:val="5"/>
    <w:qFormat/>
    <w:uiPriority w:val="0"/>
    <w:rPr>
      <w:rFonts w:eastAsia="宋体"/>
      <w:b/>
      <w:sz w:val="21"/>
      <w:lang w:val="en-US" w:eastAsia="zh-CN" w:bidi="ar-SA"/>
    </w:rPr>
  </w:style>
  <w:style w:type="character" w:customStyle="1" w:styleId="82">
    <w:name w:val="日期 Char"/>
    <w:link w:val="21"/>
    <w:qFormat/>
    <w:uiPriority w:val="0"/>
    <w:rPr>
      <w:rFonts w:eastAsia="宋体"/>
      <w:kern w:val="2"/>
      <w:sz w:val="24"/>
      <w:lang w:val="en-US" w:eastAsia="zh-CN" w:bidi="ar-SA"/>
    </w:rPr>
  </w:style>
  <w:style w:type="character" w:customStyle="1" w:styleId="83">
    <w:name w:val="标题 5 Char"/>
    <w:link w:val="7"/>
    <w:qFormat/>
    <w:locked/>
    <w:uiPriority w:val="0"/>
    <w:rPr>
      <w:b/>
      <w:kern w:val="2"/>
      <w:sz w:val="28"/>
    </w:rPr>
  </w:style>
  <w:style w:type="character" w:customStyle="1" w:styleId="84">
    <w:name w:val="批注文字 Char"/>
    <w:link w:val="15"/>
    <w:qFormat/>
    <w:uiPriority w:val="0"/>
    <w:rPr>
      <w:kern w:val="2"/>
      <w:sz w:val="21"/>
      <w:szCs w:val="24"/>
    </w:rPr>
  </w:style>
  <w:style w:type="character" w:customStyle="1" w:styleId="85">
    <w:name w:val="标题 2 Char"/>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Char"/>
    <w:link w:val="32"/>
    <w:qFormat/>
    <w:uiPriority w:val="0"/>
    <w:rPr>
      <w:rFonts w:eastAsia="宋体"/>
      <w:kern w:val="2"/>
      <w:sz w:val="21"/>
      <w:szCs w:val="24"/>
      <w:lang w:val="en-US" w:eastAsia="zh-CN" w:bidi="ar-SA"/>
    </w:rPr>
  </w:style>
  <w:style w:type="character" w:customStyle="1" w:styleId="88">
    <w:name w:val="文档结构图 Char"/>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Char"/>
    <w:link w:val="3"/>
    <w:qFormat/>
    <w:uiPriority w:val="0"/>
    <w:rPr>
      <w:rFonts w:eastAsia="宋体"/>
      <w:b/>
      <w:bCs/>
      <w:kern w:val="44"/>
      <w:sz w:val="44"/>
      <w:szCs w:val="44"/>
      <w:lang w:val="en-US" w:eastAsia="zh-CN" w:bidi="ar-SA"/>
    </w:rPr>
  </w:style>
  <w:style w:type="character" w:customStyle="1" w:styleId="91">
    <w:name w:val="正文缩进 Char"/>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Char"/>
    <w:link w:val="29"/>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Char"/>
    <w:link w:val="19"/>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Char"/>
    <w:link w:val="22"/>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Char"/>
    <w:link w:val="25"/>
    <w:qFormat/>
    <w:uiPriority w:val="99"/>
    <w:rPr>
      <w:kern w:val="2"/>
      <w:sz w:val="18"/>
      <w:szCs w:val="18"/>
    </w:rPr>
  </w:style>
  <w:style w:type="character" w:customStyle="1" w:styleId="104">
    <w:name w:val="批注框文本 Char"/>
    <w:link w:val="23"/>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0</TotalTime>
  <ScaleCrop>false</ScaleCrop>
  <LinksUpToDate>false</LinksUpToDate>
  <CharactersWithSpaces>22667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Administrator</cp:lastModifiedBy>
  <cp:lastPrinted>2019-07-19T04:31:00Z</cp:lastPrinted>
  <dcterms:modified xsi:type="dcterms:W3CDTF">2020-07-23T07:55:01Z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