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sz w:val="24"/>
        </w:rPr>
      </w:pPr>
      <w:r>
        <w:rPr>
          <w:rFonts w:hint="eastAsia"/>
          <w:sz w:val="28"/>
          <w:szCs w:val="28"/>
        </w:rPr>
        <w:t>项目名称：</w:t>
      </w:r>
      <w:r>
        <w:rPr>
          <w:rFonts w:hint="eastAsia"/>
          <w:sz w:val="24"/>
        </w:rPr>
        <w:t>兰州职业技术学院</w:t>
      </w:r>
      <w:r>
        <w:rPr>
          <w:rFonts w:hint="eastAsia"/>
          <w:sz w:val="24"/>
          <w:lang w:val="en-US" w:eastAsia="zh-CN"/>
        </w:rPr>
        <w:t>非物质文化遗产学院教学耗材</w:t>
      </w:r>
      <w:r>
        <w:rPr>
          <w:rFonts w:hint="eastAsia"/>
          <w:sz w:val="24"/>
        </w:rPr>
        <w:t>项目</w:t>
      </w:r>
    </w:p>
    <w:p>
      <w:pPr>
        <w:ind w:firstLine="560" w:firstLineChars="200"/>
        <w:jc w:val="left"/>
        <w:rPr>
          <w:rFonts w:hint="default" w:eastAsia="宋体"/>
          <w:sz w:val="28"/>
          <w:szCs w:val="28"/>
          <w:lang w:val="en-US" w:eastAsia="zh-CN"/>
        </w:rPr>
      </w:pPr>
      <w:r>
        <w:rPr>
          <w:rFonts w:hint="eastAsia"/>
          <w:sz w:val="28"/>
          <w:szCs w:val="28"/>
        </w:rPr>
        <w:t>项目编号：LZXJ</w:t>
      </w:r>
      <w:r>
        <w:rPr>
          <w:sz w:val="28"/>
          <w:szCs w:val="28"/>
        </w:rPr>
        <w:t>—</w:t>
      </w:r>
      <w:r>
        <w:rPr>
          <w:rFonts w:hint="eastAsia"/>
          <w:sz w:val="28"/>
          <w:szCs w:val="28"/>
        </w:rPr>
        <w:t>2021</w:t>
      </w:r>
      <w:r>
        <w:rPr>
          <w:rFonts w:hint="eastAsia"/>
          <w:sz w:val="28"/>
          <w:szCs w:val="28"/>
          <w:lang w:val="en-US" w:eastAsia="zh-CN"/>
        </w:rPr>
        <w:t>036</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采购时间：2021年</w:t>
      </w:r>
      <w:r>
        <w:rPr>
          <w:rFonts w:hint="eastAsia"/>
          <w:sz w:val="28"/>
          <w:szCs w:val="28"/>
          <w:lang w:val="en-US" w:eastAsia="zh-CN"/>
        </w:rPr>
        <w:t>11</w:t>
      </w:r>
      <w:r>
        <w:rPr>
          <w:rFonts w:hint="eastAsia"/>
          <w:sz w:val="28"/>
          <w:szCs w:val="28"/>
        </w:rPr>
        <w:t>月</w:t>
      </w:r>
      <w:r>
        <w:rPr>
          <w:rFonts w:hint="eastAsia"/>
          <w:sz w:val="28"/>
          <w:szCs w:val="28"/>
          <w:lang w:val="en-US" w:eastAsia="zh-CN"/>
        </w:rPr>
        <w:t>22</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 xml:space="preserve">2021年 </w:t>
      </w:r>
      <w:r>
        <w:rPr>
          <w:rFonts w:hint="eastAsia" w:ascii="宋体" w:hAnsi="宋体"/>
          <w:sz w:val="28"/>
          <w:szCs w:val="28"/>
          <w:lang w:val="en-US" w:eastAsia="zh-CN"/>
        </w:rPr>
        <w:t>11</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ind w:firstLine="480" w:firstLineChars="200"/>
        <w:jc w:val="left"/>
        <w:rPr>
          <w:rFonts w:ascii="宋体" w:hAnsi="宋体"/>
          <w:sz w:val="24"/>
        </w:rPr>
      </w:pPr>
      <w:r>
        <w:rPr>
          <w:rFonts w:hint="eastAsia" w:ascii="宋体" w:hAnsi="宋体" w:cs="宋体"/>
          <w:sz w:val="24"/>
        </w:rPr>
        <w:t>根据</w:t>
      </w:r>
      <w:r>
        <w:rPr>
          <w:rFonts w:hint="eastAsia"/>
          <w:sz w:val="24"/>
        </w:rPr>
        <w:t>兰州职业技术学院</w:t>
      </w:r>
      <w:r>
        <w:rPr>
          <w:rFonts w:hint="eastAsia"/>
          <w:sz w:val="24"/>
          <w:lang w:val="en-US" w:eastAsia="zh-CN"/>
        </w:rPr>
        <w:t>教学耗材</w:t>
      </w:r>
      <w:r>
        <w:rPr>
          <w:rFonts w:hint="eastAsia" w:ascii="宋体" w:hAnsi="宋体"/>
          <w:sz w:val="24"/>
        </w:rPr>
        <w:t>需要，现拟对</w:t>
      </w:r>
      <w:r>
        <w:rPr>
          <w:rFonts w:hint="eastAsia"/>
          <w:sz w:val="24"/>
        </w:rPr>
        <w:t>兰州职业技术学院</w:t>
      </w:r>
      <w:r>
        <w:rPr>
          <w:rFonts w:hint="eastAsia"/>
          <w:sz w:val="24"/>
          <w:lang w:val="en-US" w:eastAsia="zh-CN"/>
        </w:rPr>
        <w:t>非物质文化遗产学院教学耗材</w:t>
      </w:r>
      <w:r>
        <w:rPr>
          <w:rFonts w:hint="eastAsia"/>
          <w:sz w:val="24"/>
        </w:rPr>
        <w:t>项目</w:t>
      </w:r>
      <w:r>
        <w:rPr>
          <w:rFonts w:hint="eastAsia" w:ascii="宋体" w:hAnsi="宋体"/>
          <w:sz w:val="24"/>
        </w:rPr>
        <w:t>进行询价采购。欢迎满足资格要求的供应商前来参加，具体事宜公告如下：</w:t>
      </w:r>
    </w:p>
    <w:p>
      <w:pPr>
        <w:spacing w:line="360" w:lineRule="auto"/>
        <w:rPr>
          <w:rFonts w:hint="default" w:ascii="宋体" w:hAnsi="宋体"/>
          <w:sz w:val="24"/>
          <w:lang w:val="en-US"/>
        </w:rPr>
      </w:pPr>
      <w:r>
        <w:rPr>
          <w:rFonts w:hint="eastAsia" w:ascii="宋体" w:hAnsi="宋体"/>
          <w:sz w:val="24"/>
        </w:rPr>
        <w:t>一、采购项目编号：LZXJ</w:t>
      </w:r>
      <w:r>
        <w:rPr>
          <w:rFonts w:ascii="宋体" w:hAnsi="宋体"/>
          <w:sz w:val="24"/>
        </w:rPr>
        <w:t>—</w:t>
      </w:r>
      <w:r>
        <w:rPr>
          <w:rFonts w:hint="eastAsia" w:ascii="宋体" w:hAnsi="宋体"/>
          <w:sz w:val="24"/>
        </w:rPr>
        <w:t>2021</w:t>
      </w:r>
      <w:r>
        <w:rPr>
          <w:rFonts w:hint="eastAsia" w:ascii="宋体" w:hAnsi="宋体"/>
          <w:sz w:val="24"/>
          <w:lang w:val="en-US" w:eastAsia="zh-CN"/>
        </w:rPr>
        <w:t>036</w:t>
      </w:r>
    </w:p>
    <w:p>
      <w:pPr>
        <w:jc w:val="left"/>
        <w:rPr>
          <w:sz w:val="24"/>
        </w:rPr>
      </w:pPr>
      <w:r>
        <w:rPr>
          <w:rFonts w:hint="eastAsia" w:ascii="宋体" w:hAnsi="宋体"/>
          <w:sz w:val="24"/>
        </w:rPr>
        <w:t>二、采购项目名称：</w:t>
      </w:r>
      <w:r>
        <w:rPr>
          <w:rFonts w:hint="eastAsia"/>
          <w:sz w:val="24"/>
        </w:rPr>
        <w:t>兰州职业技术学院</w:t>
      </w:r>
      <w:r>
        <w:rPr>
          <w:rFonts w:hint="eastAsia"/>
          <w:sz w:val="24"/>
          <w:lang w:val="en-US" w:eastAsia="zh-CN"/>
        </w:rPr>
        <w:t>非物质文化遗产学院教学耗材</w:t>
      </w:r>
      <w:r>
        <w:rPr>
          <w:rFonts w:hint="eastAsia"/>
          <w:sz w:val="24"/>
        </w:rPr>
        <w:t>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ind w:firstLine="480" w:firstLineChars="200"/>
        <w:jc w:val="left"/>
        <w:rPr>
          <w:sz w:val="24"/>
        </w:rPr>
      </w:pP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 xml:space="preserve"> </w:t>
      </w:r>
      <w:r>
        <w:rPr>
          <w:rFonts w:hint="eastAsia"/>
          <w:sz w:val="24"/>
        </w:rPr>
        <w:t>兰州职业技术学院</w:t>
      </w:r>
      <w:r>
        <w:rPr>
          <w:rFonts w:hint="eastAsia"/>
          <w:sz w:val="24"/>
          <w:lang w:val="en-US" w:eastAsia="zh-CN"/>
        </w:rPr>
        <w:t>现代服务</w:t>
      </w:r>
      <w:r>
        <w:rPr>
          <w:rFonts w:hint="eastAsia"/>
          <w:sz w:val="24"/>
        </w:rPr>
        <w:t>系</w:t>
      </w:r>
      <w:r>
        <w:rPr>
          <w:rFonts w:hint="eastAsia"/>
          <w:sz w:val="24"/>
          <w:lang w:val="en-US" w:eastAsia="zh-CN"/>
        </w:rPr>
        <w:t>竞赛耗材</w:t>
      </w:r>
    </w:p>
    <w:p>
      <w:pPr>
        <w:ind w:firstLine="960" w:firstLineChars="400"/>
        <w:jc w:val="left"/>
        <w:rPr>
          <w:rFonts w:hint="eastAsia"/>
          <w:sz w:val="24"/>
          <w:lang w:val="en-US" w:eastAsia="zh-CN"/>
        </w:rPr>
      </w:pPr>
      <w:r>
        <w:rPr>
          <w:rFonts w:hint="eastAsia"/>
          <w:sz w:val="24"/>
          <w:lang w:val="en-US" w:eastAsia="zh-CN"/>
        </w:rPr>
        <w:t>总预算金额：65061元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w:t>
      </w:r>
      <w:r>
        <w:rPr>
          <w:rFonts w:hint="eastAsia" w:ascii="宋体" w:hAnsi="宋体" w:cs="宋体"/>
          <w:kern w:val="0"/>
          <w:sz w:val="24"/>
          <w:lang w:val="en-US" w:eastAsia="zh-CN"/>
        </w:rPr>
        <w:t>9</w:t>
      </w:r>
      <w:r>
        <w:rPr>
          <w:rFonts w:hint="eastAsia" w:ascii="宋体" w:hAnsi="宋体" w:cs="宋体"/>
          <w:kern w:val="0"/>
          <w:sz w:val="24"/>
        </w:rPr>
        <w:t>年度以来最新的经权威机构审计的完整的财务报告（复印件）或针对此项目的银行资信证明（不满一年的新公司不提供该报告）；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21年</w:t>
      </w:r>
      <w:r>
        <w:rPr>
          <w:rFonts w:hint="eastAsia" w:ascii="宋体" w:hAnsi="宋体"/>
          <w:sz w:val="24"/>
          <w:lang w:val="en-US" w:eastAsia="zh-CN"/>
        </w:rPr>
        <w:t>11</w:t>
      </w:r>
      <w:r>
        <w:rPr>
          <w:rFonts w:hint="eastAsia" w:ascii="宋体" w:hAnsi="宋体"/>
          <w:sz w:val="24"/>
        </w:rPr>
        <w:t>月</w:t>
      </w:r>
      <w:r>
        <w:rPr>
          <w:rFonts w:hint="eastAsia" w:ascii="宋体" w:hAnsi="宋体"/>
          <w:sz w:val="24"/>
          <w:lang w:val="en-US" w:eastAsia="zh-CN"/>
        </w:rPr>
        <w:t>29</w:t>
      </w:r>
      <w:r>
        <w:rPr>
          <w:rFonts w:hint="eastAsia" w:ascii="宋体" w:hAnsi="宋体"/>
          <w:sz w:val="24"/>
        </w:rPr>
        <w:t>日上午</w:t>
      </w:r>
      <w:r>
        <w:rPr>
          <w:rFonts w:hint="eastAsia" w:ascii="宋体" w:hAnsi="宋体"/>
          <w:sz w:val="24"/>
          <w:lang w:val="en-US" w:eastAsia="zh-CN"/>
        </w:rPr>
        <w:t>9</w:t>
      </w:r>
      <w:r>
        <w:rPr>
          <w:rFonts w:ascii="宋体" w:hAnsi="宋体"/>
          <w:sz w:val="24"/>
        </w:rPr>
        <w:t>:</w:t>
      </w:r>
      <w:r>
        <w:rPr>
          <w:rFonts w:hint="eastAsia" w:ascii="宋体" w:hAnsi="宋体"/>
          <w:sz w:val="24"/>
        </w:rPr>
        <w:t>30分，逾期不予受理。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w:t>
      </w:r>
      <w:r>
        <w:rPr>
          <w:rFonts w:hint="eastAsia" w:ascii="宋体" w:hAnsi="宋体"/>
          <w:sz w:val="24"/>
          <w:lang w:val="en-US" w:eastAsia="zh-CN"/>
        </w:rPr>
        <w:t>801</w:t>
      </w:r>
      <w:r>
        <w:rPr>
          <w:rFonts w:hint="eastAsia" w:ascii="宋体" w:hAnsi="宋体"/>
          <w:sz w:val="24"/>
        </w:rPr>
        <w:t>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21</w:t>
      </w:r>
      <w:r>
        <w:rPr>
          <w:rFonts w:ascii="宋体" w:hAnsi="宋体"/>
          <w:sz w:val="24"/>
        </w:rPr>
        <w:t>年</w:t>
      </w:r>
      <w:r>
        <w:rPr>
          <w:rFonts w:hint="eastAsia" w:ascii="宋体" w:hAnsi="宋体"/>
          <w:sz w:val="24"/>
          <w:lang w:val="en-US" w:eastAsia="zh-CN"/>
        </w:rPr>
        <w:t>11</w:t>
      </w:r>
      <w:r>
        <w:rPr>
          <w:rFonts w:ascii="宋体" w:hAnsi="宋体"/>
          <w:sz w:val="24"/>
        </w:rPr>
        <w:t>月</w:t>
      </w:r>
      <w:r>
        <w:rPr>
          <w:rFonts w:hint="eastAsia" w:ascii="宋体" w:hAnsi="宋体"/>
          <w:sz w:val="24"/>
          <w:lang w:val="en-US" w:eastAsia="zh-CN"/>
        </w:rPr>
        <w:t>23</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p>
      <w:pPr>
        <w:spacing w:line="360" w:lineRule="auto"/>
        <w:ind w:left="510"/>
        <w:rPr>
          <w:rFonts w:ascii="宋体" w:hAnsi="宋体"/>
          <w:b/>
          <w:sz w:val="24"/>
        </w:rPr>
      </w:pPr>
      <w:r>
        <w:rPr>
          <w:rFonts w:hint="eastAsia" w:ascii="宋体" w:hAnsi="宋体"/>
          <w:b/>
          <w:sz w:val="24"/>
        </w:rPr>
        <w:t>1.货物清单</w:t>
      </w:r>
    </w:p>
    <w:tbl>
      <w:tblPr>
        <w:tblW w:w="84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615"/>
        <w:gridCol w:w="1590"/>
        <w:gridCol w:w="3810"/>
        <w:gridCol w:w="1080"/>
        <w:gridCol w:w="13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60" w:hRule="atLeast"/>
        </w:trPr>
        <w:tc>
          <w:tcPr>
            <w:tcW w:w="615" w:type="dxa"/>
            <w:vMerge w:val="restart"/>
            <w:tcBorders>
              <w:top w:val="single" w:color="auto" w:sz="4" w:space="0"/>
              <w:left w:val="single" w:color="auto" w:sz="4" w:space="0"/>
              <w:bottom w:val="single" w:color="000000" w:sz="4" w:space="0"/>
              <w:right w:val="single" w:color="auto" w:sz="4" w:space="0"/>
            </w:tcBorders>
            <w:shd w:val="clear"/>
            <w:vAlign w:val="center"/>
          </w:tcPr>
          <w:p>
            <w:pPr>
              <w:spacing w:line="360" w:lineRule="exact"/>
              <w:jc w:val="center"/>
              <w:rPr>
                <w:rFonts w:hint="eastAsia" w:ascii="宋体" w:hAnsi="宋体" w:eastAsia="宋体" w:cs="宋体"/>
                <w:i w:val="0"/>
                <w:iCs w:val="0"/>
                <w:color w:val="000000"/>
                <w:sz w:val="28"/>
                <w:szCs w:val="28"/>
                <w:u w:val="none"/>
              </w:rPr>
            </w:pPr>
            <w:r>
              <w:rPr>
                <w:rFonts w:hint="eastAsia"/>
                <w:color w:val="auto"/>
                <w:sz w:val="28"/>
                <w:szCs w:val="28"/>
              </w:rPr>
              <w:t>序号</w:t>
            </w:r>
          </w:p>
        </w:tc>
        <w:tc>
          <w:tcPr>
            <w:tcW w:w="1590" w:type="dxa"/>
            <w:vMerge w:val="restart"/>
            <w:tcBorders>
              <w:top w:val="single" w:color="auto" w:sz="4" w:space="0"/>
              <w:left w:val="single" w:color="auto" w:sz="4" w:space="0"/>
              <w:bottom w:val="single" w:color="000000" w:sz="4" w:space="0"/>
              <w:right w:val="single" w:color="000000" w:sz="4" w:space="0"/>
            </w:tcBorders>
            <w:shd w:val="clear"/>
            <w:vAlign w:val="center"/>
          </w:tcPr>
          <w:p>
            <w:pPr>
              <w:spacing w:line="360" w:lineRule="exact"/>
              <w:jc w:val="center"/>
              <w:rPr>
                <w:color w:val="auto"/>
                <w:sz w:val="28"/>
                <w:szCs w:val="28"/>
              </w:rPr>
            </w:pPr>
            <w:r>
              <w:rPr>
                <w:rFonts w:hint="eastAsia"/>
                <w:color w:val="auto"/>
                <w:sz w:val="28"/>
                <w:szCs w:val="28"/>
              </w:rPr>
              <w:t>设备</w:t>
            </w:r>
          </w:p>
          <w:p>
            <w:pPr>
              <w:spacing w:line="360" w:lineRule="exact"/>
              <w:jc w:val="center"/>
              <w:rPr>
                <w:rFonts w:hint="eastAsia" w:ascii="宋体" w:hAnsi="宋体" w:eastAsia="宋体" w:cs="宋体"/>
                <w:i w:val="0"/>
                <w:iCs w:val="0"/>
                <w:color w:val="000000"/>
                <w:sz w:val="24"/>
                <w:szCs w:val="24"/>
                <w:u w:val="none"/>
              </w:rPr>
            </w:pPr>
            <w:r>
              <w:rPr>
                <w:rFonts w:hint="eastAsia"/>
                <w:color w:val="auto"/>
                <w:sz w:val="28"/>
                <w:szCs w:val="28"/>
              </w:rPr>
              <w:t>名称</w:t>
            </w:r>
          </w:p>
        </w:tc>
        <w:tc>
          <w:tcPr>
            <w:tcW w:w="3810" w:type="dxa"/>
            <w:vMerge w:val="restart"/>
            <w:tcBorders>
              <w:top w:val="single" w:color="auto" w:sz="4" w:space="0"/>
              <w:left w:val="single" w:color="000000" w:sz="4" w:space="0"/>
              <w:bottom w:val="single" w:color="000000" w:sz="4" w:space="0"/>
              <w:right w:val="single" w:color="000000" w:sz="4" w:space="0"/>
            </w:tcBorders>
            <w:shd w:val="clear"/>
            <w:vAlign w:val="center"/>
          </w:tcPr>
          <w:p>
            <w:pPr>
              <w:spacing w:line="360" w:lineRule="exact"/>
              <w:jc w:val="center"/>
              <w:rPr>
                <w:rFonts w:hint="eastAsia" w:ascii="宋体" w:hAnsi="宋体" w:eastAsia="宋体" w:cs="宋体"/>
                <w:i w:val="0"/>
                <w:iCs w:val="0"/>
                <w:color w:val="000000"/>
                <w:sz w:val="24"/>
                <w:szCs w:val="24"/>
                <w:u w:val="none"/>
              </w:rPr>
            </w:pPr>
            <w:r>
              <w:rPr>
                <w:rFonts w:hint="eastAsia"/>
                <w:color w:val="auto"/>
                <w:sz w:val="28"/>
                <w:szCs w:val="28"/>
              </w:rPr>
              <w:t>技术参数及要求</w:t>
            </w:r>
          </w:p>
        </w:tc>
        <w:tc>
          <w:tcPr>
            <w:tcW w:w="1080" w:type="dxa"/>
            <w:vMerge w:val="restart"/>
            <w:tcBorders>
              <w:top w:val="single" w:color="auto" w:sz="4" w:space="0"/>
              <w:left w:val="single" w:color="000000" w:sz="4" w:space="0"/>
              <w:bottom w:val="single" w:color="000000" w:sz="4" w:space="0"/>
              <w:right w:val="single" w:color="auto" w:sz="4" w:space="0"/>
            </w:tcBorders>
            <w:shd w:val="clear"/>
            <w:vAlign w:val="center"/>
          </w:tcPr>
          <w:p>
            <w:pPr>
              <w:spacing w:line="360" w:lineRule="exact"/>
              <w:jc w:val="center"/>
              <w:rPr>
                <w:rFonts w:hint="eastAsia" w:ascii="宋体" w:hAnsi="宋体" w:eastAsia="宋体" w:cs="宋体"/>
                <w:i w:val="0"/>
                <w:iCs w:val="0"/>
                <w:color w:val="000000"/>
                <w:sz w:val="24"/>
                <w:szCs w:val="24"/>
                <w:u w:val="none"/>
              </w:rPr>
            </w:pPr>
            <w:r>
              <w:rPr>
                <w:rFonts w:hint="eastAsia"/>
                <w:color w:val="auto"/>
                <w:sz w:val="28"/>
                <w:szCs w:val="28"/>
              </w:rPr>
              <w:t>数量</w:t>
            </w:r>
          </w:p>
        </w:tc>
        <w:tc>
          <w:tcPr>
            <w:tcW w:w="1320" w:type="dxa"/>
            <w:vMerge w:val="restart"/>
            <w:tcBorders>
              <w:top w:val="single" w:color="auto" w:sz="4" w:space="0"/>
              <w:left w:val="single" w:color="auto" w:sz="4" w:space="0"/>
              <w:bottom w:val="single" w:color="000000" w:sz="4" w:space="0"/>
              <w:right w:val="single" w:color="auto" w:sz="4" w:space="0"/>
            </w:tcBorders>
            <w:shd w:val="clear"/>
            <w:vAlign w:val="center"/>
          </w:tcPr>
          <w:p>
            <w:pPr>
              <w:spacing w:line="360" w:lineRule="exact"/>
              <w:jc w:val="center"/>
              <w:rPr>
                <w:rFonts w:hint="eastAsia" w:ascii="宋体" w:hAnsi="宋体" w:eastAsia="宋体" w:cs="宋体"/>
                <w:i w:val="0"/>
                <w:iCs w:val="0"/>
                <w:color w:val="000000"/>
                <w:sz w:val="24"/>
                <w:szCs w:val="24"/>
                <w:u w:val="none"/>
              </w:rPr>
            </w:pPr>
            <w:r>
              <w:rPr>
                <w:rFonts w:hint="eastAsia"/>
                <w:color w:val="auto"/>
                <w:sz w:val="28"/>
                <w:szCs w:val="28"/>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615" w:type="dxa"/>
            <w:vMerge w:val="continue"/>
            <w:tcBorders>
              <w:top w:val="nil"/>
              <w:left w:val="single" w:color="auto" w:sz="4" w:space="0"/>
              <w:bottom w:val="single" w:color="000000" w:sz="4" w:space="0"/>
              <w:right w:val="single" w:color="auto" w:sz="4" w:space="0"/>
            </w:tcBorders>
            <w:shd w:val="clear"/>
            <w:vAlign w:val="center"/>
          </w:tcPr>
          <w:p>
            <w:pPr>
              <w:jc w:val="center"/>
              <w:rPr>
                <w:rFonts w:hint="eastAsia" w:ascii="宋体" w:hAnsi="宋体" w:eastAsia="宋体" w:cs="宋体"/>
                <w:i w:val="0"/>
                <w:iCs w:val="0"/>
                <w:color w:val="000000"/>
                <w:sz w:val="28"/>
                <w:szCs w:val="28"/>
                <w:u w:val="none"/>
              </w:rPr>
            </w:pPr>
          </w:p>
        </w:tc>
        <w:tc>
          <w:tcPr>
            <w:tcW w:w="1590" w:type="dxa"/>
            <w:vMerge w:val="continue"/>
            <w:tcBorders>
              <w:top w:val="nil"/>
              <w:left w:val="single" w:color="auto"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3810" w:type="dxa"/>
            <w:vMerge w:val="continue"/>
            <w:tcBorders>
              <w:top w:val="nil"/>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4"/>
                <w:szCs w:val="24"/>
                <w:u w:val="none"/>
              </w:rPr>
            </w:pPr>
          </w:p>
        </w:tc>
        <w:tc>
          <w:tcPr>
            <w:tcW w:w="1080" w:type="dxa"/>
            <w:vMerge w:val="continue"/>
            <w:tcBorders>
              <w:top w:val="nil"/>
              <w:left w:val="single" w:color="000000" w:sz="4" w:space="0"/>
              <w:bottom w:val="single" w:color="000000" w:sz="4" w:space="0"/>
              <w:right w:val="single" w:color="auto" w:sz="4" w:space="0"/>
            </w:tcBorders>
            <w:shd w:val="clear"/>
            <w:vAlign w:val="center"/>
          </w:tcPr>
          <w:p>
            <w:pPr>
              <w:jc w:val="center"/>
              <w:rPr>
                <w:rFonts w:hint="eastAsia" w:ascii="宋体" w:hAnsi="宋体" w:eastAsia="宋体" w:cs="宋体"/>
                <w:i w:val="0"/>
                <w:iCs w:val="0"/>
                <w:color w:val="000000"/>
                <w:sz w:val="24"/>
                <w:szCs w:val="24"/>
                <w:u w:val="none"/>
              </w:rPr>
            </w:pPr>
          </w:p>
        </w:tc>
        <w:tc>
          <w:tcPr>
            <w:tcW w:w="1320" w:type="dxa"/>
            <w:vMerge w:val="continue"/>
            <w:tcBorders>
              <w:top w:val="nil"/>
              <w:left w:val="single" w:color="auto" w:sz="4" w:space="0"/>
              <w:bottom w:val="single" w:color="000000" w:sz="4" w:space="0"/>
              <w:right w:val="single" w:color="auto" w:sz="4" w:space="0"/>
            </w:tcBorders>
            <w:shd w:val="clear"/>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590" w:type="dxa"/>
            <w:tcBorders>
              <w:top w:val="single" w:color="000000" w:sz="4" w:space="0"/>
              <w:left w:val="single" w:color="auto" w:sz="4" w:space="0"/>
              <w:bottom w:val="single" w:color="auto"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泥板画底板</w:t>
            </w:r>
          </w:p>
        </w:tc>
        <w:tc>
          <w:tcPr>
            <w:tcW w:w="3810" w:type="dxa"/>
            <w:tcBorders>
              <w:top w:val="single" w:color="000000" w:sz="4" w:space="0"/>
              <w:left w:val="single" w:color="000000" w:sz="4" w:space="0"/>
              <w:bottom w:val="single" w:color="auto"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画面尺寸15cm×20cm；面板三合板或五合板，厚</w:t>
            </w:r>
            <w:bookmarkStart w:id="14" w:name="_GoBack"/>
            <w:bookmarkEnd w:id="14"/>
            <w:r>
              <w:rPr>
                <w:rFonts w:hint="eastAsia" w:ascii="宋体" w:hAnsi="宋体" w:eastAsia="宋体" w:cs="宋体"/>
                <w:i w:val="0"/>
                <w:iCs w:val="0"/>
                <w:color w:val="000000"/>
                <w:kern w:val="0"/>
                <w:sz w:val="24"/>
                <w:szCs w:val="24"/>
                <w:u w:val="none"/>
                <w:bdr w:val="none" w:color="auto" w:sz="0" w:space="0"/>
                <w:lang w:val="en-US" w:eastAsia="zh-CN" w:bidi="ar"/>
              </w:rPr>
              <w:t>≥3mm ，木龙骨2cmX3cm</w:t>
            </w:r>
          </w:p>
        </w:tc>
        <w:tc>
          <w:tcPr>
            <w:tcW w:w="1080" w:type="dxa"/>
            <w:tcBorders>
              <w:top w:val="single" w:color="000000" w:sz="4" w:space="0"/>
              <w:left w:val="single" w:color="000000" w:sz="4" w:space="0"/>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w:t>
            </w:r>
          </w:p>
        </w:tc>
        <w:tc>
          <w:tcPr>
            <w:tcW w:w="1320" w:type="dxa"/>
            <w:tcBorders>
              <w:top w:val="single" w:color="000000" w:sz="4" w:space="0"/>
              <w:left w:val="single" w:color="auto" w:sz="4" w:space="0"/>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1590" w:type="dxa"/>
            <w:tcBorders>
              <w:top w:val="single" w:color="auto"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泥板画底板</w:t>
            </w:r>
          </w:p>
        </w:tc>
        <w:tc>
          <w:tcPr>
            <w:tcW w:w="3810" w:type="dxa"/>
            <w:tcBorders>
              <w:top w:val="single" w:color="auto"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画面尺寸20cm×30cm；面板三合板或五合板，厚≥3mm ，木龙骨2cmX3cm</w:t>
            </w:r>
          </w:p>
        </w:tc>
        <w:tc>
          <w:tcPr>
            <w:tcW w:w="1080" w:type="dxa"/>
            <w:tcBorders>
              <w:top w:val="single" w:color="auto"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40</w:t>
            </w:r>
          </w:p>
        </w:tc>
        <w:tc>
          <w:tcPr>
            <w:tcW w:w="1320" w:type="dxa"/>
            <w:tcBorders>
              <w:top w:val="single" w:color="auto"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泥板画底板</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画面尺寸40cm×40cm；面板三合板或五合板，厚≥3mm ，木龙骨2cmX3cm</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泥板画底板</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画面尺寸50cm×70cm；面板三合板或五合板，厚≥3mm ，木龙骨2cmX3cm</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泥板画底板</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画面尺寸50cm×120cm；面板三合板或五合板，厚≥3mm ，木龙骨2cmX3cm</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泥板画底板</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画面尺寸90cm×120cm；面板三合板或五合板，厚≥3mm ，木龙骨2cmX3cm</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木工木龙骨</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原松木条、实木材料、2cm×3cm×200cm</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40</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木工三合板</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多层板3mm 厚，120cm×240cm</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敦煌澄板土</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沉积土、产地敦煌，杂质极少，粒度细，0.001mm-0.005mm之间，1袋1000g</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敦煌五色沙</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沉积土、产地敦煌，杂质极少，粒度细，0.001mm-0.005mm之间，1袋1000g</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特级蛤白（蛤粉）</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蛤白、天然牡蛎壳研磨、粉状5克装，250g/包</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透胶液</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sukinikawa-eki、500ml/瓶</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13</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合成防染糊粉</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纯天然碳酸钙、黄豆粉、玉米粉、糯米粉制成，采用塑料袋分装，每袋100克</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14</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骨胶</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动物颗粒骨胶，用于调制颜料</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15</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铅性复写纸</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灰色铅性复写纸，可擦除 60cm×90cm 一包10张</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16</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小脸盆</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塑料圆形，内径26.5cm</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17</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铜箔</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14cm*14cm</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100</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18</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矿物颜料</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藏青（特粗）</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100</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19</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矿物颜料</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藏青（粗）</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100</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矿物颜料</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朱砂</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100</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21</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矿物颜料</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暗红</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150</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22</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矿物颜料</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粗头绿</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100</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23</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矿物颜料</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细头绿</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100</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24</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矿物颜料</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雄黄</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100</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25</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矿物颜料</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雌黄</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100</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26</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矿物颜料</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暗灰色</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100</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27</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矿物颜料</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赭石</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100</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28</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矿物颜料</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土黄</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200</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29</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陶泥</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灰陶泥</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30</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瓷泥</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高白瓷泥</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31</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修坯刀</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长方型（长2.8厘米，宽1.5厘米）以及弧型（长2.5厘米，宽1.5厘米）</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32</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修坯夹</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修坯夹054409，修坯夹配件</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33</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塑料保鲜膜</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颜色透明、PE材质60cm×300cm</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34</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玻璃烧杯</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100ml、高硼硅玻璃、透明、带刻度</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35</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玻璃扁形称量瓶</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玻璃、透明、扁型、40*25mm</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36</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玻璃烧杯</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250ml、高硼硅玻璃、透明、带刻度</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37</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玻璃广口锥形瓶</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150ml、高硼硅玻璃、透明、带刻度、广口</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38</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玻璃量筒</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50ml、高硼硅玻璃、透明、带刻度</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39</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玻璃棒</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30cm长、高硼硅玻璃、透明</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40</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塑料洗瓶</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塑料、白色、弯头、带刻度，500ml</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41</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玻璃容量瓶</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玻璃、透明、100ml</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42</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短管玻璃漏斗</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总长100mm，容量60ml,玻璃，透明</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43</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玻璃表面皿</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玻璃、透明，90mm</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44</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大肚移液管</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玻璃、透明、单标线，10ml</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45</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酸式滴定管</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玻璃，白色，酸式，100ml，带刻度，A级</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46</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碱式滴定管</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玻璃，白色，碱式，100ml，带刻度，A级</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47</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移液管架</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有机玻璃，梯形单排，8位，200mm*220mm*1105mm</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48</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塑料滴定管夹</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材质：塑料，白色，双侧夹，蝴蝶夹，与铁架台配套使用</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49</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铁架台</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材质：喷漆铁座，带杆，中号，底座200mm*150mm，杆长600mm</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50</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特大号牙科橡皮碗</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材料：橡胶，浅蓝色，特大号，直径13cm*8.5cm</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51</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大号牙科橡皮碗</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材料：橡胶，浅蓝色，大号，直径11cm*7cm</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52</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中号牙科橡皮碗</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材料：橡胶，浅蓝色，中号，直径10cm*86cm</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53</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小号牙科橡皮碗</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材料：橡胶，浅蓝色，小号，直径8cm*5cm</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54</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 楔形间隙尺</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材质：不锈钢；量程：0-15mm；分辨率：0.1mm；双面有刻度公英制；厚度约2.1mm</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55</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等比放大尺</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材质：金属；产品规格：225*45*30mm；产品净重：0.16kg</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56</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内外卡钳尺套装</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材质：金属；产品规格：300mm；内卡钳、外卡钳两支套装</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57</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玻璃胶头滴管</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玻璃、透明、尖口、红皮头、8*180mm</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40</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58</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塑料墙纸刮板</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材质塑料，175mm*12mm,刮板厚1mm</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50</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59</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压边掌心打蜡海绵</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材质：聚氨酯，直径10公分，厚度1.5公分，圆形，压边。12片/袋</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60</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调油搅拌刮刀</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材质：不锈钢，10寸，总长38cm，刀长25cm，厚度约1mm</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61</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圆形打包盒</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塑料、直筒透明、带盖，实际容量450ml，50套/组</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62</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仿古山桠皮纸</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原材料：山桠皮；产品规格：四尺毛边（约70*140cm）；产地：安徽泾县；颜色：仿古色；100张/刀；手工制</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63</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食品级尼龙网纱</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材质：聚乙烯/尼龙丝；目数：300目；宽幅：1米</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30</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64</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白色亚克力板</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规格：500mm*400mm*5mm，白色，亚克力材质，无毛边</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40</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65</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平口物料盒</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容量3.49L、白色、塑料、平口、规格：300*200*87(mm)</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66</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平口物料盒</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容量14.8L、白色、塑料、平口、规格：410*310*145(mm)</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67</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竹管羊毛排刷</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竹管，羊毛刷头，不易掉毛，24管组合，总宽度18cm，刷头毛发宽度18cm，刷头毛发长度4.5cm，总长度14.5cm</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68</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勾线笔（毛笔）</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出锋1.8cm、兼毫、狼尖勾线、竹笔杆</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69</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勾线笔（毛笔）</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出锋2.3cm、兼毫、狼尖勾线、竹笔杆</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70</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勾线笔（毛笔）</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出锋2.8cm、兼毫、狼尖勾线、竹笔杆</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71</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生宣纸</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34.5*138cm、特净、薄厚适中、韧性好</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72</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熟宣纸</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34.5*138cm、偏薄</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73</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全开牛皮纸</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≧150g,长宽≧1092*787mm.</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74</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小麦面粉</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中筋面粉，袋装，10kg/袋</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75</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重型2寸（无刹）万向轮</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重型，M8丝牙，丝牙高20mm，轮子直径约49mm，万向，不带刹车，金属支撑件，4个/组</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76</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重型2寸（带刹）万向轮</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重型，M8丝牙，丝牙高20mm，轮子直径约49mm，万向，带刹车，金属支撑件，4个/组</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77</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家用储水桶</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食品级环保PC，容量15L，24cm*24cm*38cm，透明蓝色，自带龙头和盖子</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78</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颜料罐</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螺纹瓶口，高透瓶身，硬度强，加厚瓶底，口径8.5cm，高度8.5cm，水容量320ml，35g重口塑料瓶 瓶身透明，金色铝盖，配压敏垫片，pet或pp材质</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100</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79</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颜料罐</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方瓶，螺纹瓶口，高透瓶身，硬度强，加厚瓶底，直径4.5cm，高度7.8cm，白色盖，配压敏垫片，pet或pp材质</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200</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80</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油灰刀</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不锈钢刀身,木质手柄，光滑无毛刺，刀宽26mm，刀长94mm，总长178mm，刀片厚度0.7mm重量29g</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81</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油灰刀</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不锈钢刀身,木质手柄，光滑无毛刺，刀宽50mm，刀长90mm，总长190mm，刀片厚度0.7mm，重量47g</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82</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油灰刀</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不锈钢刀身,木质手柄，光滑无毛刺，刀宽99mm，刀长100mm，总长200mm，刀片厚度0.7mm，重量65g</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83</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抹泥刀</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钢板厚度0.4cm，钢板材质蓝钢。手柄材质实木，刀宽80-90mm，长216mm</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84</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白乳胶</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净味乳液</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85</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加厚立体相框</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黑色框，材质高分子发泡材料，外径18*23；内径15*20；内置空间14*19；镂空高度2cm/3cm；前挡板有机玻璃；有背板支架；配S钩+无痕钉</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86</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加厚立体相框</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黑色框，厚4.5cm材质高分子发泡材料，外径23*28；内径20*25；内置空间19*24；镂空高度3cm；前挡板有机玻璃；有背板支架；配S钩+无痕钉</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87</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加厚立体相框</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黑色框，厚3.2cm材质高分子发泡材料，外径15.5*20.5；内径12.5*17.5；内置空间11*16.5；镂空高度2cm；前挡板有机玻璃；有背板支架；配S钩+无痕钉</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88</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电钻</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GBM13RE，输出功率≧600瓦，空载速率0～2600转/分钟，夹头直径范围1.5～13毫米</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89</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角磨机</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GWS900-100/125，输出功率≧900瓦，主轴直径M10/M14切片直径100/125毫米，空载速率11000转/分钟，产品重量≧1.8公斤</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90</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金刚石水磨片</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80mm/300#目=300片,    80mm/500#目=300片</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600</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91</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香樟木原木材</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带皮，直径≧30cm,长≧50cm</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92</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牙机</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牙科南韩打磨机90/204型打磨机手柄小型抛光机玉石雕刻机电磨机，2.35、3.0各一套双手柄5万转速左右</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93</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葫芦坯</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兰州地产葫芦,直径≧15cm,高≧20cm</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50</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94</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调温热风枪</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1600W,两段式调温，260*190（MM）,400-690度</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95</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大力王3.0单手柄</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Q9手柄</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96</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专业雕刻橡皮砖</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厚度≧8mm，规格15*10CM</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50</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97</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版画木板</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双面棠梨木，梨木板，长宽高≧20cm*30cm*2cm，</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98</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奥松板</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长宽高≧400mm*300mm*8mm</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50</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99</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日本樱花版画油墨 油性木版画颜料</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8色全要</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复写纸</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A3大小 一包100张</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101</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相框</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定制实木附厚卡纸衬垫：内框≧30x42cm、外框≧45x57cm</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30</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102</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大号缝衣针</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大号顿头/针眼长1.2cm</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30</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103</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仿古宣纸</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手工四尺仿古</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104</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白宣纸</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手工四尺白宣</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105</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纸胶带</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15mm*20Y*145um（白色）</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106</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白卡纸</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4K、300克光面白卡纸</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200</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107</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示范直播支架</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Ringke手机直播支架V8可折叠带补光灯桌面落地多功能录拍视频无线遥控三色8档伸缩直播盒,拉伸长度130CM</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108</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角磨机</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额定电压220v额定功率1020W额定转速13000r/min</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109</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油石</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宽25mm厚50mm长200mm</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30</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110</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精钢石切割片</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105*20*1.1mm</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50</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111</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精钢沙玉石磨头50件套</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杆粗3.0mm各种头型</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60</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112</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钨钢合金旋转磨头</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3*3双纹（20）装</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50</w:t>
            </w:r>
          </w:p>
        </w:tc>
        <w:tc>
          <w:tcPr>
            <w:tcW w:w="0" w:type="auto"/>
            <w:tcBorders>
              <w:top w:val="single" w:color="000000" w:sz="4" w:space="0"/>
              <w:left w:val="single" w:color="auto"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113</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紫铜丝</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Style w:val="47"/>
                <w:bdr w:val="none" w:color="auto" w:sz="0" w:space="0"/>
                <w:lang w:val="en-US" w:eastAsia="zh-CN" w:bidi="ar"/>
              </w:rPr>
              <w:t>紫铜丝 1.1mm宽 0.2mm厚（ 2m*10根）  紫铜丝 产品材质 合金</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114</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珐琅耐高温支烧网</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材质：钛合金、不锈钢； 特点：耐高温，不易黏粘珐琅 易清洗 耐高温 工艺 编织方形孔</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115</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压磨框</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硅胶制模框，单个压模框，铝制，单孔尺寸：70x90x18MM</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116</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压磨框</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硅胶制模框，单个压模框，铝制，四孔尺寸：46x72x18MM</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117</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戒指刨（蜡管刀）</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戒指蜡刀尺，实木，精度5-12mm,产品长度233mm</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118</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戒指棒</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1-33港码戒指棒，金属铜戒指棒，尺寸：235x11mm，重：87g</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119</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焊蜡机</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双笔焊蜡机，电压：220-240V,温度范围：50℃—200℃，功率20W,重量：1100G</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120</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蜡锉刀</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狼牙锉刀，首饰起版蜡锉刀，3x150mm6支一套</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121</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首饰雕蜡掏底刀</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掏底刀,10支/套,长度：约155mm，</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122</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蜡锯条（螺旋锯条）</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螺旋锯条，1＃，长度：130mm，直径：0.7，齿距：0.210mm</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123</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首饰铸造壳、倒模铁桶</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胶底+铁壳2.0、2.6、3.0、4.0、各一个</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124</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金属铸造石膏</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耐高温石膏，金属铸造石膏</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kg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125</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翻模硅胶</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硫化温度170℃—180℃，30x30cm,，0.97kg，厚：1cm</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126</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油泥王</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首饰倒模干性油泥</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127</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首饰蜡片</w:t>
            </w:r>
          </w:p>
        </w:tc>
        <w:tc>
          <w:tcPr>
            <w:tcW w:w="3810" w:type="dxa"/>
            <w:tcBorders>
              <w:top w:val="single" w:color="000000" w:sz="4" w:space="0"/>
              <w:left w:val="single" w:color="000000" w:sz="4" w:space="0"/>
              <w:bottom w:val="nil"/>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片装长宽：宽36MM 长92MM.片装厚度：4mm厚5片、6MM厚4片.8MM厚2片、21MM厚3片、23MM厚1片.</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片装共：15片/盒</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128</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首饰蜡管</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长度≧144mm,戒圈≧5.5mm,内径≧15mm，戒面圆形，直径≧26mm.</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129</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蜡线条</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首饰铸造蜡线条,直径≧1.5mm</w:t>
            </w:r>
          </w:p>
        </w:tc>
        <w:tc>
          <w:tcPr>
            <w:tcW w:w="1080" w:type="dxa"/>
            <w:tcBorders>
              <w:top w:val="single" w:color="000000" w:sz="4" w:space="0"/>
              <w:left w:val="single" w:color="000000" w:sz="4" w:space="0"/>
              <w:bottom w:val="single" w:color="000000"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130</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电子秤</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高精度珠宝称，有玻璃罩，300g,精度0.01g</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131</w:t>
            </w:r>
          </w:p>
        </w:tc>
        <w:tc>
          <w:tcPr>
            <w:tcW w:w="15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纯黄铜粒</w:t>
            </w:r>
          </w:p>
        </w:tc>
        <w:tc>
          <w:tcPr>
            <w:tcW w:w="38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小光面黄铜粒</w:t>
            </w:r>
          </w:p>
        </w:tc>
        <w:tc>
          <w:tcPr>
            <w:tcW w:w="0" w:type="auto"/>
            <w:tcBorders>
              <w:top w:val="single" w:color="000000" w:sz="4" w:space="0"/>
              <w:left w:val="single" w:color="000000" w:sz="4" w:space="0"/>
              <w:bottom w:val="single" w:color="000000" w:sz="4" w:space="0"/>
              <w:right w:val="single" w:color="auto"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千克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15" w:type="dxa"/>
            <w:tcBorders>
              <w:top w:val="single" w:color="000000" w:sz="4" w:space="0"/>
              <w:left w:val="single" w:color="auto" w:sz="4" w:space="0"/>
              <w:bottom w:val="single" w:color="auto"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132</w:t>
            </w:r>
          </w:p>
        </w:tc>
        <w:tc>
          <w:tcPr>
            <w:tcW w:w="1590" w:type="dxa"/>
            <w:tcBorders>
              <w:top w:val="single" w:color="000000" w:sz="4" w:space="0"/>
              <w:left w:val="single" w:color="000000" w:sz="4" w:space="0"/>
              <w:bottom w:val="single" w:color="auto"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胶模开模器</w:t>
            </w:r>
          </w:p>
        </w:tc>
        <w:tc>
          <w:tcPr>
            <w:tcW w:w="3810" w:type="dxa"/>
            <w:tcBorders>
              <w:top w:val="single" w:color="000000" w:sz="4" w:space="0"/>
              <w:left w:val="single" w:color="000000" w:sz="4" w:space="0"/>
              <w:bottom w:val="single" w:color="auto"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首饰胶模开模器机</w:t>
            </w:r>
          </w:p>
        </w:tc>
        <w:tc>
          <w:tcPr>
            <w:tcW w:w="1080" w:type="dxa"/>
            <w:tcBorders>
              <w:top w:val="single" w:color="000000" w:sz="4" w:space="0"/>
              <w:left w:val="single" w:color="000000" w:sz="4" w:space="0"/>
              <w:bottom w:val="single" w:color="auto" w:sz="4" w:space="0"/>
              <w:right w:val="single" w:color="auto"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320" w:type="dxa"/>
            <w:tcBorders>
              <w:top w:val="single" w:color="000000" w:sz="4" w:space="0"/>
              <w:left w:val="single" w:color="auto"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r>
    </w:tbl>
    <w:p>
      <w:pPr>
        <w:numPr>
          <w:ilvl w:val="0"/>
          <w:numId w:val="0"/>
        </w:numPr>
        <w:autoSpaceDE w:val="0"/>
        <w:autoSpaceDN w:val="0"/>
        <w:adjustRightInd w:val="0"/>
        <w:snapToGrid w:val="0"/>
        <w:spacing w:line="400" w:lineRule="exact"/>
        <w:ind w:right="-178" w:rightChars="-85"/>
        <w:textAlignment w:val="bottom"/>
        <w:rPr>
          <w:rFonts w:hint="eastAsia" w:ascii="宋体" w:hAnsi="宋体"/>
          <w:b/>
          <w:sz w:val="24"/>
        </w:rPr>
      </w:pPr>
    </w:p>
    <w:p>
      <w:pPr>
        <w:numPr>
          <w:ilvl w:val="0"/>
          <w:numId w:val="0"/>
        </w:numPr>
        <w:autoSpaceDE w:val="0"/>
        <w:autoSpaceDN w:val="0"/>
        <w:adjustRightInd w:val="0"/>
        <w:snapToGrid w:val="0"/>
        <w:spacing w:line="400" w:lineRule="exact"/>
        <w:ind w:right="-178" w:rightChars="-85"/>
        <w:textAlignment w:val="bottom"/>
        <w:rPr>
          <w:rFonts w:hint="eastAsia" w:ascii="宋体" w:hAnsi="宋体"/>
          <w:sz w:val="24"/>
        </w:rPr>
      </w:pPr>
      <w:r>
        <w:rPr>
          <w:rFonts w:hint="eastAsia" w:ascii="宋体" w:hAnsi="宋体"/>
          <w:b/>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sz w:val="24"/>
        </w:rPr>
      </w:pPr>
      <w:r>
        <w:rPr>
          <w:rFonts w:hint="eastAsia" w:ascii="宋体" w:hAnsi="宋体"/>
          <w:sz w:val="24"/>
        </w:rPr>
        <w:t>供应商须按清单中的要求为本项目货物提供至少</w:t>
      </w:r>
      <w:r>
        <w:rPr>
          <w:rFonts w:hint="eastAsia" w:ascii="宋体" w:hAnsi="宋体"/>
          <w:sz w:val="24"/>
          <w:lang w:val="en-US" w:eastAsia="zh-CN"/>
        </w:rPr>
        <w:t>2</w:t>
      </w:r>
      <w:r>
        <w:rPr>
          <w:rFonts w:hint="eastAsia" w:ascii="宋体" w:hAnsi="宋体"/>
          <w:sz w:val="24"/>
        </w:rPr>
        <w:t>年的免费原厂质量保证服务，终身免费技术咨询，质量保证期时间自产品最终验收合格双方签字并交付使用之日算起。</w:t>
      </w:r>
    </w:p>
    <w:p>
      <w:pPr>
        <w:numPr>
          <w:ilvl w:val="0"/>
          <w:numId w:val="0"/>
        </w:numPr>
        <w:spacing w:line="360" w:lineRule="auto"/>
        <w:contextualSpacing/>
        <w:rPr>
          <w:rFonts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rPr>
        <w:t>其他要求：</w:t>
      </w:r>
    </w:p>
    <w:p>
      <w:pPr>
        <w:spacing w:line="400" w:lineRule="exact"/>
        <w:ind w:firstLine="480" w:firstLineChars="200"/>
        <w:rPr>
          <w:rFonts w:hint="default" w:eastAsia="宋体"/>
          <w:color w:val="000000"/>
          <w:sz w:val="24"/>
          <w:lang w:val="en-US" w:eastAsia="zh-CN"/>
        </w:rPr>
      </w:pPr>
      <w:r>
        <w:rPr>
          <w:rFonts w:hint="eastAsia"/>
          <w:color w:val="000000"/>
          <w:sz w:val="24"/>
        </w:rPr>
        <w:t>1、</w:t>
      </w:r>
      <w:r>
        <w:rPr>
          <w:rFonts w:hint="eastAsia"/>
          <w:color w:val="000000"/>
          <w:sz w:val="24"/>
          <w:lang w:val="en-US" w:eastAsia="zh-CN"/>
        </w:rPr>
        <w:t>供应商投标价须包含运输、安装及耗材等一切费用。</w:t>
      </w:r>
    </w:p>
    <w:p>
      <w:pPr>
        <w:spacing w:line="400" w:lineRule="exact"/>
        <w:ind w:firstLine="480" w:firstLineChars="200"/>
        <w:rPr>
          <w:color w:val="000000"/>
          <w:sz w:val="24"/>
        </w:rPr>
      </w:pPr>
      <w:r>
        <w:rPr>
          <w:rFonts w:hint="eastAsia"/>
          <w:color w:val="000000"/>
          <w:sz w:val="24"/>
          <w:lang w:val="en-US" w:eastAsia="zh-CN"/>
        </w:rPr>
        <w:t>2、</w:t>
      </w:r>
      <w:r>
        <w:rPr>
          <w:rFonts w:hint="eastAsia"/>
          <w:color w:val="000000"/>
          <w:sz w:val="24"/>
        </w:rPr>
        <w:t>需提供服务承诺书（施工期间垃圾清理情况、现场设备维护及维修、后期施工项目维护及维修等）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lang w:val="en-US" w:eastAsia="zh-CN"/>
        </w:rPr>
        <w:t>3</w:t>
      </w:r>
      <w:r>
        <w:rPr>
          <w:rFonts w:hint="eastAsia"/>
          <w:color w:val="000000"/>
          <w:sz w:val="24"/>
        </w:rPr>
        <w:t>、中标单位样品将进行留存并在实际交货时需对照，如出现样品跟实际供货不一样将取消中标资格，</w:t>
      </w:r>
    </w:p>
    <w:p>
      <w:pPr>
        <w:spacing w:line="400" w:lineRule="exact"/>
        <w:ind w:firstLine="480" w:firstLineChars="200"/>
        <w:rPr>
          <w:rFonts w:ascii="宋体" w:hAnsi="宋体"/>
          <w:b/>
          <w:sz w:val="24"/>
        </w:rPr>
      </w:pPr>
      <w:r>
        <w:rPr>
          <w:rFonts w:hint="eastAsia"/>
          <w:color w:val="000000"/>
          <w:sz w:val="24"/>
          <w:lang w:val="en-US" w:eastAsia="zh-CN"/>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2" w:firstLineChars="200"/>
        <w:rPr>
          <w:rFonts w:ascii="宋体" w:hAnsi="宋体"/>
          <w:b/>
          <w:bCs/>
          <w:sz w:val="24"/>
        </w:rPr>
      </w:pPr>
      <w:r>
        <w:rPr>
          <w:rFonts w:hint="eastAsia" w:ascii="宋体" w:hAnsi="宋体"/>
          <w:b/>
          <w:bCs/>
          <w:sz w:val="24"/>
        </w:rPr>
        <w:t>1．</w:t>
      </w:r>
      <w:r>
        <w:rPr>
          <w:rFonts w:hint="eastAsia" w:ascii="宋体" w:hAnsi="宋体"/>
          <w:b/>
          <w:bCs/>
          <w:sz w:val="24"/>
          <w:lang w:val="en-US" w:eastAsia="zh-CN"/>
        </w:rPr>
        <w:t>中标后须在7日内完成</w:t>
      </w:r>
      <w:r>
        <w:rPr>
          <w:rFonts w:hint="eastAsia" w:ascii="宋体" w:hAnsi="宋体"/>
          <w:b/>
          <w:bCs/>
          <w:sz w:val="24"/>
        </w:rPr>
        <w:t>的所需货物的安装、调试、验收，直至交付采购人可以正常使用。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四、对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hint="eastAsia"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4" w:name="_Toc240772095"/>
    </w:p>
    <w:p>
      <w:pPr>
        <w:adjustRightInd w:val="0"/>
        <w:spacing w:line="360" w:lineRule="auto"/>
        <w:ind w:firstLine="480" w:firstLineChars="200"/>
        <w:rPr>
          <w:rFonts w:ascii="宋体" w:hAnsi="宋体" w:eastAsia="宋体" w:cs="宋体"/>
          <w:b w:val="0"/>
          <w:bCs w:val="0"/>
          <w:sz w:val="24"/>
          <w:szCs w:val="24"/>
        </w:rPr>
      </w:pPr>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hint="eastAsia"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5" w:name="_Toc240772096"/>
    </w:p>
    <w:p>
      <w:pPr>
        <w:tabs>
          <w:tab w:val="left" w:pos="360"/>
        </w:tabs>
        <w:adjustRightInd w:val="0"/>
        <w:spacing w:line="360" w:lineRule="auto"/>
        <w:ind w:firstLine="480" w:firstLineChars="200"/>
        <w:rPr>
          <w:rFonts w:ascii="宋体" w:hAnsi="宋体" w:eastAsia="宋体" w:cs="宋体"/>
          <w:b w:val="0"/>
          <w:bCs w:val="0"/>
          <w:sz w:val="24"/>
          <w:szCs w:val="24"/>
        </w:rPr>
      </w:pPr>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sz w:val="24"/>
        </w:rPr>
      </w:pPr>
      <w:r>
        <w:rPr>
          <w:rFonts w:hint="eastAsia" w:ascii="宋体" w:hAnsi="宋体" w:cs="宋体"/>
          <w:sz w:val="24"/>
        </w:rPr>
        <w:t>(六) 其它不符合受理条件的情形。</w:t>
      </w:r>
    </w:p>
    <w:p>
      <w:pPr>
        <w:spacing w:line="360" w:lineRule="auto"/>
        <w:rPr>
          <w:rFonts w:ascii="宋体" w:hAnsi="宋体"/>
          <w:b/>
          <w:bCs/>
          <w:sz w:val="24"/>
        </w:rPr>
      </w:pPr>
      <w:r>
        <w:rPr>
          <w:rFonts w:hint="eastAsia" w:ascii="宋体" w:hAnsi="宋体"/>
          <w:b/>
          <w:bCs/>
          <w:sz w:val="24"/>
        </w:rPr>
        <w:t>五、响应文件的编制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9" w:name="_Toc265109445"/>
      <w:bookmarkStart w:id="10" w:name="_Toc294609003"/>
      <w:bookmarkStart w:id="11" w:name="_Toc236473298"/>
      <w:bookmarkStart w:id="12" w:name="_Toc238276242"/>
      <w:bookmarkStart w:id="13" w:name="_Toc327371177"/>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3"/>
        </w:numPr>
        <w:rPr>
          <w:rFonts w:ascii="宋体" w:hAnsi="宋体"/>
          <w:sz w:val="24"/>
          <w:szCs w:val="24"/>
        </w:rPr>
      </w:pPr>
      <w:r>
        <w:rPr>
          <w:rFonts w:hint="eastAsia" w:ascii="宋体" w:hAnsi="宋体"/>
          <w:sz w:val="24"/>
          <w:szCs w:val="24"/>
        </w:rPr>
        <w:t>所有价格均用人民币表示，单位为元。</w:t>
      </w:r>
    </w:p>
    <w:p>
      <w:pPr>
        <w:pStyle w:val="5"/>
        <w:numPr>
          <w:ilvl w:val="0"/>
          <w:numId w:val="3"/>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3"/>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000000"/>
          <w:sz w:val="24"/>
        </w:rPr>
      </w:pPr>
      <w:r>
        <w:rPr>
          <w:rFonts w:hint="eastAsia" w:ascii="宋体" w:hAnsi="宋体"/>
          <w:b w:val="0"/>
          <w:bCs w:val="0"/>
        </w:rPr>
        <w:t>附件七：</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097AEB"/>
    <w:multiLevelType w:val="singleLevel"/>
    <w:tmpl w:val="01097AEB"/>
    <w:lvl w:ilvl="0" w:tentative="0">
      <w:start w:val="8"/>
      <w:numFmt w:val="decimal"/>
      <w:suff w:val="space"/>
      <w:lvlText w:val="%1."/>
      <w:lvlJc w:val="left"/>
    </w:lvl>
  </w:abstractNum>
  <w:abstractNum w:abstractNumId="1">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64D6604"/>
    <w:rsid w:val="098C501E"/>
    <w:rsid w:val="099A56EE"/>
    <w:rsid w:val="0A412F0D"/>
    <w:rsid w:val="0B1B470A"/>
    <w:rsid w:val="0C8D0B1C"/>
    <w:rsid w:val="0D1F3051"/>
    <w:rsid w:val="0DB2633E"/>
    <w:rsid w:val="0E170F1D"/>
    <w:rsid w:val="0F233157"/>
    <w:rsid w:val="1096558D"/>
    <w:rsid w:val="160939DD"/>
    <w:rsid w:val="167C7678"/>
    <w:rsid w:val="16CE0DE2"/>
    <w:rsid w:val="180C163C"/>
    <w:rsid w:val="1B3044CB"/>
    <w:rsid w:val="22E13702"/>
    <w:rsid w:val="24C863FF"/>
    <w:rsid w:val="24DC56D5"/>
    <w:rsid w:val="270E47DD"/>
    <w:rsid w:val="29175E93"/>
    <w:rsid w:val="29C651C2"/>
    <w:rsid w:val="2B4E652B"/>
    <w:rsid w:val="2BD831ED"/>
    <w:rsid w:val="2CBB51A7"/>
    <w:rsid w:val="30ED3773"/>
    <w:rsid w:val="30F454E0"/>
    <w:rsid w:val="32E73D7C"/>
    <w:rsid w:val="34011B9E"/>
    <w:rsid w:val="397171B0"/>
    <w:rsid w:val="3A7D7082"/>
    <w:rsid w:val="3B0418F4"/>
    <w:rsid w:val="3E842D9E"/>
    <w:rsid w:val="3FA13A28"/>
    <w:rsid w:val="4048089A"/>
    <w:rsid w:val="42497455"/>
    <w:rsid w:val="469902C4"/>
    <w:rsid w:val="4BF27BEA"/>
    <w:rsid w:val="51F723AA"/>
    <w:rsid w:val="522D4CC1"/>
    <w:rsid w:val="531410DD"/>
    <w:rsid w:val="5398783B"/>
    <w:rsid w:val="553E2EC3"/>
    <w:rsid w:val="56666A83"/>
    <w:rsid w:val="57D92040"/>
    <w:rsid w:val="58CF0CB0"/>
    <w:rsid w:val="59575F32"/>
    <w:rsid w:val="59A565CA"/>
    <w:rsid w:val="59F903C5"/>
    <w:rsid w:val="5B0A7487"/>
    <w:rsid w:val="5C9B6D67"/>
    <w:rsid w:val="5CA2370E"/>
    <w:rsid w:val="5DF428F8"/>
    <w:rsid w:val="5E3176B0"/>
    <w:rsid w:val="5EAA4073"/>
    <w:rsid w:val="5EE31838"/>
    <w:rsid w:val="5FF31B7F"/>
    <w:rsid w:val="61F067EA"/>
    <w:rsid w:val="62472877"/>
    <w:rsid w:val="650B258F"/>
    <w:rsid w:val="65B03214"/>
    <w:rsid w:val="6959727F"/>
    <w:rsid w:val="6B501B9F"/>
    <w:rsid w:val="6FA636AF"/>
    <w:rsid w:val="77B708B5"/>
    <w:rsid w:val="794332E6"/>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字符"/>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字符"/>
    <w:link w:val="10"/>
    <w:qFormat/>
    <w:uiPriority w:val="0"/>
    <w:rPr>
      <w:rFonts w:ascii="宋体" w:hAnsi="Courier New" w:eastAsia="宋体" w:cs="Courier New"/>
      <w:kern w:val="2"/>
      <w:sz w:val="21"/>
      <w:szCs w:val="21"/>
      <w:lang w:val="en-US" w:eastAsia="zh-CN" w:bidi="ar-SA"/>
    </w:rPr>
  </w:style>
  <w:style w:type="character" w:customStyle="1" w:styleId="38">
    <w:name w:val="正文缩进 字符"/>
    <w:link w:val="5"/>
    <w:qFormat/>
    <w:uiPriority w:val="0"/>
    <w:rPr>
      <w:rFonts w:eastAsia="宋体"/>
      <w:kern w:val="2"/>
      <w:sz w:val="21"/>
      <w:lang w:val="en-US" w:eastAsia="zh-CN" w:bidi="ar-SA"/>
    </w:rPr>
  </w:style>
  <w:style w:type="character" w:customStyle="1" w:styleId="39">
    <w:name w:val="页眉 字符"/>
    <w:link w:val="13"/>
    <w:qFormat/>
    <w:uiPriority w:val="0"/>
    <w:rPr>
      <w:rFonts w:eastAsia="宋体"/>
      <w:kern w:val="2"/>
      <w:sz w:val="18"/>
      <w:szCs w:val="18"/>
      <w:lang w:val="en-US" w:eastAsia="zh-CN" w:bidi="ar-SA"/>
    </w:rPr>
  </w:style>
  <w:style w:type="character" w:customStyle="1" w:styleId="40">
    <w:name w:val="标题 3 字符"/>
    <w:basedOn w:val="21"/>
    <w:link w:val="4"/>
    <w:semiHidden/>
    <w:qFormat/>
    <w:uiPriority w:val="0"/>
    <w:rPr>
      <w:b/>
      <w:bCs/>
      <w:kern w:val="2"/>
      <w:sz w:val="32"/>
      <w:szCs w:val="32"/>
    </w:rPr>
  </w:style>
  <w:style w:type="character" w:customStyle="1" w:styleId="41">
    <w:name w:val="NormalCharacter"/>
    <w:semiHidden/>
    <w:qFormat/>
    <w:uiPriority w:val="0"/>
  </w:style>
  <w:style w:type="character" w:customStyle="1" w:styleId="42">
    <w:name w:val="UserStyle_0"/>
    <w:semiHidden/>
    <w:qFormat/>
    <w:uiPriority w:val="0"/>
    <w:rPr>
      <w:rFonts w:ascii="Calibri" w:hAnsi="Calibri" w:eastAsia="宋体"/>
      <w:kern w:val="2"/>
      <w:sz w:val="21"/>
      <w:szCs w:val="24"/>
      <w:lang w:val="en-US" w:eastAsia="zh-CN" w:bidi="ar-SA"/>
    </w:rPr>
  </w:style>
  <w:style w:type="character" w:customStyle="1" w:styleId="43">
    <w:name w:val="font91"/>
    <w:basedOn w:val="21"/>
    <w:qFormat/>
    <w:uiPriority w:val="0"/>
    <w:rPr>
      <w:rFonts w:ascii="宋体" w:hAnsi="宋体" w:eastAsia="宋体" w:cs="宋体"/>
      <w:color w:val="000000"/>
      <w:sz w:val="20"/>
      <w:szCs w:val="20"/>
      <w:u w:val="none"/>
    </w:rPr>
  </w:style>
  <w:style w:type="character" w:customStyle="1" w:styleId="44">
    <w:name w:val="font51"/>
    <w:basedOn w:val="21"/>
    <w:qFormat/>
    <w:uiPriority w:val="0"/>
    <w:rPr>
      <w:rFonts w:hint="eastAsia" w:ascii="宋体" w:hAnsi="宋体" w:eastAsia="宋体" w:cs="宋体"/>
      <w:color w:val="000000"/>
      <w:sz w:val="20"/>
      <w:szCs w:val="20"/>
      <w:u w:val="none"/>
    </w:rPr>
  </w:style>
  <w:style w:type="character" w:customStyle="1" w:styleId="45">
    <w:name w:val="font41"/>
    <w:basedOn w:val="21"/>
    <w:qFormat/>
    <w:uiPriority w:val="0"/>
    <w:rPr>
      <w:rFonts w:hint="eastAsia" w:ascii="宋体" w:hAnsi="宋体" w:eastAsia="宋体" w:cs="宋体"/>
      <w:color w:val="000000"/>
      <w:sz w:val="24"/>
      <w:szCs w:val="24"/>
      <w:u w:val="none"/>
    </w:rPr>
  </w:style>
  <w:style w:type="character" w:customStyle="1" w:styleId="46">
    <w:name w:val="font181"/>
    <w:basedOn w:val="21"/>
    <w:qFormat/>
    <w:uiPriority w:val="0"/>
    <w:rPr>
      <w:rFonts w:hint="eastAsia" w:ascii="宋体" w:hAnsi="宋体" w:eastAsia="宋体" w:cs="宋体"/>
      <w:color w:val="000000"/>
      <w:sz w:val="28"/>
      <w:szCs w:val="28"/>
      <w:u w:val="none"/>
    </w:rPr>
  </w:style>
  <w:style w:type="character" w:customStyle="1" w:styleId="47">
    <w:name w:val="font31"/>
    <w:basedOn w:val="21"/>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21</Pages>
  <Words>1573</Words>
  <Characters>8970</Characters>
  <Lines>74</Lines>
  <Paragraphs>21</Paragraphs>
  <TotalTime>5</TotalTime>
  <ScaleCrop>false</ScaleCrop>
  <LinksUpToDate>false</LinksUpToDate>
  <CharactersWithSpaces>10522</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包子李</cp:lastModifiedBy>
  <cp:lastPrinted>2019-03-28T00:30:00Z</cp:lastPrinted>
  <dcterms:modified xsi:type="dcterms:W3CDTF">2021-11-23T08:49:47Z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68CB9265982C4D138ED36F2570B256BD</vt:lpwstr>
  </property>
</Properties>
</file>