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兰州职业技术学院桃林校区图书楼509公共机房计算机升级及场地改</w:t>
      </w:r>
    </w:p>
    <w:p>
      <w:pPr>
        <w:ind w:firstLine="1920" w:firstLineChars="800"/>
        <w:jc w:val="left"/>
        <w:rPr>
          <w:sz w:val="24"/>
        </w:rPr>
      </w:pPr>
      <w:r>
        <w:rPr>
          <w:rFonts w:hint="eastAsia"/>
          <w:sz w:val="24"/>
        </w:rPr>
        <w:t>造项目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016</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采购时间：2021年6月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sz w:val="24"/>
        </w:rPr>
        <w:t>兰州职业技术学院桃林校区图书楼509公共机房计算机升级及场地改造</w:t>
      </w:r>
      <w:r>
        <w:rPr>
          <w:rFonts w:hint="eastAsia" w:ascii="宋体" w:hAnsi="宋体"/>
          <w:sz w:val="24"/>
        </w:rPr>
        <w:t>需要，现拟对</w:t>
      </w:r>
      <w:r>
        <w:rPr>
          <w:rFonts w:hint="eastAsia"/>
          <w:sz w:val="24"/>
        </w:rPr>
        <w:t>兰州职业技术学院桃林校区图书楼509公共机房计算机升级及场地改造项目</w:t>
      </w:r>
      <w:r>
        <w:rPr>
          <w:rFonts w:hint="eastAsia" w:ascii="宋体" w:hAnsi="宋体"/>
          <w:sz w:val="24"/>
        </w:rPr>
        <w:t>进行询价采购。欢迎满足资格要求的供应商前来参加，具体事宜公告如下：</w:t>
      </w:r>
    </w:p>
    <w:p>
      <w:pPr>
        <w:spacing w:line="360" w:lineRule="auto"/>
        <w:rPr>
          <w:rFonts w:ascii="宋体" w:hAnsi="宋体"/>
          <w:sz w:val="24"/>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016</w:t>
      </w:r>
      <w:r>
        <w:rPr>
          <w:rFonts w:ascii="宋体" w:hAnsi="宋体"/>
          <w:sz w:val="24"/>
        </w:rPr>
        <w:t xml:space="preserve"> </w:t>
      </w:r>
    </w:p>
    <w:p>
      <w:pPr>
        <w:spacing w:line="360" w:lineRule="auto"/>
        <w:rPr>
          <w:sz w:val="24"/>
        </w:rPr>
      </w:pPr>
      <w:r>
        <w:rPr>
          <w:rFonts w:hint="eastAsia" w:ascii="宋体" w:hAnsi="宋体"/>
          <w:sz w:val="24"/>
        </w:rPr>
        <w:t>二、采购项目名称：</w:t>
      </w:r>
      <w:r>
        <w:rPr>
          <w:rFonts w:hint="eastAsia"/>
          <w:sz w:val="24"/>
        </w:rPr>
        <w:t>兰州职业技术学院桃林校区图书楼509公共机房计算机升级及场地改</w:t>
      </w:r>
    </w:p>
    <w:p>
      <w:pPr>
        <w:spacing w:line="360" w:lineRule="auto"/>
        <w:ind w:firstLine="1920" w:firstLineChars="800"/>
        <w:rPr>
          <w:sz w:val="24"/>
        </w:rPr>
      </w:pPr>
      <w:r>
        <w:rPr>
          <w:rFonts w:hint="eastAsia"/>
          <w:sz w:val="24"/>
        </w:rPr>
        <w:t>造项目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w:t>
      </w:r>
      <w:r>
        <w:rPr>
          <w:rFonts w:hint="eastAsia"/>
          <w:sz w:val="24"/>
        </w:rPr>
        <w:t>兰州职业技术学院桃林校区图书楼509公共机房计算机升级及场地改造</w:t>
      </w:r>
    </w:p>
    <w:p>
      <w:pPr>
        <w:spacing w:line="360" w:lineRule="auto"/>
        <w:ind w:firstLine="240" w:firstLineChars="100"/>
        <w:rPr>
          <w:sz w:val="24"/>
        </w:rPr>
      </w:pPr>
      <w:r>
        <w:rPr>
          <w:rFonts w:hint="eastAsia"/>
          <w:sz w:val="24"/>
        </w:rPr>
        <w:t>总预算金额：60750元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2</w:t>
      </w:r>
      <w:r>
        <w:rPr>
          <w:rFonts w:hint="eastAsia" w:ascii="宋体" w:hAnsi="宋体"/>
          <w:sz w:val="24"/>
        </w:rPr>
        <w:t>日上午9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rPr>
        <w:t>6</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9700" w:type="dxa"/>
        <w:tblInd w:w="108" w:type="dxa"/>
        <w:tblLayout w:type="autofit"/>
        <w:tblCellMar>
          <w:top w:w="0" w:type="dxa"/>
          <w:left w:w="108" w:type="dxa"/>
          <w:bottom w:w="0" w:type="dxa"/>
          <w:right w:w="108" w:type="dxa"/>
        </w:tblCellMar>
      </w:tblPr>
      <w:tblGrid>
        <w:gridCol w:w="1052"/>
        <w:gridCol w:w="1070"/>
        <w:gridCol w:w="3508"/>
        <w:gridCol w:w="908"/>
        <w:gridCol w:w="944"/>
        <w:gridCol w:w="658"/>
        <w:gridCol w:w="658"/>
        <w:gridCol w:w="902"/>
      </w:tblGrid>
      <w:tr>
        <w:tblPrEx>
          <w:tblCellMar>
            <w:top w:w="0" w:type="dxa"/>
            <w:left w:w="108" w:type="dxa"/>
            <w:bottom w:w="0" w:type="dxa"/>
            <w:right w:w="108" w:type="dxa"/>
          </w:tblCellMar>
        </w:tblPrEx>
        <w:trPr>
          <w:trHeight w:val="465" w:hRule="atLeast"/>
        </w:trPr>
        <w:tc>
          <w:tcPr>
            <w:tcW w:w="9700" w:type="dxa"/>
            <w:gridSpan w:val="8"/>
            <w:tcBorders>
              <w:top w:val="nil"/>
              <w:left w:val="nil"/>
              <w:bottom w:val="single" w:color="auto" w:sz="4" w:space="0"/>
              <w:right w:val="nil"/>
            </w:tcBorders>
            <w:shd w:val="clear" w:color="auto" w:fill="auto"/>
            <w:noWrap/>
            <w:vAlign w:val="center"/>
          </w:tcPr>
          <w:p>
            <w:pPr>
              <w:widowControl/>
              <w:jc w:val="center"/>
              <w:rPr>
                <w:rFonts w:ascii="等线" w:hAnsi="等线" w:eastAsia="等线" w:cs="宋体"/>
                <w:b/>
                <w:bCs/>
                <w:color w:val="000000"/>
                <w:kern w:val="0"/>
                <w:sz w:val="36"/>
                <w:szCs w:val="36"/>
              </w:rPr>
            </w:pPr>
            <w:r>
              <w:rPr>
                <w:rFonts w:hint="eastAsia" w:ascii="等线" w:hAnsi="等线" w:eastAsia="等线" w:cs="宋体"/>
                <w:b/>
                <w:bCs/>
                <w:color w:val="000000"/>
                <w:kern w:val="0"/>
                <w:sz w:val="36"/>
                <w:szCs w:val="36"/>
              </w:rPr>
              <w:t>桃林校区图书楼509公共机房计算机升级及场地改造方案</w:t>
            </w:r>
          </w:p>
        </w:tc>
      </w:tr>
      <w:tr>
        <w:tblPrEx>
          <w:tblCellMar>
            <w:top w:w="0" w:type="dxa"/>
            <w:left w:w="108" w:type="dxa"/>
            <w:bottom w:w="0" w:type="dxa"/>
            <w:right w:w="108" w:type="dxa"/>
          </w:tblCellMar>
        </w:tblPrEx>
        <w:trPr>
          <w:trHeight w:val="420" w:hRule="atLeast"/>
        </w:trPr>
        <w:tc>
          <w:tcPr>
            <w:tcW w:w="1052" w:type="dxa"/>
            <w:tcBorders>
              <w:top w:val="nil"/>
              <w:left w:val="single" w:color="auto" w:sz="4" w:space="0"/>
              <w:bottom w:val="single" w:color="auto" w:sz="8"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项目模块</w:t>
            </w:r>
          </w:p>
        </w:tc>
        <w:tc>
          <w:tcPr>
            <w:tcW w:w="1070" w:type="dxa"/>
            <w:tcBorders>
              <w:top w:val="nil"/>
              <w:left w:val="nil"/>
              <w:bottom w:val="single" w:color="auto" w:sz="8"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具体内容</w:t>
            </w:r>
          </w:p>
        </w:tc>
        <w:tc>
          <w:tcPr>
            <w:tcW w:w="3508" w:type="dxa"/>
            <w:tcBorders>
              <w:top w:val="nil"/>
              <w:left w:val="nil"/>
              <w:bottom w:val="single" w:color="auto" w:sz="8"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规格参数及要求</w:t>
            </w:r>
          </w:p>
        </w:tc>
        <w:tc>
          <w:tcPr>
            <w:tcW w:w="908"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单位</w:t>
            </w:r>
          </w:p>
        </w:tc>
        <w:tc>
          <w:tcPr>
            <w:tcW w:w="944"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658"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单价</w:t>
            </w:r>
          </w:p>
        </w:tc>
        <w:tc>
          <w:tcPr>
            <w:tcW w:w="658"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小计</w:t>
            </w:r>
          </w:p>
        </w:tc>
        <w:tc>
          <w:tcPr>
            <w:tcW w:w="902" w:type="dxa"/>
            <w:tcBorders>
              <w:top w:val="nil"/>
              <w:left w:val="nil"/>
              <w:bottom w:val="single" w:color="auto" w:sz="8"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190" w:hRule="atLeast"/>
        </w:trPr>
        <w:tc>
          <w:tcPr>
            <w:tcW w:w="1052" w:type="dxa"/>
            <w:vMerge w:val="restart"/>
            <w:tcBorders>
              <w:top w:val="nil"/>
              <w:left w:val="single" w:color="auto" w:sz="4" w:space="0"/>
              <w:bottom w:val="nil"/>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PVC塑胶地板</w:t>
            </w:r>
          </w:p>
        </w:tc>
        <w:tc>
          <w:tcPr>
            <w:tcW w:w="1070" w:type="dxa"/>
            <w:tcBorders>
              <w:top w:val="nil"/>
              <w:left w:val="nil"/>
              <w:bottom w:val="nil"/>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PVC塑胶地板（含自流平）</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1. 原场地为圆形，半径约为6米。面积约113平方米。</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2.地面先做自流平，然后铺设2mm厚防滑耐磨PVC塑胶地板。</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★3. PVC塑胶地板材质采用同质透心无方向卷材地板，投标时提供样品。实际选用颜色由甲方根据产品色卡选定。</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★4. PVC塑胶地板甲醛释放量按国家标准达到E1级， 材料防火等级按国家标准达到B1级，投标时须提供相关检验报告复印件，并盖投标商鲜章。</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★5.所用水性塑料地板胶的甲醛、苯、甲苯+二甲苯及总挥发性有机物等符合GB 18583-2008K 中表2水基型（其他胶粘剂）的技术要求。投标时须提供相关权威机构检验报告复印件，并盖投标商鲜章。</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6. 地面自流平施工前要对场地地面进行全面清洁，不留死角，要处理好门口室内、室外平面高度差，适当进行地面处理。</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7. 自流平施工要全面覆盖地面边角，平面要平整。自流平的平整度应在2米直尺范围内高低落差小于3毫米；自流平的拉拔强度不小于1.0MPa</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8. 自流平施工完成后，应当由甲方进行本环节施工检查，施工地面基层必须清洁，持久干净，平整度高，且没有裂缝。通过后方可进行PVC塑胶地板铺设。</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9. PVC塑胶地板铺设过程施工人员要采取必要措施保持地面干净，保证地板可靠粘合。</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10.PVC塑胶地板粘接使用对人体无害的水溶性胶水进行施工。地板粘贴时用软木块从中间向两端挤压地板表面使之平整不留气泡，最彻底滚压平整。 施工中水性胶由接缝处挤压溢出时，应立即用湿布将粘在地板上的胶擦净，焊接后要把焊线铲平。</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11. 铺设后PVC塑胶地板不能有鼓包、塌陷、翘边等情况，地板拼接缝要牢固、平整、缝隙均匀。收边要平整、美观、耐用。</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12.要科学合理安排PVC塑胶地板拼接缝的位置，拼接缝位置要尽量避开人员走动密集区域。</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★13.投标商要具有PVC塑胶地板施工经验，提供不少于2个相关项目中标案例。</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113</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417" w:hRule="atLeast"/>
        </w:trPr>
        <w:tc>
          <w:tcPr>
            <w:tcW w:w="1052" w:type="dxa"/>
            <w:vMerge w:val="continue"/>
            <w:tcBorders>
              <w:top w:val="nil"/>
              <w:left w:val="single" w:color="auto" w:sz="4" w:space="0"/>
              <w:bottom w:val="nil"/>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门口及四周收边</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1.收边压条要结实耐用、耐磨，颜色由甲方选定。</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2.收边压条要贴合到位，规范收口。</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3.门口的收边要处理好室内、室外平面高度差，避免出现明显高度差，导致收边条易被踢掉，翘起等。</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4.门框与门口收条压条的间隙不小于10mm。</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米</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45</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750" w:hRule="atLeast"/>
        </w:trPr>
        <w:tc>
          <w:tcPr>
            <w:tcW w:w="10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计算机维修升级</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内存升级</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DDR3  2G 1066MHz，双面（2Rx8），须保证与原机房计算机主板兼容并能同时启用主板原有两个内存插槽。</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条</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9</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rPr>
          <w:trHeight w:val="4950" w:hRule="atLeast"/>
        </w:trPr>
        <w:tc>
          <w:tcPr>
            <w:tcW w:w="10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键盘鼠标更换</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一、键盘</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键盘接口： PS/2</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键盘按键数： 104键</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按键技术 ：火山口架构</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按键行程 ：长</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人体工学 ：支持</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防水功能： 支持</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键盘类别： 有线</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二、鼠标</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鼠标类型： 有线光电</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鼠标分辨率 ：1000dpi</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鼠标接口： USB或PS/2</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鼠标大小： 普通鼠</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人体工学 ：对称设计</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按键数： 3个</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滚轮方向： 双向滚轮</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鼠标尺寸： 104×58×36mm</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套</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1260" w:hRule="atLeast"/>
        </w:trPr>
        <w:tc>
          <w:tcPr>
            <w:tcW w:w="10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固态硬盘</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主流品牌，容量不小于128G，SATA接口，读取速度不小于500MB/s，写入速度不小于400MB/s,带安装用镙丝。能与原机房电脑主板及还原卡匹配,保证还原卡系统正常工作。</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块</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49</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4410" w:hRule="atLeast"/>
        </w:trPr>
        <w:tc>
          <w:tcPr>
            <w:tcW w:w="10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显示器、主机、还原卡等维修</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1.维修主机：修复还原卡、主板刷BIOS、更换电池。</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2.主机箱除尘，专业清洁剂清洁显示器、主机机箱。</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3.安装内存、固态硬盘。</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4.在固态硬盘上安装原还原卡保护系统，确保原方正还原卡能正常使用。</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4.操作系统及应用软件安装、正版激活、优化。</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5.安装、调试电子教室软件。</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6.检查显示器。</w:t>
            </w:r>
          </w:p>
        </w:tc>
        <w:tc>
          <w:tcPr>
            <w:tcW w:w="908"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项</w:t>
            </w:r>
          </w:p>
        </w:tc>
        <w:tc>
          <w:tcPr>
            <w:tcW w:w="944"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1080" w:hRule="atLeast"/>
        </w:trPr>
        <w:tc>
          <w:tcPr>
            <w:tcW w:w="10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门及电脑桌维修</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门及电脑桌维修</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 对场地琉璃门玻璃门地弹簧更换维修（一对）。</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2.修抽屉轨道、托盘、桌板封边条等。轨道20套，桌板封边条25根，托盘20套</w:t>
            </w:r>
          </w:p>
        </w:tc>
        <w:tc>
          <w:tcPr>
            <w:tcW w:w="908"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项</w:t>
            </w:r>
          </w:p>
        </w:tc>
        <w:tc>
          <w:tcPr>
            <w:tcW w:w="944"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4095" w:hRule="atLeast"/>
        </w:trPr>
        <w:tc>
          <w:tcPr>
            <w:tcW w:w="10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监控</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网络监控球机</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 摄像头规格参数：</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传感器类型: 1/2.7＂progressive scan CMOS</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最低照度: 彩色：0.05 Lux @（F1.8，AGC ON）；黑白：0.005 Lux @（F1.8，AGC ON）；0 Lux with IR</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xml:space="preserve">★焦距: 2.8~12 mm，不少于4倍光学变倍；视场角不小于100°~25°（广角~望远） </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xml:space="preserve">水平范围: 水平不小于350°；垂直范围: 垂直不小于0°~90° </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水平速度: 水平键控速度：0.1°~60°/s，速度可设；水平预置点速度：60°/s</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xml:space="preserve">垂直速度: 垂直键控速度：0.1°~50°/s，速度可设；垂直预置点速度：50°/s </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xml:space="preserve">主码流帧率分辨率: 50 Hz：25 fps（1920 × 1080）;60 Hz：30 fps（1920 × 1080） </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★视频压缩标准: H.265，H.264，MJPEG</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★网络接口: RJ45网口，自适应10 M/100 M网络数据 ，支持POE供电</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报警输入: 1路报警输入报警输出: 1路报警输出</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★音频输入: 内置麦克风，1路音频输入；音频输出: 内置扬声器，1路音频输出</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红外照射距离: 30 m</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 xml:space="preserve">供电方式: DC12 V，PoE+（802.3at）；工作温湿度: -10 ℃~50 ℃； </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★视频输出支持1920×1080@30fps，1280×720@30fps。</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信噪比≥52dB，网络延时不大于110ms</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★具备较强的网络自适应能力，在丢包率为10%的网络环境下，仍可正常显示监视画面。</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★支持三码流同时输出，支持码流平滑设置</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支持48kHz音频采样率</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支持区域入侵、越界入侵、徘徊、物品遗留、物品拿取、人员聚集、快速移动、进入区域、离开区域、人脸侦测，并联动报警。</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支持音频异常侦测，具有音频陡升检测、音频陡降检测、音频输入异常检测。</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2.要求：配POE合成器，网线从机房交换机柜引出，安装并接入到已有的网络硬盘录像机。</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3.调整原有摄像头角度，理顺线路。</w:t>
            </w:r>
          </w:p>
        </w:tc>
        <w:tc>
          <w:tcPr>
            <w:tcW w:w="908"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个</w:t>
            </w:r>
          </w:p>
        </w:tc>
        <w:tc>
          <w:tcPr>
            <w:tcW w:w="944"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2267" w:hRule="atLeast"/>
        </w:trPr>
        <w:tc>
          <w:tcPr>
            <w:tcW w:w="10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垃圾拆除清运</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拆除、清理地面、工程垃圾</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主要包括原废地板、布线拆除；清理、净化地面；搬运垃圾；搬运桌子搞卫生；工程后期保洁等。</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项</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4809" w:hRule="atLeast"/>
        </w:trPr>
        <w:tc>
          <w:tcPr>
            <w:tcW w:w="105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综合布线</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六类非屏蔽双绞线</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1.符合UL94V-0等级；符合TIA/EIA 568B、EN50173-1和ISO 11801：2002；线规为23AWG；</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★2.线材为23AWG无氧铜，八芯双绞，线缆内部带十字线芯；</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★3.传输频率不低于250MHz；网线芯径0.57±0.01mm；最大导体直流电阻不大于7.32Ω/100米(23AWG)，传输速度1000Mbps</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4.包装要求：305米的彩盒包装或100米的塑封包装</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★5.投标时须提供样品，并附该品牌该线材相关技术文档。</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注：星号项为关键参数，不满足将视为不响应</w:t>
            </w:r>
          </w:p>
        </w:tc>
        <w:tc>
          <w:tcPr>
            <w:tcW w:w="908"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箱</w:t>
            </w:r>
            <w:r>
              <w:rPr>
                <w:rFonts w:hint="eastAsia" w:ascii="等线" w:hAnsi="等线" w:eastAsia="等线" w:cs="宋体"/>
                <w:color w:val="000000"/>
                <w:kern w:val="0"/>
                <w:sz w:val="22"/>
                <w:szCs w:val="22"/>
              </w:rPr>
              <w:br w:type="page"/>
            </w:r>
            <w:r>
              <w:rPr>
                <w:rFonts w:hint="eastAsia" w:ascii="等线" w:hAnsi="等线" w:eastAsia="等线" w:cs="宋体"/>
                <w:color w:val="000000"/>
                <w:kern w:val="0"/>
                <w:sz w:val="22"/>
                <w:szCs w:val="22"/>
              </w:rPr>
              <w:t>（305米）</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3</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rPr>
          <w:trHeight w:val="1265" w:hRule="atLeast"/>
        </w:trPr>
        <w:tc>
          <w:tcPr>
            <w:tcW w:w="1052" w:type="dxa"/>
            <w:vMerge w:val="continue"/>
            <w:tcBorders>
              <w:top w:val="nil"/>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六类水晶头</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六类水晶头，符合ISO/IEC 11801标准，压接触片为铜质，压接触点有三个齿。</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盒</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2</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700" w:hRule="atLeast"/>
        </w:trPr>
        <w:tc>
          <w:tcPr>
            <w:tcW w:w="1052" w:type="dxa"/>
            <w:vMerge w:val="continue"/>
            <w:tcBorders>
              <w:top w:val="nil"/>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电源线</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国标，（6²）</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米</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150</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888" w:hRule="atLeast"/>
        </w:trPr>
        <w:tc>
          <w:tcPr>
            <w:tcW w:w="1052" w:type="dxa"/>
            <w:vMerge w:val="continue"/>
            <w:tcBorders>
              <w:top w:val="nil"/>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钢制U型槽</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国标，厚度≥1.5mm，根据现场需求定制尺寸</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米</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20</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1118" w:hRule="atLeast"/>
        </w:trPr>
        <w:tc>
          <w:tcPr>
            <w:tcW w:w="1052" w:type="dxa"/>
            <w:vMerge w:val="continue"/>
            <w:tcBorders>
              <w:top w:val="nil"/>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PVC线槽</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国标，阻燃材料，厚度≥0.8mm，根据现场需求定制尺寸</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米</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40</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rPr>
          <w:trHeight w:val="6790" w:hRule="atLeast"/>
        </w:trPr>
        <w:tc>
          <w:tcPr>
            <w:tcW w:w="1052" w:type="dxa"/>
            <w:vMerge w:val="continue"/>
            <w:tcBorders>
              <w:top w:val="nil"/>
              <w:left w:val="single" w:color="auto" w:sz="4" w:space="0"/>
              <w:bottom w:val="single" w:color="000000" w:sz="4" w:space="0"/>
              <w:right w:val="single" w:color="auto" w:sz="4" w:space="0"/>
            </w:tcBorders>
            <w:vAlign w:val="center"/>
          </w:tcPr>
          <w:p>
            <w:pPr>
              <w:widowControl/>
              <w:jc w:val="left"/>
              <w:rPr>
                <w:rFonts w:ascii="等线" w:hAnsi="等线" w:eastAsia="等线" w:cs="宋体"/>
                <w:color w:val="000000"/>
                <w:kern w:val="0"/>
                <w:sz w:val="22"/>
                <w:szCs w:val="22"/>
              </w:rPr>
            </w:pP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施工及辅料</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主要包括：</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1.新壁挂交换机柜安装（由甲方提供）</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2.强弱电暗埋开槽、铺设，</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3.桌后安装线槽，桌后做隔档防止电脑后移，敷设电缆及网线、插座利旧等，地面之上强弱电分离。</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4.网线按568B线序压水晶头，每根网线两端按机位序号装编号套。</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5.在线槽、PVC管两端等部位做防鼠咬处理。</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6.电脑端的网线要与桌子的主机位对齐，长度不能太短，要便于主机箱拉出。</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7.插座要固定于桌子的指定位置，插口太松的要进行维修。</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8.综合布线所有施工及辅料（扎带、防水胶布、胀管、螺钉等）。</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9.布线完成后桌子、计算机归位及线路连接等。</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项</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1840" w:hRule="atLeast"/>
        </w:trPr>
        <w:tc>
          <w:tcPr>
            <w:tcW w:w="105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备注</w:t>
            </w:r>
          </w:p>
        </w:tc>
        <w:tc>
          <w:tcPr>
            <w:tcW w:w="1070" w:type="dxa"/>
            <w:tcBorders>
              <w:top w:val="nil"/>
              <w:left w:val="nil"/>
              <w:bottom w:val="single" w:color="auto" w:sz="4" w:space="0"/>
              <w:right w:val="single" w:color="auto" w:sz="4" w:space="0"/>
            </w:tcBorders>
            <w:shd w:val="clear" w:color="auto" w:fill="auto"/>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3508" w:type="dxa"/>
            <w:tcBorders>
              <w:top w:val="nil"/>
              <w:left w:val="nil"/>
              <w:bottom w:val="single" w:color="auto" w:sz="4" w:space="0"/>
              <w:right w:val="single" w:color="auto" w:sz="4" w:space="0"/>
            </w:tcBorders>
            <w:shd w:val="clear" w:color="auto" w:fill="auto"/>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1.星号项为关键参数，不满足将视为不响应</w:t>
            </w:r>
            <w:r>
              <w:rPr>
                <w:rFonts w:hint="eastAsia" w:ascii="等线" w:hAnsi="等线" w:eastAsia="等线" w:cs="宋体"/>
                <w:color w:val="000000"/>
                <w:kern w:val="0"/>
                <w:sz w:val="22"/>
                <w:szCs w:val="22"/>
              </w:rPr>
              <w:br w:type="textWrapping"/>
            </w:r>
            <w:r>
              <w:rPr>
                <w:rFonts w:hint="eastAsia" w:ascii="等线" w:hAnsi="等线" w:eastAsia="等线" w:cs="宋体"/>
                <w:color w:val="000000"/>
                <w:kern w:val="0"/>
                <w:sz w:val="22"/>
                <w:szCs w:val="22"/>
              </w:rPr>
              <w:t>2.以上所有货物及服务的报价均应包含调试安装、售后及税金。</w:t>
            </w:r>
          </w:p>
        </w:tc>
        <w:tc>
          <w:tcPr>
            <w:tcW w:w="90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4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65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0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bl>
    <w:p>
      <w:pPr>
        <w:rPr>
          <w:rFonts w:hint="eastAsia"/>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供应商须按清单中的要求为本项目货物提供至少二年的免费原厂质量保证服务，终身免费技术咨询，质量保证期时间自产品最终验收合格双方签字并交付使用之日算起。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2、中标单位样品将进行留存并在实际交货时需对照，如出现样品跟实际供货不一样将取消中标资格，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1．合同签订后，供应商应在接到采购人通知7</w:t>
      </w:r>
      <w:r>
        <w:rPr>
          <w:rFonts w:hint="eastAsia" w:ascii="宋体" w:hAnsi="宋体"/>
          <w:b/>
          <w:bCs/>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bookmarkStart w:id="14" w:name="_GoBack"/>
      <w:bookmarkEnd w:id="14"/>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94609003"/>
      <w:bookmarkStart w:id="10" w:name="_Toc327371177"/>
      <w:bookmarkStart w:id="11" w:name="_Toc238276242"/>
      <w:bookmarkStart w:id="12" w:name="_Toc265109445"/>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22E13702"/>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uiPriority w:val="0"/>
    <w:rPr>
      <w:rFonts w:ascii="宋体" w:hAnsi="宋体" w:eastAsia="宋体" w:cs="宋体"/>
      <w:color w:val="000000"/>
      <w:sz w:val="20"/>
      <w:szCs w:val="20"/>
      <w:u w:val="none"/>
    </w:rPr>
  </w:style>
  <w:style w:type="character" w:customStyle="1" w:styleId="44">
    <w:name w:val="font51"/>
    <w:basedOn w:val="21"/>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56</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2021-06-23T06:43:21Z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F01627DBE78145C2913C39CF1E07F48D</vt:lpwstr>
  </property>
</Properties>
</file>