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sz w:val="24"/>
        </w:rPr>
      </w:pPr>
      <w:r>
        <w:rPr>
          <w:rFonts w:hint="eastAsia"/>
          <w:sz w:val="28"/>
          <w:szCs w:val="28"/>
        </w:rPr>
        <w:t>项目名称：兰州职业技术学院数字化设计与智能制造应用研究中心项目</w:t>
      </w:r>
      <w:r>
        <w:rPr>
          <w:rFonts w:hint="eastAsia"/>
          <w:sz w:val="24"/>
        </w:rPr>
        <w:t xml:space="preserve"> </w:t>
      </w:r>
    </w:p>
    <w:p>
      <w:pPr>
        <w:ind w:firstLine="560" w:firstLineChars="200"/>
        <w:jc w:val="left"/>
        <w:rPr>
          <w:rFonts w:hint="eastAsia" w:eastAsia="宋体"/>
          <w:sz w:val="28"/>
          <w:szCs w:val="28"/>
          <w:lang w:val="en-US" w:eastAsia="zh-CN"/>
        </w:rPr>
      </w:pPr>
      <w:r>
        <w:rPr>
          <w:rFonts w:hint="eastAsia"/>
          <w:sz w:val="28"/>
          <w:szCs w:val="28"/>
        </w:rPr>
        <w:t>项目编号：</w:t>
      </w:r>
      <w:r>
        <w:rPr>
          <w:sz w:val="28"/>
          <w:szCs w:val="28"/>
        </w:rPr>
        <w:t>LZXJ—202201</w:t>
      </w:r>
      <w:r>
        <w:rPr>
          <w:rFonts w:hint="eastAsia"/>
          <w:sz w:val="28"/>
          <w:szCs w:val="28"/>
          <w:lang w:val="en-US" w:eastAsia="zh-CN"/>
        </w:rPr>
        <w:t>7</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w:t>
      </w:r>
      <w:r>
        <w:rPr>
          <w:sz w:val="28"/>
          <w:szCs w:val="28"/>
        </w:rPr>
        <w:t>022</w:t>
      </w:r>
      <w:r>
        <w:rPr>
          <w:rFonts w:hint="eastAsia"/>
          <w:sz w:val="28"/>
          <w:szCs w:val="28"/>
        </w:rPr>
        <w:t>年</w:t>
      </w:r>
      <w:r>
        <w:rPr>
          <w:rFonts w:hint="eastAsia"/>
          <w:sz w:val="28"/>
          <w:szCs w:val="28"/>
          <w:lang w:val="en-US" w:eastAsia="zh-CN"/>
        </w:rPr>
        <w:t>7</w:t>
      </w:r>
      <w:r>
        <w:rPr>
          <w:rFonts w:hint="eastAsia"/>
          <w:sz w:val="28"/>
          <w:szCs w:val="28"/>
        </w:rPr>
        <w:t>月</w:t>
      </w:r>
      <w:r>
        <w:rPr>
          <w:rFonts w:hint="eastAsia"/>
          <w:sz w:val="28"/>
          <w:szCs w:val="28"/>
          <w:lang w:val="en-US" w:eastAsia="zh-CN"/>
        </w:rPr>
        <w:t>5</w:t>
      </w:r>
      <w:r>
        <w:rPr>
          <w:rFonts w:hint="eastAsia"/>
          <w:sz w:val="28"/>
          <w:szCs w:val="28"/>
        </w:rPr>
        <w:t>日</w:t>
      </w:r>
    </w:p>
    <w:p>
      <w:pPr>
        <w:jc w:val="center"/>
        <w:rPr>
          <w:color w:val="FF0000"/>
          <w:sz w:val="28"/>
          <w:szCs w:val="28"/>
        </w:rPr>
      </w:pPr>
    </w:p>
    <w:p>
      <w:pP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202</w:t>
      </w:r>
      <w:r>
        <w:rPr>
          <w:rFonts w:ascii="宋体" w:hAnsi="宋体"/>
          <w:sz w:val="28"/>
          <w:szCs w:val="28"/>
        </w:rPr>
        <w:t>2</w:t>
      </w:r>
      <w:r>
        <w:rPr>
          <w:rFonts w:hint="eastAsia" w:ascii="宋体" w:hAnsi="宋体"/>
          <w:sz w:val="28"/>
          <w:szCs w:val="28"/>
        </w:rPr>
        <w:t xml:space="preserve">年 </w:t>
      </w:r>
      <w:r>
        <w:rPr>
          <w:rFonts w:hint="eastAsia" w:ascii="宋体" w:hAnsi="宋体"/>
          <w:sz w:val="28"/>
          <w:szCs w:val="28"/>
          <w:lang w:val="en-US" w:eastAsia="zh-CN"/>
        </w:rPr>
        <w:t>7</w:t>
      </w:r>
      <w:r>
        <w:rPr>
          <w:rFonts w:hint="eastAsia" w:ascii="宋体" w:hAnsi="宋体"/>
          <w:sz w:val="28"/>
          <w:szCs w:val="28"/>
        </w:rPr>
        <w:t>月</w:t>
      </w:r>
    </w:p>
    <w:p>
      <w:pPr>
        <w:pStyle w:val="2"/>
        <w:spacing w:before="0"/>
        <w:jc w:val="center"/>
        <w:rPr>
          <w:rFonts w:ascii="宋体" w:hAnsi="宋体"/>
        </w:rPr>
        <w:sectPr>
          <w:pgSz w:w="11907" w:h="16840"/>
          <w:pgMar w:top="1418" w:right="992"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spacing w:line="360" w:lineRule="auto"/>
        <w:ind w:firstLine="480" w:firstLineChars="200"/>
        <w:rPr>
          <w:rFonts w:hint="eastAsia" w:ascii="宋体" w:hAnsi="宋体"/>
          <w:sz w:val="24"/>
        </w:rPr>
      </w:pPr>
      <w:r>
        <w:rPr>
          <w:rFonts w:hint="eastAsia" w:ascii="宋体" w:hAnsi="宋体"/>
          <w:sz w:val="24"/>
        </w:rPr>
        <w:t>根据兰州职业技术学院数字化设计与智能制造应用研究中心项</w:t>
      </w:r>
      <w:r>
        <w:rPr>
          <w:rFonts w:hint="eastAsia" w:ascii="宋体" w:hAnsi="宋体"/>
          <w:sz w:val="24"/>
        </w:rPr>
        <w:t>需要，现拟对兰州职业技术学院数字化设计与智能制造应用研究中心项目进行询价采购。欢迎满足资格要求的供应商前来参加，具体事宜公告如下：</w:t>
      </w:r>
    </w:p>
    <w:p>
      <w:pPr>
        <w:spacing w:line="360" w:lineRule="auto"/>
        <w:rPr>
          <w:rFonts w:hint="eastAsia" w:ascii="宋体" w:hAnsi="宋体"/>
          <w:sz w:val="24"/>
          <w:lang w:val="en-US" w:eastAsia="zh-CN"/>
        </w:rPr>
      </w:pPr>
      <w:r>
        <w:rPr>
          <w:rFonts w:hint="eastAsia" w:ascii="宋体" w:hAnsi="宋体"/>
          <w:sz w:val="24"/>
        </w:rPr>
        <w:t>一、采购项目编号：LZXJ—202201</w:t>
      </w:r>
      <w:r>
        <w:rPr>
          <w:rFonts w:hint="eastAsia" w:ascii="宋体" w:hAnsi="宋体"/>
          <w:sz w:val="24"/>
          <w:lang w:val="en-US" w:eastAsia="zh-CN"/>
        </w:rPr>
        <w:t>7</w:t>
      </w:r>
    </w:p>
    <w:p>
      <w:pPr>
        <w:spacing w:line="360" w:lineRule="auto"/>
        <w:rPr>
          <w:rFonts w:hint="eastAsia" w:ascii="宋体" w:hAnsi="宋体"/>
          <w:sz w:val="24"/>
        </w:rPr>
      </w:pPr>
      <w:r>
        <w:rPr>
          <w:rFonts w:hint="eastAsia" w:ascii="宋体" w:hAnsi="宋体"/>
          <w:sz w:val="24"/>
        </w:rPr>
        <w:t xml:space="preserve">二、采购项目名称：兰州职业技术学院数字化设计与智能制造应用研究中心项目 </w:t>
      </w:r>
    </w:p>
    <w:p>
      <w:pPr>
        <w:spacing w:line="360" w:lineRule="auto"/>
        <w:rPr>
          <w:rFonts w:hint="eastAsia"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spacing w:line="360" w:lineRule="auto"/>
        <w:rPr>
          <w:rFonts w:ascii="宋体" w:hAnsi="宋体"/>
          <w:sz w:val="24"/>
        </w:rPr>
      </w:pPr>
      <w:r>
        <w:rPr>
          <w:rFonts w:hint="eastAsia" w:ascii="宋体" w:hAnsi="宋体"/>
          <w:sz w:val="24"/>
        </w:rPr>
        <w:t xml:space="preserve">   1.</w:t>
      </w:r>
      <w:r>
        <w:rPr>
          <w:rFonts w:hint="eastAsia"/>
        </w:rPr>
        <w:t xml:space="preserve"> </w:t>
      </w:r>
      <w:r>
        <w:rPr>
          <w:rFonts w:hint="eastAsia" w:ascii="宋体" w:hAnsi="宋体"/>
          <w:sz w:val="24"/>
        </w:rPr>
        <w:t>兰州职业技术学院数字化设计与智能制造应用研究中心项目</w:t>
      </w:r>
    </w:p>
    <w:p>
      <w:pPr>
        <w:spacing w:line="360" w:lineRule="auto"/>
        <w:rPr>
          <w:rFonts w:ascii="宋体" w:hAnsi="宋体"/>
          <w:sz w:val="24"/>
        </w:rPr>
      </w:pPr>
      <w:r>
        <w:rPr>
          <w:rFonts w:hint="eastAsia" w:ascii="宋体" w:hAnsi="宋体"/>
          <w:sz w:val="24"/>
        </w:rPr>
        <w:t xml:space="preserve">   2.预算金额：</w:t>
      </w:r>
      <w:r>
        <w:rPr>
          <w:rFonts w:hint="eastAsia" w:ascii="宋体" w:hAnsi="宋体"/>
          <w:sz w:val="24"/>
          <w:lang w:val="en-US" w:eastAsia="zh-CN"/>
        </w:rPr>
        <w:t>92000</w:t>
      </w:r>
      <w:r>
        <w:rPr>
          <w:rFonts w:hint="eastAsia" w:ascii="宋体" w:hAnsi="宋体"/>
          <w:sz w:val="24"/>
        </w:rPr>
        <w:t>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ascii="宋体" w:hAnsi="宋体" w:cs="宋体"/>
          <w:kern w:val="0"/>
          <w:sz w:val="24"/>
        </w:rPr>
        <w:t>3.</w:t>
      </w:r>
      <w:r>
        <w:rPr>
          <w:rFonts w:hint="eastAsia" w:ascii="宋体" w:hAnsi="宋体"/>
          <w:sz w:val="24"/>
        </w:rPr>
        <w:t>供应商</w:t>
      </w:r>
      <w:r>
        <w:rPr>
          <w:rFonts w:hint="eastAsia" w:ascii="宋体" w:hAnsi="宋体" w:cs="宋体"/>
          <w:kern w:val="0"/>
          <w:sz w:val="24"/>
        </w:rPr>
        <w:t>须提供营业执照副本（复印件）</w:t>
      </w:r>
      <w:r>
        <w:rPr>
          <w:rFonts w:hint="eastAsia" w:ascii="宋体" w:hAnsi="宋体"/>
          <w:sz w:val="24"/>
        </w:rPr>
        <w:t>；</w:t>
      </w:r>
    </w:p>
    <w:p>
      <w:pPr>
        <w:spacing w:line="360" w:lineRule="exact"/>
        <w:ind w:firstLine="480" w:firstLineChars="200"/>
        <w:rPr>
          <w:rFonts w:ascii="宋体" w:hAnsi="宋体" w:cs="宋体"/>
          <w:kern w:val="0"/>
          <w:sz w:val="24"/>
        </w:rPr>
      </w:pPr>
      <w:r>
        <w:rPr>
          <w:rFonts w:ascii="宋体" w:hAnsi="宋体" w:cs="宋体"/>
          <w:kern w:val="0"/>
          <w:sz w:val="24"/>
        </w:rPr>
        <w:t>4</w:t>
      </w:r>
      <w:r>
        <w:rPr>
          <w:rFonts w:hint="eastAsia" w:ascii="宋体" w:hAnsi="宋体" w:cs="宋体"/>
          <w:kern w:val="0"/>
          <w:sz w:val="24"/>
        </w:rPr>
        <w:t>.法人代表身份证（正、反面复印件）；</w:t>
      </w:r>
    </w:p>
    <w:p>
      <w:pPr>
        <w:spacing w:line="360" w:lineRule="exact"/>
        <w:ind w:firstLine="480" w:firstLineChars="200"/>
        <w:rPr>
          <w:rFonts w:ascii="宋体" w:hAnsi="宋体" w:cs="宋体"/>
          <w:kern w:val="0"/>
          <w:sz w:val="24"/>
        </w:rPr>
      </w:pPr>
      <w:r>
        <w:rPr>
          <w:rFonts w:ascii="宋体" w:hAnsi="宋体" w:cs="宋体"/>
          <w:kern w:val="0"/>
          <w:sz w:val="24"/>
        </w:rPr>
        <w:t>5</w:t>
      </w:r>
      <w:r>
        <w:rPr>
          <w:rFonts w:hint="eastAsia" w:ascii="宋体" w:hAnsi="宋体" w:cs="宋体"/>
          <w:kern w:val="0"/>
          <w:sz w:val="24"/>
        </w:rPr>
        <w:t>.法人授权函（原件）及被授权人身份证（正、反面复印件）；</w:t>
      </w:r>
    </w:p>
    <w:p>
      <w:pPr>
        <w:spacing w:line="360" w:lineRule="exact"/>
        <w:ind w:firstLine="480" w:firstLineChars="200"/>
        <w:rPr>
          <w:rFonts w:ascii="宋体" w:hAnsi="宋体" w:cs="宋体"/>
          <w:kern w:val="0"/>
          <w:sz w:val="24"/>
        </w:rPr>
      </w:pPr>
      <w:r>
        <w:rPr>
          <w:rFonts w:ascii="宋体" w:hAnsi="宋体" w:cs="宋体"/>
          <w:kern w:val="0"/>
          <w:sz w:val="24"/>
        </w:rPr>
        <w:t>6</w:t>
      </w:r>
      <w:r>
        <w:rPr>
          <w:rFonts w:hint="eastAsia" w:ascii="宋体" w:hAnsi="宋体" w:cs="宋体"/>
          <w:kern w:val="0"/>
          <w:sz w:val="24"/>
        </w:rPr>
        <w:t>.</w:t>
      </w:r>
      <w:r>
        <w:rPr>
          <w:rFonts w:ascii="宋体" w:hAnsi="宋体" w:cs="宋体"/>
          <w:kern w:val="0"/>
          <w:sz w:val="24"/>
        </w:rPr>
        <w:t>2020</w:t>
      </w:r>
      <w:r>
        <w:rPr>
          <w:rFonts w:hint="eastAsia" w:ascii="宋体" w:hAnsi="宋体" w:cs="宋体"/>
          <w:kern w:val="0"/>
          <w:sz w:val="24"/>
        </w:rPr>
        <w:t>年度以来最新的经权威机构审计的完整的财务报告（复印件）（不满一年的新公司不提供该报告）；</w:t>
      </w:r>
    </w:p>
    <w:p>
      <w:pPr>
        <w:spacing w:line="360" w:lineRule="exact"/>
        <w:ind w:firstLine="480" w:firstLineChars="200"/>
        <w:rPr>
          <w:rFonts w:ascii="宋体" w:hAnsi="宋体" w:cs="宋体"/>
          <w:kern w:val="0"/>
          <w:sz w:val="24"/>
        </w:rPr>
      </w:pPr>
      <w:r>
        <w:rPr>
          <w:rFonts w:ascii="宋体" w:hAnsi="宋体" w:cs="宋体"/>
          <w:kern w:val="0"/>
          <w:sz w:val="24"/>
          <w:lang w:bidi="ar"/>
        </w:rPr>
        <w:t>7</w:t>
      </w:r>
      <w:r>
        <w:rPr>
          <w:rFonts w:hint="eastAsia" w:ascii="宋体" w:hAnsi="宋体" w:cs="宋体"/>
          <w:kern w:val="0"/>
          <w:sz w:val="24"/>
          <w:lang w:bidi="ar"/>
        </w:rPr>
        <w:t>.</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spacing w:line="360" w:lineRule="auto"/>
        <w:ind w:firstLine="480" w:firstLineChars="200"/>
        <w:rPr>
          <w:rFonts w:ascii="宋体" w:hAnsi="宋体" w:cs="宋体"/>
          <w:kern w:val="0"/>
          <w:sz w:val="24"/>
        </w:rPr>
      </w:pPr>
      <w:r>
        <w:rPr>
          <w:rFonts w:ascii="宋体" w:hAnsi="宋体"/>
          <w:sz w:val="24"/>
        </w:rPr>
        <w:t>8.</w:t>
      </w: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lang w:val="en-US" w:eastAsia="zh-CN"/>
        </w:rPr>
        <w:t>9</w:t>
      </w:r>
      <w:r>
        <w:rPr>
          <w:rFonts w:hint="eastAsia" w:ascii="宋体" w:hAnsi="宋体" w:cs="宋体"/>
          <w:kern w:val="0"/>
          <w:sz w:val="24"/>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0</w:t>
      </w:r>
      <w:r>
        <w:rPr>
          <w:rFonts w:hint="eastAsia" w:ascii="宋体" w:hAnsi="宋体"/>
          <w:sz w:val="24"/>
        </w:rPr>
        <w:t>.本项目不接受联合体竞价。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80" w:firstLineChars="200"/>
        <w:rPr>
          <w:rFonts w:ascii="宋体" w:hAnsi="宋体" w:cs="宋体"/>
          <w:sz w:val="24"/>
        </w:rPr>
      </w:pPr>
      <w:r>
        <w:rPr>
          <w:rFonts w:hint="eastAsia" w:ascii="宋体" w:hAnsi="宋体" w:cs="宋体"/>
          <w:sz w:val="24"/>
        </w:rPr>
        <w:t>响应文件递交时间：</w:t>
      </w:r>
      <w:r>
        <w:rPr>
          <w:rFonts w:ascii="宋体" w:hAnsi="宋体" w:cs="宋体"/>
          <w:sz w:val="24"/>
        </w:rPr>
        <w:t>2022</w:t>
      </w:r>
      <w:r>
        <w:rPr>
          <w:rFonts w:hint="eastAsia" w:ascii="宋体" w:hAnsi="宋体" w:cs="宋体"/>
          <w:sz w:val="24"/>
        </w:rPr>
        <w:t>年</w:t>
      </w:r>
      <w:r>
        <w:rPr>
          <w:rFonts w:ascii="宋体" w:hAnsi="宋体" w:cs="宋体"/>
          <w:sz w:val="24"/>
        </w:rPr>
        <w:t>7</w:t>
      </w:r>
      <w:r>
        <w:rPr>
          <w:rFonts w:hint="eastAsia" w:ascii="宋体" w:hAnsi="宋体" w:cs="宋体"/>
          <w:sz w:val="24"/>
        </w:rPr>
        <w:t>月</w:t>
      </w:r>
      <w:r>
        <w:rPr>
          <w:rFonts w:hint="eastAsia" w:ascii="宋体" w:hAnsi="宋体" w:cs="宋体"/>
          <w:sz w:val="24"/>
          <w:lang w:val="en-US" w:eastAsia="zh-CN"/>
        </w:rPr>
        <w:t>13</w:t>
      </w:r>
      <w:r>
        <w:rPr>
          <w:rFonts w:hint="eastAsia" w:ascii="宋体" w:hAnsi="宋体" w:cs="宋体"/>
          <w:sz w:val="24"/>
        </w:rPr>
        <w:t>日上午</w:t>
      </w:r>
      <w:r>
        <w:rPr>
          <w:rFonts w:ascii="宋体" w:hAnsi="宋体" w:cs="宋体"/>
          <w:sz w:val="24"/>
        </w:rPr>
        <w:t>1</w:t>
      </w:r>
      <w:r>
        <w:rPr>
          <w:rFonts w:hint="eastAsia" w:ascii="宋体" w:hAnsi="宋体" w:cs="宋体"/>
          <w:sz w:val="24"/>
          <w:lang w:val="en-US" w:eastAsia="zh-CN"/>
        </w:rPr>
        <w:t>1</w:t>
      </w:r>
      <w:r>
        <w:rPr>
          <w:rFonts w:hint="eastAsia" w:ascii="宋体" w:hAnsi="宋体" w:cs="宋体"/>
          <w:sz w:val="24"/>
        </w:rPr>
        <w:t>:</w:t>
      </w:r>
      <w:r>
        <w:rPr>
          <w:rFonts w:ascii="宋体" w:hAnsi="宋体" w:cs="宋体"/>
          <w:sz w:val="24"/>
        </w:rPr>
        <w:t>00</w:t>
      </w:r>
      <w:r>
        <w:rPr>
          <w:rFonts w:hint="eastAsia" w:ascii="宋体" w:hAnsi="宋体" w:cs="宋体"/>
          <w:sz w:val="24"/>
        </w:rPr>
        <w:t>，逾期不予受理。</w:t>
      </w:r>
    </w:p>
    <w:p>
      <w:pPr>
        <w:spacing w:line="360" w:lineRule="auto"/>
        <w:ind w:firstLine="480" w:firstLineChars="200"/>
        <w:rPr>
          <w:rFonts w:ascii="宋体" w:hAnsi="宋体" w:cs="宋体"/>
          <w:sz w:val="24"/>
        </w:rPr>
      </w:pPr>
      <w:r>
        <w:rPr>
          <w:rFonts w:hint="eastAsia" w:ascii="宋体" w:hAnsi="宋体" w:cs="宋体"/>
          <w:sz w:val="24"/>
        </w:rPr>
        <w:t>响应文件递交地点：兰州职业技术学院总校区勤政楼</w:t>
      </w:r>
      <w:r>
        <w:rPr>
          <w:rFonts w:ascii="宋体" w:hAnsi="宋体" w:cs="宋体"/>
          <w:sz w:val="24"/>
        </w:rPr>
        <w:t>801</w:t>
      </w:r>
      <w:r>
        <w:rPr>
          <w:rFonts w:hint="eastAsia" w:ascii="宋体" w:hAnsi="宋体" w:cs="宋体"/>
          <w:sz w:val="24"/>
        </w:rPr>
        <w:t>会议室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w:t>
      </w:r>
      <w:r>
        <w:rPr>
          <w:rFonts w:ascii="宋体" w:hAnsi="宋体"/>
          <w:sz w:val="24"/>
        </w:rPr>
        <w:t>2年</w:t>
      </w:r>
      <w:r>
        <w:rPr>
          <w:rFonts w:hint="eastAsia" w:ascii="宋体" w:hAnsi="宋体"/>
          <w:sz w:val="24"/>
          <w:lang w:val="en-US" w:eastAsia="zh-CN"/>
        </w:rPr>
        <w:t>7</w:t>
      </w:r>
      <w:r>
        <w:rPr>
          <w:rFonts w:ascii="宋体" w:hAnsi="宋体"/>
          <w:sz w:val="24"/>
        </w:rPr>
        <w:t>月</w:t>
      </w:r>
      <w:r>
        <w:rPr>
          <w:rFonts w:hint="eastAsia" w:ascii="宋体" w:hAnsi="宋体"/>
          <w:sz w:val="24"/>
          <w:lang w:val="en-US" w:eastAsia="zh-CN"/>
        </w:rPr>
        <w:t>5</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autoSpaceDE w:val="0"/>
        <w:autoSpaceDN w:val="0"/>
        <w:adjustRightInd w:val="0"/>
        <w:snapToGrid w:val="0"/>
        <w:spacing w:line="400" w:lineRule="exact"/>
        <w:ind w:left="239" w:leftChars="114" w:right="-178" w:rightChars="-85"/>
        <w:textAlignment w:val="bottom"/>
        <w:rPr>
          <w:rFonts w:ascii="宋体" w:hAnsi="宋体"/>
          <w:b/>
          <w:sz w:val="28"/>
          <w:szCs w:val="28"/>
        </w:rPr>
      </w:pPr>
      <w:bookmarkStart w:id="1" w:name="_Toc175733110"/>
      <w:r>
        <w:rPr>
          <w:rFonts w:hint="eastAsia" w:ascii="宋体" w:hAnsi="宋体"/>
          <w:b/>
          <w:sz w:val="28"/>
          <w:szCs w:val="28"/>
        </w:rPr>
        <w:t>一、采购清单及要求</w:t>
      </w:r>
    </w:p>
    <w:p/>
    <w:tbl>
      <w:tblPr>
        <w:tblStyle w:val="21"/>
        <w:tblW w:w="40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807"/>
        <w:gridCol w:w="1431"/>
        <w:gridCol w:w="4796"/>
        <w:gridCol w:w="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708" w:hRule="atLeast"/>
          <w:jc w:val="center"/>
        </w:trPr>
        <w:tc>
          <w:tcPr>
            <w:tcW w:w="529" w:type="pct"/>
            <w:shd w:val="clear" w:color="auto" w:fill="FFFFFF" w:themeFill="background1"/>
            <w:vAlign w:val="center"/>
          </w:tcPr>
          <w:p>
            <w:pPr>
              <w:widowControl/>
              <w:jc w:val="center"/>
              <w:rPr>
                <w:rFonts w:ascii="仿宋_GB2312" w:hAnsi="微软雅黑" w:eastAsia="仿宋_GB2312" w:cs="宋体"/>
                <w:b/>
                <w:bCs/>
                <w:color w:val="000000" w:themeColor="text1"/>
                <w:kern w:val="0"/>
                <w:sz w:val="22"/>
                <w14:textFill>
                  <w14:solidFill>
                    <w14:schemeClr w14:val="tx1"/>
                  </w14:solidFill>
                </w14:textFill>
              </w:rPr>
            </w:pPr>
            <w:r>
              <w:rPr>
                <w:rFonts w:hint="eastAsia" w:ascii="仿宋_GB2312" w:hAnsi="微软雅黑" w:eastAsia="仿宋_GB2312" w:cs="宋体"/>
                <w:b/>
                <w:bCs/>
                <w:color w:val="000000" w:themeColor="text1"/>
                <w:kern w:val="0"/>
                <w:sz w:val="22"/>
                <w14:textFill>
                  <w14:solidFill>
                    <w14:schemeClr w14:val="tx1"/>
                  </w14:solidFill>
                </w14:textFill>
              </w:rPr>
              <w:t>序号</w:t>
            </w:r>
          </w:p>
        </w:tc>
        <w:tc>
          <w:tcPr>
            <w:tcW w:w="937" w:type="pct"/>
            <w:shd w:val="clear" w:color="auto" w:fill="FFFFFF" w:themeFill="background1"/>
            <w:vAlign w:val="center"/>
          </w:tcPr>
          <w:p>
            <w:pPr>
              <w:widowControl/>
              <w:jc w:val="center"/>
              <w:rPr>
                <w:rFonts w:ascii="仿宋_GB2312" w:hAnsi="微软雅黑" w:eastAsia="仿宋_GB2312" w:cs="宋体"/>
                <w:b/>
                <w:bCs/>
                <w:color w:val="000000" w:themeColor="text1"/>
                <w:kern w:val="0"/>
                <w:sz w:val="22"/>
                <w14:textFill>
                  <w14:solidFill>
                    <w14:schemeClr w14:val="tx1"/>
                  </w14:solidFill>
                </w14:textFill>
              </w:rPr>
            </w:pPr>
            <w:r>
              <w:rPr>
                <w:rFonts w:hint="eastAsia" w:ascii="仿宋_GB2312" w:hAnsi="微软雅黑" w:eastAsia="仿宋_GB2312" w:cs="宋体"/>
                <w:b/>
                <w:bCs/>
                <w:color w:val="000000" w:themeColor="text1"/>
                <w:kern w:val="0"/>
                <w:sz w:val="22"/>
                <w14:textFill>
                  <w14:solidFill>
                    <w14:schemeClr w14:val="tx1"/>
                  </w14:solidFill>
                </w14:textFill>
              </w:rPr>
              <w:t>名称</w:t>
            </w:r>
          </w:p>
        </w:tc>
        <w:tc>
          <w:tcPr>
            <w:tcW w:w="3141" w:type="pct"/>
            <w:shd w:val="clear" w:color="auto" w:fill="FFFFFF" w:themeFill="background1"/>
            <w:vAlign w:val="center"/>
          </w:tcPr>
          <w:p>
            <w:pPr>
              <w:widowControl/>
              <w:jc w:val="center"/>
              <w:rPr>
                <w:rFonts w:ascii="仿宋_GB2312" w:hAnsi="微软雅黑" w:eastAsia="仿宋_GB2312" w:cs="宋体"/>
                <w:b/>
                <w:bCs/>
                <w:color w:val="000000" w:themeColor="text1"/>
                <w:kern w:val="0"/>
                <w:sz w:val="22"/>
                <w14:textFill>
                  <w14:solidFill>
                    <w14:schemeClr w14:val="tx1"/>
                  </w14:solidFill>
                </w14:textFill>
              </w:rPr>
            </w:pPr>
            <w:r>
              <w:rPr>
                <w:rFonts w:hint="eastAsia" w:ascii="仿宋_GB2312" w:hAnsi="微软雅黑" w:eastAsia="仿宋_GB2312" w:cs="宋体"/>
                <w:b/>
                <w:bCs/>
                <w:color w:val="000000" w:themeColor="text1"/>
                <w:kern w:val="0"/>
                <w:sz w:val="22"/>
                <w14:textFill>
                  <w14:solidFill>
                    <w14:schemeClr w14:val="tx1"/>
                  </w14:solidFill>
                </w14:textFill>
              </w:rPr>
              <w:t>主要参数</w:t>
            </w:r>
          </w:p>
        </w:tc>
        <w:tc>
          <w:tcPr>
            <w:tcW w:w="391" w:type="pct"/>
            <w:shd w:val="clear" w:color="auto" w:fill="FFFFFF" w:themeFill="background1"/>
            <w:vAlign w:val="center"/>
          </w:tcPr>
          <w:p>
            <w:pPr>
              <w:widowControl/>
              <w:jc w:val="center"/>
              <w:rPr>
                <w:rFonts w:ascii="仿宋_GB2312" w:hAnsi="微软雅黑" w:eastAsia="仿宋_GB2312" w:cs="宋体"/>
                <w:b/>
                <w:bCs/>
                <w:color w:val="000000" w:themeColor="text1"/>
                <w:kern w:val="0"/>
                <w:sz w:val="22"/>
                <w14:textFill>
                  <w14:solidFill>
                    <w14:schemeClr w14:val="tx1"/>
                  </w14:solidFill>
                </w14:textFill>
              </w:rPr>
            </w:pPr>
            <w:r>
              <w:rPr>
                <w:rFonts w:hint="eastAsia" w:ascii="仿宋_GB2312" w:hAnsi="微软雅黑" w:eastAsia="仿宋_GB2312" w:cs="宋体"/>
                <w:b/>
                <w:bCs/>
                <w:color w:val="000000" w:themeColor="text1"/>
                <w:kern w:val="0"/>
                <w:sz w:val="22"/>
                <w14:textFill>
                  <w14:solidFill>
                    <w14:schemeClr w14:val="tx1"/>
                  </w14:solidFill>
                </w14:textFill>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90" w:hRule="atLeast"/>
          <w:jc w:val="center"/>
        </w:trPr>
        <w:tc>
          <w:tcPr>
            <w:tcW w:w="529" w:type="pct"/>
            <w:shd w:val="clear" w:color="auto" w:fill="FFFFFF" w:themeFill="background1"/>
            <w:vAlign w:val="center"/>
          </w:tcPr>
          <w:p>
            <w:pPr>
              <w:widowControl/>
              <w:jc w:val="center"/>
              <w:rPr>
                <w:rFonts w:ascii="仿宋_GB2312" w:hAnsi="微软雅黑" w:eastAsia="仿宋_GB2312" w:cs="宋体"/>
                <w:bCs/>
                <w:color w:val="000000" w:themeColor="text1"/>
                <w:kern w:val="0"/>
                <w:sz w:val="22"/>
                <w14:textFill>
                  <w14:solidFill>
                    <w14:schemeClr w14:val="tx1"/>
                  </w14:solidFill>
                </w14:textFill>
              </w:rPr>
            </w:pPr>
            <w:r>
              <w:rPr>
                <w:rFonts w:hint="eastAsia" w:ascii="仿宋_GB2312" w:hAnsi="微软雅黑" w:eastAsia="仿宋_GB2312" w:cs="宋体"/>
                <w:bCs/>
                <w:color w:val="000000" w:themeColor="text1"/>
                <w:kern w:val="0"/>
                <w:sz w:val="22"/>
                <w14:textFill>
                  <w14:solidFill>
                    <w14:schemeClr w14:val="tx1"/>
                  </w14:solidFill>
                </w14:textFill>
              </w:rPr>
              <w:t>1</w:t>
            </w:r>
          </w:p>
        </w:tc>
        <w:tc>
          <w:tcPr>
            <w:tcW w:w="937" w:type="pct"/>
            <w:shd w:val="clear" w:color="auto" w:fill="FFFFFF" w:themeFill="background1"/>
            <w:vAlign w:val="center"/>
          </w:tcPr>
          <w:p>
            <w:pPr>
              <w:widowControl/>
              <w:rPr>
                <w:rFonts w:ascii="仿宋_GB2312" w:hAnsi="微软雅黑" w:eastAsia="仿宋_GB2312" w:cs="宋体"/>
                <w:bCs/>
                <w:color w:val="000000" w:themeColor="text1"/>
                <w:kern w:val="0"/>
                <w:sz w:val="22"/>
                <w14:textFill>
                  <w14:solidFill>
                    <w14:schemeClr w14:val="tx1"/>
                  </w14:solidFill>
                </w14:textFill>
              </w:rPr>
            </w:pPr>
            <w:r>
              <w:rPr>
                <w:rFonts w:hint="eastAsia" w:ascii="仿宋_GB2312" w:hAnsi="微软雅黑" w:eastAsia="仿宋_GB2312" w:cs="宋体"/>
                <w:bCs/>
                <w:color w:val="000000" w:themeColor="text1"/>
                <w:kern w:val="0"/>
                <w:sz w:val="22"/>
                <w14:textFill>
                  <w14:solidFill>
                    <w14:schemeClr w14:val="tx1"/>
                  </w14:solidFill>
                </w14:textFill>
              </w:rPr>
              <w:t>手持三维扫描仪</w:t>
            </w:r>
          </w:p>
        </w:tc>
        <w:tc>
          <w:tcPr>
            <w:tcW w:w="3141" w:type="pct"/>
            <w:shd w:val="clear" w:color="auto" w:fill="FFFFFF" w:themeFill="background1"/>
            <w:vAlign w:val="center"/>
          </w:tcPr>
          <w:p>
            <w:pP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drawing>
                <wp:anchor distT="0" distB="0" distL="114300" distR="114300" simplePos="0" relativeHeight="251659264" behindDoc="0" locked="0" layoutInCell="1" allowOverlap="1">
                  <wp:simplePos x="0" y="0"/>
                  <wp:positionH relativeFrom="column">
                    <wp:posOffset>4906010</wp:posOffset>
                  </wp:positionH>
                  <wp:positionV relativeFrom="paragraph">
                    <wp:posOffset>86360</wp:posOffset>
                  </wp:positionV>
                  <wp:extent cx="1504950" cy="2486025"/>
                  <wp:effectExtent l="0" t="0" r="0" b="8890"/>
                  <wp:wrapSquare wrapText="bothSides"/>
                  <wp:docPr id="17" name="图片 17" descr="微信截图_20210115111812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微信截图_20210115111812_副本"/>
                          <pic:cNvPicPr>
                            <a:picLocks noChangeAspect="1"/>
                          </pic:cNvPicPr>
                        </pic:nvPicPr>
                        <pic:blipFill>
                          <a:blip r:embed="rId6"/>
                          <a:srcRect t="-6573" r="30808" b="34828"/>
                          <a:stretch>
                            <a:fillRect/>
                          </a:stretch>
                        </pic:blipFill>
                        <pic:spPr>
                          <a:xfrm>
                            <a:off x="0" y="0"/>
                            <a:ext cx="1504950" cy="2486025"/>
                          </a:xfrm>
                          <a:prstGeom prst="rect">
                            <a:avLst/>
                          </a:prstGeom>
                        </pic:spPr>
                      </pic:pic>
                    </a:graphicData>
                  </a:graphic>
                </wp:anchor>
              </w:drawing>
            </w:r>
            <w:r>
              <w:rPr>
                <w:rFonts w:hint="eastAsia" w:ascii="仿宋" w:hAnsi="仿宋" w:eastAsia="仿宋" w:cs="仿宋"/>
                <w:color w:val="000000" w:themeColor="text1"/>
                <w:sz w:val="20"/>
                <w:szCs w:val="20"/>
                <w14:textFill>
                  <w14:solidFill>
                    <w14:schemeClr w14:val="tx1"/>
                  </w14:solidFill>
                </w14:textFill>
              </w:rPr>
              <w:t>（1）多模式扫描方式：手持精细扫描，手持快速扫描；</w:t>
            </w:r>
          </w:p>
          <w:p>
            <w:pP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（2）尺寸精度：手持精细扫描：0.045mm，手持快速扫描模式：±0.1mm，各方向误差≤0.3mm/m；</w:t>
            </w:r>
          </w:p>
          <w:p>
            <w:pP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（3）数据获取速度：手持精细扫描模式：10帧/秒，3,000,000点/秒（光机速率：MAX 500fps）；手持快速扫描模式：最高30帧/秒，1,500,000点/秒；</w:t>
            </w:r>
          </w:p>
          <w:p>
            <w:pP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（4）可变分辨率：X/Y/Z轴各方向分辨率≥0.25mm。扫描时分辨率可以通过系统软件在扫描后根据需要调整，一个工程，可输出多种分辨率，无须通过更换硬件镜头及新建工程来实现；</w:t>
            </w:r>
          </w:p>
          <w:p>
            <w:pP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（5）近场扫描范围：209mm*160mm； 远场扫描范围：310mm*240mm；</w:t>
            </w:r>
          </w:p>
          <w:p>
            <w:pP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（6）工作中心距离：510mm；</w:t>
            </w:r>
          </w:p>
          <w:p>
            <w:pP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（7）景深：±100mm，最大可扫描景深±150mm；</w:t>
            </w:r>
          </w:p>
          <w:p>
            <w:pP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8）光源：高亮度三色LED（非激光，不污染环境及危害人身健康，能在日光灯或自然光环境下工作，可适应光线变化）。高材质适应性，可扫描常见浅色到黑色材质，兼容各类物体扫描，工业件，艺术品，人体等；</w:t>
            </w:r>
          </w:p>
          <w:p>
            <w:pP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（9）模块化设计：可拆分设计，采用usb直连。</w:t>
            </w:r>
          </w:p>
          <w:p>
            <w:pP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10）拼接模式：所有模式支持标志点拼接，特征拼接，纹理拼接，手动拼接，以上均可混合使用。混合拼接，在同一物体上可同时利用特征和标志点进行拼接，仅在特征不足处使用标志点，减少标志点使用量，提高扫描效率；</w:t>
            </w:r>
          </w:p>
          <w:p>
            <w:pP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（11）模型树功能：同一模式内可导入多个工程进行重分组，编辑，合并。支持表面积测量，体积测量，直线距离测量，支持坐标对齐；</w:t>
            </w:r>
          </w:p>
          <w:p>
            <w:pP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（12）模型修复功能：对扫描数据可进行交互式数据修复功能，如手动单孔补洞，平滑，锐化，也可自动修复。兼容第三方STL数据导入编辑修复功能；</w:t>
            </w:r>
          </w:p>
          <w:p>
            <w:pP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（13） 即时显示出扫描数据，扫描完成后，一键操作，即可得到经过补孔, 自动稀释网格, 删除离散点, 整体平滑, 锐化，定位优化的最终彩色/无色单层完整三角网格数据。可直接用于3D打印。</w:t>
            </w:r>
          </w:p>
          <w:p>
            <w:pP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（14）采集数据自动保存</w:t>
            </w:r>
          </w:p>
          <w:p>
            <w:pP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（15） 提供重返扫描功能，如果扫描区域丢失或工程二次打开，可以从工件上已扫描结构或任何工件上已知的标志点处继续扫描，回拼时间&lt;3s；</w:t>
            </w:r>
          </w:p>
          <w:p>
            <w:pP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（16）移动终端实时显示功能：在扫描过程中，借助移动终端设备，可实现扫描状态在计算机与移动终端的同步分屏显示，实时监测扫描进程，更便利地观察扫描实况；</w:t>
            </w:r>
          </w:p>
          <w:p>
            <w:pP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（17） 操作的方便性：在扫描过程中可方便灵活地移动扫描仪以及被扫描物体，不会影响扫描数据采集和精度，整个系统可携带至工作现场进行工作；</w:t>
            </w:r>
          </w:p>
          <w:p>
            <w:pP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（18）设备必须有自校准精度板，以保证设备精度，且校准迅速，设备校准时间≤3分钟；</w:t>
            </w:r>
          </w:p>
          <w:p>
            <w:pP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（19）数据输出格式：STL，ASC，OBJ，PLY；</w:t>
            </w:r>
          </w:p>
          <w:p>
            <w:pP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（20）系统支持： Win7,Win8,Win10,64bit ；</w:t>
            </w:r>
          </w:p>
          <w:p>
            <w:pP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（21）电脑要求：显卡：NVIDIA GTX1060及以上，显存：&gt;4G，处理器：I7及以上，内存：16G及以上；</w:t>
            </w:r>
          </w:p>
          <w:p>
            <w:pPr>
              <w:rPr>
                <w:rFonts w:ascii="宋体" w:hAnsi="宋体" w:eastAsia="宋体" w:cs="宋体"/>
                <w:color w:val="000000" w:themeColor="text1"/>
                <w:kern w:val="0"/>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（22）扫描头重量： 1.13KG；</w:t>
            </w:r>
          </w:p>
        </w:tc>
        <w:tc>
          <w:tcPr>
            <w:tcW w:w="391" w:type="pct"/>
            <w:shd w:val="clear" w:color="auto" w:fill="FFFFFF" w:themeFill="background1"/>
            <w:vAlign w:val="center"/>
          </w:tcPr>
          <w:p>
            <w:pPr>
              <w:widowControl/>
              <w:jc w:val="center"/>
              <w:rPr>
                <w:rFonts w:ascii="仿宋_GB2312" w:hAnsi="微软雅黑" w:eastAsia="仿宋_GB2312" w:cs="宋体"/>
                <w:bCs/>
                <w:color w:val="000000" w:themeColor="text1"/>
                <w:kern w:val="0"/>
                <w:sz w:val="22"/>
                <w14:textFill>
                  <w14:solidFill>
                    <w14:schemeClr w14:val="tx1"/>
                  </w14:solidFill>
                </w14:textFill>
              </w:rPr>
            </w:pPr>
            <w:r>
              <w:rPr>
                <w:rFonts w:hint="eastAsia" w:ascii="仿宋_GB2312" w:hAnsi="微软雅黑" w:eastAsia="仿宋_GB2312" w:cs="宋体"/>
                <w:bCs/>
                <w:color w:val="000000" w:themeColor="text1"/>
                <w:kern w:val="0"/>
                <w:sz w:val="22"/>
                <w14:textFill>
                  <w14:solidFill>
                    <w14:schemeClr w14:val="tx1"/>
                  </w14:solidFill>
                </w14:textFill>
              </w:rPr>
              <w:t>1台</w:t>
            </w:r>
            <w:bookmarkStart w:id="13" w:name="_GoBack"/>
            <w:bookmarkEnd w:id="1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97" w:hRule="atLeast"/>
          <w:jc w:val="center"/>
        </w:trPr>
        <w:tc>
          <w:tcPr>
            <w:tcW w:w="529" w:type="pct"/>
            <w:shd w:val="clear" w:color="auto" w:fill="FFFFFF" w:themeFill="background1"/>
            <w:vAlign w:val="center"/>
          </w:tcPr>
          <w:p>
            <w:pPr>
              <w:widowControl/>
              <w:jc w:val="center"/>
              <w:rPr>
                <w:rFonts w:ascii="仿宋_GB2312" w:hAnsi="微软雅黑" w:eastAsia="仿宋_GB2312" w:cs="宋体"/>
                <w:bCs/>
                <w:color w:val="000000" w:themeColor="text1"/>
                <w:kern w:val="0"/>
                <w:sz w:val="22"/>
                <w14:textFill>
                  <w14:solidFill>
                    <w14:schemeClr w14:val="tx1"/>
                  </w14:solidFill>
                </w14:textFill>
              </w:rPr>
            </w:pPr>
            <w:r>
              <w:rPr>
                <w:rFonts w:hint="eastAsia" w:ascii="仿宋_GB2312" w:hAnsi="微软雅黑" w:eastAsia="仿宋_GB2312" w:cs="宋体"/>
                <w:bCs/>
                <w:color w:val="000000" w:themeColor="text1"/>
                <w:kern w:val="0"/>
                <w:sz w:val="22"/>
                <w14:textFill>
                  <w14:solidFill>
                    <w14:schemeClr w14:val="tx1"/>
                  </w14:solidFill>
                </w14:textFill>
              </w:rPr>
              <w:t>2</w:t>
            </w:r>
          </w:p>
        </w:tc>
        <w:tc>
          <w:tcPr>
            <w:tcW w:w="937" w:type="pct"/>
            <w:shd w:val="clear" w:color="auto" w:fill="FFFFFF" w:themeFill="background1"/>
            <w:vAlign w:val="center"/>
          </w:tcPr>
          <w:p>
            <w:pPr>
              <w:widowControl/>
              <w:jc w:val="center"/>
              <w:rPr>
                <w:rFonts w:ascii="仿宋_GB2312" w:hAnsi="微软雅黑" w:eastAsia="仿宋_GB2312" w:cs="宋体"/>
                <w:bCs/>
                <w:color w:val="000000" w:themeColor="text1"/>
                <w:kern w:val="0"/>
                <w:sz w:val="22"/>
                <w14:textFill>
                  <w14:solidFill>
                    <w14:schemeClr w14:val="tx1"/>
                  </w14:solidFill>
                </w14:textFill>
              </w:rPr>
            </w:pPr>
            <w:r>
              <w:rPr>
                <w:rFonts w:hint="eastAsia" w:ascii="仿宋_GB2312" w:hAnsi="微软雅黑" w:eastAsia="仿宋_GB2312" w:cs="宋体"/>
                <w:bCs/>
                <w:color w:val="000000" w:themeColor="text1"/>
                <w:kern w:val="0"/>
                <w:sz w:val="22"/>
                <w14:textFill>
                  <w14:solidFill>
                    <w14:schemeClr w14:val="tx1"/>
                  </w14:solidFill>
                </w14:textFill>
              </w:rPr>
              <w:t>iPad专用3D扫描仪</w:t>
            </w:r>
          </w:p>
        </w:tc>
        <w:tc>
          <w:tcPr>
            <w:tcW w:w="3141" w:type="pct"/>
            <w:shd w:val="clear" w:color="auto" w:fill="FFFFFF" w:themeFill="background1"/>
            <w:vAlign w:val="center"/>
          </w:tcPr>
          <w:p>
            <w:pP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iSense扫描仪  色彩镜头：60万偏光；</w:t>
            </w:r>
          </w:p>
          <w:p>
            <w:pP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移动扫描：采用高帧率摄影方式可扫描移动物体；</w:t>
            </w:r>
          </w:p>
          <w:p>
            <w:pP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色彩帧率：30FPS；背景过滤：支持背景过滤；</w:t>
            </w:r>
          </w:p>
          <w:p>
            <w:pP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最大功耗：2.25[watt]；离线扫描：支持离线扫描；</w:t>
            </w:r>
          </w:p>
          <w:p>
            <w:pP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扫描视野：水平45°，垂直57.5°，斜角69°；</w:t>
            </w:r>
          </w:p>
          <w:p>
            <w:pP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每秒获取速度：约10万点每秒；操作系统：Win7+/64位；深度精度：@500mm:1mm  @120mm:5mm；</w:t>
            </w:r>
          </w:p>
          <w:p>
            <w:pP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操作范围：400-1200mm；数据接口：USB2.0；</w:t>
            </w:r>
          </w:p>
          <w:p>
            <w:pP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数据格式：STL；扫描体积：200-2000mm；</w:t>
            </w:r>
          </w:p>
          <w:p>
            <w:pP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支持24位全彩色扫描；人像扫描时间15秒以上，扫描模式有物体、人像、场景</w:t>
            </w:r>
          </w:p>
        </w:tc>
        <w:tc>
          <w:tcPr>
            <w:tcW w:w="391" w:type="pct"/>
            <w:shd w:val="clear" w:color="auto" w:fill="FFFFFF" w:themeFill="background1"/>
            <w:vAlign w:val="center"/>
          </w:tcPr>
          <w:p>
            <w:pPr>
              <w:widowControl/>
              <w:jc w:val="center"/>
              <w:rPr>
                <w:rFonts w:ascii="仿宋_GB2312" w:hAnsi="微软雅黑" w:eastAsia="仿宋_GB2312" w:cs="宋体"/>
                <w:bCs/>
                <w:color w:val="000000" w:themeColor="text1"/>
                <w:kern w:val="0"/>
                <w:sz w:val="22"/>
                <w14:textFill>
                  <w14:solidFill>
                    <w14:schemeClr w14:val="tx1"/>
                  </w14:solidFill>
                </w14:textFill>
              </w:rPr>
            </w:pPr>
            <w:r>
              <w:rPr>
                <w:rFonts w:ascii="仿宋_GB2312" w:hAnsi="微软雅黑" w:eastAsia="仿宋_GB2312" w:cs="宋体"/>
                <w:bCs/>
                <w:color w:val="000000" w:themeColor="text1"/>
                <w:kern w:val="0"/>
                <w:sz w:val="22"/>
                <w14:textFill>
                  <w14:solidFill>
                    <w14:schemeClr w14:val="tx1"/>
                  </w14:solidFill>
                </w14:textFill>
              </w:rPr>
              <w:t>3</w:t>
            </w:r>
            <w:r>
              <w:rPr>
                <w:rFonts w:hint="eastAsia" w:ascii="仿宋_GB2312" w:hAnsi="微软雅黑" w:eastAsia="仿宋_GB2312" w:cs="宋体"/>
                <w:bCs/>
                <w:color w:val="000000" w:themeColor="text1"/>
                <w:kern w:val="0"/>
                <w:sz w:val="22"/>
                <w14:textFill>
                  <w14:solidFill>
                    <w14:schemeClr w14:val="tx1"/>
                  </w14:solidFill>
                </w14:textFill>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29" w:type="pct"/>
            <w:shd w:val="clear" w:color="auto" w:fill="FFFFFF" w:themeFill="background1"/>
            <w:vAlign w:val="center"/>
          </w:tcPr>
          <w:p>
            <w:pPr>
              <w:widowControl/>
              <w:jc w:val="center"/>
              <w:rPr>
                <w:rFonts w:ascii="仿宋_GB2312" w:hAnsi="微软雅黑" w:eastAsia="仿宋_GB2312" w:cs="宋体"/>
                <w:bCs/>
                <w:color w:val="000000" w:themeColor="text1"/>
                <w:kern w:val="0"/>
                <w:sz w:val="22"/>
                <w14:textFill>
                  <w14:solidFill>
                    <w14:schemeClr w14:val="tx1"/>
                  </w14:solidFill>
                </w14:textFill>
              </w:rPr>
            </w:pPr>
            <w:r>
              <w:rPr>
                <w:rFonts w:hint="eastAsia" w:ascii="仿宋_GB2312" w:hAnsi="微软雅黑" w:eastAsia="仿宋_GB2312" w:cs="宋体"/>
                <w:bCs/>
                <w:color w:val="000000" w:themeColor="text1"/>
                <w:kern w:val="0"/>
                <w:sz w:val="22"/>
                <w14:textFill>
                  <w14:solidFill>
                    <w14:schemeClr w14:val="tx1"/>
                  </w14:solidFill>
                </w14:textFill>
              </w:rPr>
              <w:t>3</w:t>
            </w:r>
          </w:p>
        </w:tc>
        <w:tc>
          <w:tcPr>
            <w:tcW w:w="937" w:type="pct"/>
            <w:shd w:val="clear" w:color="auto" w:fill="FFFFFF" w:themeFill="background1"/>
            <w:vAlign w:val="center"/>
          </w:tcPr>
          <w:p>
            <w:pPr>
              <w:widowControl/>
              <w:jc w:val="center"/>
              <w:rPr>
                <w:rFonts w:ascii="仿宋_GB2312" w:hAnsi="微软雅黑" w:eastAsia="仿宋_GB2312" w:cs="宋体"/>
                <w:bCs/>
                <w:color w:val="000000" w:themeColor="text1"/>
                <w:kern w:val="0"/>
                <w:sz w:val="22"/>
                <w14:textFill>
                  <w14:solidFill>
                    <w14:schemeClr w14:val="tx1"/>
                  </w14:solidFill>
                </w14:textFill>
              </w:rPr>
            </w:pPr>
            <w:r>
              <w:rPr>
                <w:rFonts w:hint="eastAsia" w:ascii="仿宋_GB2312" w:hAnsi="微软雅黑" w:eastAsia="仿宋_GB2312" w:cs="宋体"/>
                <w:bCs/>
                <w:color w:val="000000" w:themeColor="text1"/>
                <w:kern w:val="0"/>
                <w:sz w:val="22"/>
                <w14:textFill>
                  <w14:solidFill>
                    <w14:schemeClr w14:val="tx1"/>
                  </w14:solidFill>
                </w14:textFill>
              </w:rPr>
              <w:t>3D扫描仪配套工作机（教师机）</w:t>
            </w:r>
          </w:p>
        </w:tc>
        <w:tc>
          <w:tcPr>
            <w:tcW w:w="3141" w:type="pct"/>
            <w:shd w:val="clear" w:color="auto" w:fill="FFFFFF" w:themeFill="background1"/>
            <w:vAlign w:val="center"/>
          </w:tcPr>
          <w:p>
            <w:pP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尺寸：11英寸   内存：256GB WLAN版</w:t>
            </w:r>
          </w:p>
        </w:tc>
        <w:tc>
          <w:tcPr>
            <w:tcW w:w="391" w:type="pct"/>
            <w:shd w:val="clear" w:color="auto" w:fill="FFFFFF" w:themeFill="background1"/>
            <w:vAlign w:val="center"/>
          </w:tcPr>
          <w:p>
            <w:pPr>
              <w:widowControl/>
              <w:jc w:val="center"/>
              <w:rPr>
                <w:rFonts w:ascii="仿宋_GB2312" w:hAnsi="微软雅黑" w:eastAsia="仿宋_GB2312" w:cs="宋体"/>
                <w:bCs/>
                <w:color w:val="000000" w:themeColor="text1"/>
                <w:kern w:val="0"/>
                <w:sz w:val="22"/>
                <w14:textFill>
                  <w14:solidFill>
                    <w14:schemeClr w14:val="tx1"/>
                  </w14:solidFill>
                </w14:textFill>
              </w:rPr>
            </w:pPr>
            <w:r>
              <w:rPr>
                <w:rFonts w:hint="eastAsia" w:ascii="仿宋_GB2312" w:hAnsi="微软雅黑" w:eastAsia="仿宋_GB2312" w:cs="宋体"/>
                <w:bCs/>
                <w:color w:val="000000" w:themeColor="text1"/>
                <w:kern w:val="0"/>
                <w:sz w:val="22"/>
                <w14:textFill>
                  <w14:solidFill>
                    <w14:schemeClr w14:val="tx1"/>
                  </w14:solidFill>
                </w14:textFill>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529" w:type="pct"/>
            <w:shd w:val="clear" w:color="auto" w:fill="FFFFFF" w:themeFill="background1"/>
            <w:vAlign w:val="center"/>
          </w:tcPr>
          <w:p>
            <w:pPr>
              <w:widowControl/>
              <w:jc w:val="center"/>
              <w:rPr>
                <w:rFonts w:ascii="仿宋_GB2312" w:hAnsi="微软雅黑" w:eastAsia="仿宋_GB2312" w:cs="宋体"/>
                <w:bCs/>
                <w:color w:val="000000" w:themeColor="text1"/>
                <w:kern w:val="0"/>
                <w:sz w:val="22"/>
                <w14:textFill>
                  <w14:solidFill>
                    <w14:schemeClr w14:val="tx1"/>
                  </w14:solidFill>
                </w14:textFill>
              </w:rPr>
            </w:pPr>
            <w:r>
              <w:rPr>
                <w:rFonts w:hint="eastAsia" w:ascii="仿宋_GB2312" w:hAnsi="微软雅黑" w:eastAsia="仿宋_GB2312" w:cs="宋体"/>
                <w:bCs/>
                <w:color w:val="000000" w:themeColor="text1"/>
                <w:kern w:val="0"/>
                <w:sz w:val="22"/>
                <w14:textFill>
                  <w14:solidFill>
                    <w14:schemeClr w14:val="tx1"/>
                  </w14:solidFill>
                </w14:textFill>
              </w:rPr>
              <w:t>4</w:t>
            </w:r>
          </w:p>
        </w:tc>
        <w:tc>
          <w:tcPr>
            <w:tcW w:w="937" w:type="pct"/>
            <w:shd w:val="clear" w:color="auto" w:fill="FFFFFF" w:themeFill="background1"/>
            <w:vAlign w:val="center"/>
          </w:tcPr>
          <w:p>
            <w:pPr>
              <w:widowControl/>
              <w:jc w:val="center"/>
              <w:rPr>
                <w:rFonts w:ascii="仿宋_GB2312" w:hAnsi="微软雅黑" w:eastAsia="仿宋_GB2312" w:cs="宋体"/>
                <w:bCs/>
                <w:color w:val="000000" w:themeColor="text1"/>
                <w:kern w:val="0"/>
                <w:sz w:val="22"/>
                <w14:textFill>
                  <w14:solidFill>
                    <w14:schemeClr w14:val="tx1"/>
                  </w14:solidFill>
                </w14:textFill>
              </w:rPr>
            </w:pPr>
            <w:r>
              <w:rPr>
                <w:rFonts w:hint="eastAsia" w:ascii="仿宋_GB2312" w:hAnsi="微软雅黑" w:eastAsia="仿宋_GB2312" w:cs="宋体"/>
                <w:bCs/>
                <w:color w:val="000000" w:themeColor="text1"/>
                <w:kern w:val="0"/>
                <w:sz w:val="22"/>
                <w14:textFill>
                  <w14:solidFill>
                    <w14:schemeClr w14:val="tx1"/>
                  </w14:solidFill>
                </w14:textFill>
              </w:rPr>
              <w:t>3D扫描仪配套工作机（学生机）</w:t>
            </w:r>
          </w:p>
        </w:tc>
        <w:tc>
          <w:tcPr>
            <w:tcW w:w="3141" w:type="pct"/>
            <w:shd w:val="clear" w:color="auto" w:fill="FFFFFF" w:themeFill="background1"/>
            <w:vAlign w:val="center"/>
          </w:tcPr>
          <w:p>
            <w:pPr>
              <w:spacing w:line="360" w:lineRule="auto"/>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尺寸：10.2英寸  内存：64GB WLAN版</w:t>
            </w:r>
          </w:p>
        </w:tc>
        <w:tc>
          <w:tcPr>
            <w:tcW w:w="391" w:type="pct"/>
            <w:shd w:val="clear" w:color="auto" w:fill="FFFFFF" w:themeFill="background1"/>
            <w:vAlign w:val="center"/>
          </w:tcPr>
          <w:p>
            <w:pPr>
              <w:widowControl/>
              <w:jc w:val="center"/>
              <w:rPr>
                <w:rFonts w:ascii="仿宋_GB2312" w:hAnsi="微软雅黑" w:eastAsia="仿宋_GB2312" w:cs="宋体"/>
                <w:bCs/>
                <w:color w:val="000000" w:themeColor="text1"/>
                <w:kern w:val="0"/>
                <w:sz w:val="22"/>
                <w14:textFill>
                  <w14:solidFill>
                    <w14:schemeClr w14:val="tx1"/>
                  </w14:solidFill>
                </w14:textFill>
              </w:rPr>
            </w:pPr>
            <w:r>
              <w:rPr>
                <w:rFonts w:ascii="仿宋_GB2312" w:hAnsi="微软雅黑" w:eastAsia="仿宋_GB2312" w:cs="宋体"/>
                <w:bCs/>
                <w:color w:val="000000" w:themeColor="text1"/>
                <w:kern w:val="0"/>
                <w:sz w:val="22"/>
                <w14:textFill>
                  <w14:solidFill>
                    <w14:schemeClr w14:val="tx1"/>
                  </w14:solidFill>
                </w14:textFill>
              </w:rPr>
              <w:t>2</w:t>
            </w:r>
            <w:r>
              <w:rPr>
                <w:rFonts w:hint="eastAsia" w:ascii="仿宋_GB2312" w:hAnsi="微软雅黑" w:eastAsia="仿宋_GB2312" w:cs="宋体"/>
                <w:bCs/>
                <w:color w:val="000000" w:themeColor="text1"/>
                <w:kern w:val="0"/>
                <w:sz w:val="22"/>
                <w14:textFill>
                  <w14:solidFill>
                    <w14:schemeClr w14:val="tx1"/>
                  </w14:solidFill>
                </w14:textFill>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529" w:type="pct"/>
            <w:shd w:val="clear" w:color="auto" w:fill="FFFFFF" w:themeFill="background1"/>
            <w:vAlign w:val="center"/>
          </w:tcPr>
          <w:p>
            <w:pPr>
              <w:widowControl/>
              <w:jc w:val="center"/>
              <w:rPr>
                <w:rFonts w:ascii="仿宋_GB2312" w:hAnsi="微软雅黑" w:eastAsia="仿宋_GB2312" w:cs="宋体"/>
                <w:bCs/>
                <w:color w:val="000000" w:themeColor="text1"/>
                <w:kern w:val="0"/>
                <w:sz w:val="22"/>
                <w14:textFill>
                  <w14:solidFill>
                    <w14:schemeClr w14:val="tx1"/>
                  </w14:solidFill>
                </w14:textFill>
              </w:rPr>
            </w:pPr>
            <w:r>
              <w:rPr>
                <w:rFonts w:hint="eastAsia" w:ascii="仿宋_GB2312" w:hAnsi="微软雅黑" w:eastAsia="仿宋_GB2312" w:cs="宋体"/>
                <w:bCs/>
                <w:color w:val="000000" w:themeColor="text1"/>
                <w:kern w:val="0"/>
                <w:sz w:val="22"/>
                <w14:textFill>
                  <w14:solidFill>
                    <w14:schemeClr w14:val="tx1"/>
                  </w14:solidFill>
                </w14:textFill>
              </w:rPr>
              <w:t>5</w:t>
            </w:r>
          </w:p>
        </w:tc>
        <w:tc>
          <w:tcPr>
            <w:tcW w:w="937" w:type="pct"/>
            <w:shd w:val="clear" w:color="auto" w:fill="FFFFFF" w:themeFill="background1"/>
            <w:vAlign w:val="center"/>
          </w:tcPr>
          <w:p>
            <w:pPr>
              <w:widowControl/>
              <w:jc w:val="center"/>
              <w:rPr>
                <w:rFonts w:ascii="仿宋_GB2312" w:hAnsi="微软雅黑" w:eastAsia="仿宋_GB2312" w:cs="宋体"/>
                <w:bCs/>
                <w:color w:val="000000" w:themeColor="text1"/>
                <w:kern w:val="0"/>
                <w:sz w:val="22"/>
                <w14:textFill>
                  <w14:solidFill>
                    <w14:schemeClr w14:val="tx1"/>
                  </w14:solidFill>
                </w14:textFill>
              </w:rPr>
            </w:pPr>
            <w:r>
              <w:rPr>
                <w:rFonts w:hint="eastAsia" w:ascii="仿宋_GB2312" w:hAnsi="微软雅黑" w:eastAsia="仿宋_GB2312" w:cs="宋体"/>
                <w:bCs/>
                <w:color w:val="000000" w:themeColor="text1"/>
                <w:kern w:val="0"/>
                <w:sz w:val="22"/>
                <w14:textFill>
                  <w14:solidFill>
                    <w14:schemeClr w14:val="tx1"/>
                  </w14:solidFill>
                </w14:textFill>
              </w:rPr>
              <w:t>转盘</w:t>
            </w:r>
          </w:p>
        </w:tc>
        <w:tc>
          <w:tcPr>
            <w:tcW w:w="3141" w:type="pct"/>
            <w:shd w:val="clear" w:color="auto" w:fill="FFFFFF" w:themeFill="background1"/>
            <w:vAlign w:val="center"/>
          </w:tcPr>
          <w:p>
            <w:pP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电控，遥控3级可调，正反转，60cm直径，承重120kg，可站一人</w:t>
            </w:r>
          </w:p>
        </w:tc>
        <w:tc>
          <w:tcPr>
            <w:tcW w:w="391" w:type="pct"/>
            <w:shd w:val="clear" w:color="auto" w:fill="FFFFFF" w:themeFill="background1"/>
            <w:vAlign w:val="center"/>
          </w:tcPr>
          <w:p>
            <w:pPr>
              <w:widowControl/>
              <w:jc w:val="center"/>
              <w:rPr>
                <w:rFonts w:ascii="仿宋_GB2312" w:hAnsi="微软雅黑" w:eastAsia="仿宋_GB2312" w:cs="宋体"/>
                <w:bCs/>
                <w:color w:val="000000" w:themeColor="text1"/>
                <w:kern w:val="0"/>
                <w:sz w:val="22"/>
                <w14:textFill>
                  <w14:solidFill>
                    <w14:schemeClr w14:val="tx1"/>
                  </w14:solidFill>
                </w14:textFill>
              </w:rPr>
            </w:pPr>
            <w:r>
              <w:rPr>
                <w:rFonts w:ascii="仿宋_GB2312" w:hAnsi="微软雅黑" w:eastAsia="仿宋_GB2312" w:cs="宋体"/>
                <w:bCs/>
                <w:color w:val="000000" w:themeColor="text1"/>
                <w:kern w:val="0"/>
                <w:sz w:val="22"/>
                <w14:textFill>
                  <w14:solidFill>
                    <w14:schemeClr w14:val="tx1"/>
                  </w14:solidFill>
                </w14:textFill>
              </w:rPr>
              <w:t>2</w:t>
            </w:r>
            <w:r>
              <w:rPr>
                <w:rFonts w:hint="eastAsia" w:ascii="仿宋_GB2312" w:hAnsi="微软雅黑" w:eastAsia="仿宋_GB2312" w:cs="宋体"/>
                <w:bCs/>
                <w:color w:val="000000" w:themeColor="text1"/>
                <w:kern w:val="0"/>
                <w:sz w:val="22"/>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529" w:type="pct"/>
            <w:shd w:val="clear" w:color="auto" w:fill="FFFFFF" w:themeFill="background1"/>
            <w:vAlign w:val="center"/>
          </w:tcPr>
          <w:p>
            <w:pPr>
              <w:widowControl/>
              <w:jc w:val="center"/>
              <w:rPr>
                <w:rFonts w:ascii="仿宋_GB2312" w:hAnsi="微软雅黑" w:eastAsia="仿宋_GB2312" w:cs="宋体"/>
                <w:bCs/>
                <w:color w:val="000000" w:themeColor="text1"/>
                <w:kern w:val="0"/>
                <w:sz w:val="22"/>
                <w14:textFill>
                  <w14:solidFill>
                    <w14:schemeClr w14:val="tx1"/>
                  </w14:solidFill>
                </w14:textFill>
              </w:rPr>
            </w:pPr>
            <w:r>
              <w:rPr>
                <w:rFonts w:hint="eastAsia" w:ascii="仿宋_GB2312" w:hAnsi="微软雅黑" w:eastAsia="仿宋_GB2312" w:cs="宋体"/>
                <w:bCs/>
                <w:color w:val="000000" w:themeColor="text1"/>
                <w:kern w:val="0"/>
                <w:sz w:val="22"/>
                <w14:textFill>
                  <w14:solidFill>
                    <w14:schemeClr w14:val="tx1"/>
                  </w14:solidFill>
                </w14:textFill>
              </w:rPr>
              <w:t>6</w:t>
            </w:r>
          </w:p>
        </w:tc>
        <w:tc>
          <w:tcPr>
            <w:tcW w:w="937" w:type="pct"/>
            <w:shd w:val="clear" w:color="auto" w:fill="FFFFFF" w:themeFill="background1"/>
            <w:vAlign w:val="center"/>
          </w:tcPr>
          <w:p>
            <w:pPr>
              <w:widowControl/>
              <w:jc w:val="center"/>
              <w:rPr>
                <w:rFonts w:ascii="仿宋_GB2312" w:hAnsi="微软雅黑" w:eastAsia="仿宋_GB2312" w:cs="宋体"/>
                <w:bCs/>
                <w:color w:val="000000" w:themeColor="text1"/>
                <w:kern w:val="0"/>
                <w:sz w:val="22"/>
                <w14:textFill>
                  <w14:solidFill>
                    <w14:schemeClr w14:val="tx1"/>
                  </w14:solidFill>
                </w14:textFill>
              </w:rPr>
            </w:pPr>
            <w:r>
              <w:rPr>
                <w:rFonts w:hint="eastAsia" w:ascii="仿宋_GB2312" w:hAnsi="微软雅黑" w:eastAsia="仿宋_GB2312" w:cs="宋体"/>
                <w:bCs/>
                <w:color w:val="000000" w:themeColor="text1"/>
                <w:kern w:val="0"/>
                <w:sz w:val="22"/>
                <w14:textFill>
                  <w14:solidFill>
                    <w14:schemeClr w14:val="tx1"/>
                  </w14:solidFill>
                </w14:textFill>
              </w:rPr>
              <w:t>扫描支架</w:t>
            </w:r>
          </w:p>
        </w:tc>
        <w:tc>
          <w:tcPr>
            <w:tcW w:w="3141" w:type="pct"/>
            <w:shd w:val="clear" w:color="auto" w:fill="FFFFFF" w:themeFill="background1"/>
            <w:vAlign w:val="center"/>
          </w:tcPr>
          <w:p>
            <w:pP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升降台，高2米，可电控遥控自动升降，高精度平稳系统</w:t>
            </w:r>
          </w:p>
        </w:tc>
        <w:tc>
          <w:tcPr>
            <w:tcW w:w="391" w:type="pct"/>
            <w:shd w:val="clear" w:color="auto" w:fill="FFFFFF" w:themeFill="background1"/>
            <w:vAlign w:val="center"/>
          </w:tcPr>
          <w:p>
            <w:pPr>
              <w:widowControl/>
              <w:jc w:val="center"/>
              <w:rPr>
                <w:rFonts w:ascii="仿宋_GB2312" w:hAnsi="微软雅黑" w:eastAsia="仿宋_GB2312" w:cs="宋体"/>
                <w:bCs/>
                <w:color w:val="000000" w:themeColor="text1"/>
                <w:kern w:val="0"/>
                <w:sz w:val="22"/>
                <w14:textFill>
                  <w14:solidFill>
                    <w14:schemeClr w14:val="tx1"/>
                  </w14:solidFill>
                </w14:textFill>
              </w:rPr>
            </w:pPr>
            <w:r>
              <w:rPr>
                <w:rFonts w:ascii="仿宋_GB2312" w:hAnsi="微软雅黑" w:eastAsia="仿宋_GB2312" w:cs="宋体"/>
                <w:bCs/>
                <w:color w:val="000000" w:themeColor="text1"/>
                <w:kern w:val="0"/>
                <w:sz w:val="22"/>
                <w14:textFill>
                  <w14:solidFill>
                    <w14:schemeClr w14:val="tx1"/>
                  </w14:solidFill>
                </w14:textFill>
              </w:rPr>
              <w:t>2</w:t>
            </w:r>
            <w:r>
              <w:rPr>
                <w:rFonts w:hint="eastAsia" w:ascii="仿宋_GB2312" w:hAnsi="微软雅黑" w:eastAsia="仿宋_GB2312" w:cs="宋体"/>
                <w:bCs/>
                <w:color w:val="000000" w:themeColor="text1"/>
                <w:kern w:val="0"/>
                <w:sz w:val="22"/>
                <w14:textFill>
                  <w14:solidFill>
                    <w14:schemeClr w14:val="tx1"/>
                  </w14:solidFill>
                </w14:textFill>
              </w:rPr>
              <w:t>个</w:t>
            </w:r>
          </w:p>
        </w:tc>
      </w:tr>
    </w:tbl>
    <w:p>
      <w:pPr>
        <w:spacing w:line="360" w:lineRule="auto"/>
        <w:rPr>
          <w:rFonts w:hAnsi="宋体" w:cs="宋体"/>
          <w:sz w:val="24"/>
        </w:rPr>
      </w:pPr>
    </w:p>
    <w:p>
      <w:pPr>
        <w:spacing w:line="360" w:lineRule="auto"/>
        <w:rPr>
          <w:rFonts w:ascii="宋体" w:hAnsi="宋体"/>
          <w:b/>
          <w:sz w:val="24"/>
        </w:rPr>
      </w:pPr>
      <w:r>
        <w:rPr>
          <w:rFonts w:hint="eastAsia" w:ascii="宋体" w:hAnsi="宋体"/>
          <w:b/>
          <w:sz w:val="24"/>
        </w:rPr>
        <w:t>二、付款方式</w:t>
      </w:r>
    </w:p>
    <w:p>
      <w:pPr>
        <w:spacing w:line="360" w:lineRule="auto"/>
        <w:ind w:firstLine="480" w:firstLineChars="200"/>
        <w:rPr>
          <w:rFonts w:ascii="宋体" w:hAnsi="宋体"/>
          <w:sz w:val="24"/>
        </w:rPr>
      </w:pPr>
      <w:r>
        <w:rPr>
          <w:rFonts w:hint="eastAsia" w:ascii="宋体" w:hAnsi="宋体"/>
          <w:sz w:val="24"/>
        </w:rPr>
        <w:t>供应商按采购人要求完成项目的服务及技术支持。并经采购人验收合格后付合同金额。成交金额即为合同金额。</w:t>
      </w:r>
    </w:p>
    <w:p>
      <w:pPr>
        <w:spacing w:line="360" w:lineRule="auto"/>
        <w:rPr>
          <w:rFonts w:ascii="宋体" w:hAnsi="宋体"/>
          <w:b/>
          <w:bCs/>
          <w:sz w:val="24"/>
        </w:rPr>
      </w:pPr>
      <w:r>
        <w:rPr>
          <w:rFonts w:hint="eastAsia" w:ascii="宋体" w:hAnsi="宋体"/>
          <w:b/>
          <w:bCs/>
          <w:sz w:val="24"/>
        </w:rPr>
        <w:t>三、对</w:t>
      </w:r>
      <w:bookmarkStart w:id="2"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3" w:name="_Toc240772095"/>
    </w:p>
    <w:p>
      <w:pPr>
        <w:adjustRightInd w:val="0"/>
        <w:spacing w:line="360" w:lineRule="auto"/>
        <w:ind w:firstLine="480" w:firstLineChars="200"/>
        <w:rPr>
          <w:rFonts w:ascii="宋体" w:hAnsi="宋体" w:cs="宋体"/>
          <w:sz w:val="24"/>
        </w:rPr>
      </w:pPr>
      <w:r>
        <w:rPr>
          <w:rFonts w:hint="eastAsia" w:ascii="宋体" w:hAnsi="宋体" w:cs="宋体"/>
          <w:sz w:val="24"/>
        </w:rPr>
        <w:t>4.对询价过程和拟成交结果的质疑</w:t>
      </w:r>
      <w:bookmarkEnd w:id="3"/>
      <w:r>
        <w:rPr>
          <w:rFonts w:hint="eastAsia" w:ascii="宋体" w:hAnsi="宋体" w:cs="宋体"/>
          <w:sz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4" w:name="_Toc240772096"/>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6.澄清或质疑不予受理的情况</w:t>
      </w:r>
      <w:bookmarkEnd w:id="4"/>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有下列情形之一的，属于无效质疑，需方不予受理，由此产生的影响由投标人自行承担：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(1)不是参与该采购项目活动供应商的；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(2)被质疑人为采购人之外的；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(3)所有质疑事项超过质疑有效期的；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(4)以具有法律效力的文书送达之外方式提出的；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(5)未按上述规定递交澄清或质疑函的；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(6)其他不符合受理条件的情形。</w:t>
      </w:r>
    </w:p>
    <w:p>
      <w:pPr>
        <w:spacing w:line="360" w:lineRule="auto"/>
        <w:rPr>
          <w:rFonts w:ascii="宋体" w:hAnsi="宋体"/>
          <w:b/>
          <w:bCs/>
          <w:sz w:val="24"/>
        </w:rPr>
      </w:pPr>
      <w:r>
        <w:rPr>
          <w:rFonts w:hint="eastAsia" w:ascii="宋体" w:hAnsi="宋体"/>
          <w:b/>
          <w:bCs/>
          <w:sz w:val="24"/>
        </w:rPr>
        <w:t>四、响应文件的编制</w:t>
      </w:r>
    </w:p>
    <w:bookmarkEnd w:id="2"/>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5" w:name="_Toc307216487"/>
      <w:r>
        <w:rPr>
          <w:rFonts w:hint="eastAsia" w:ascii="宋体" w:hAnsi="宋体"/>
          <w:sz w:val="24"/>
        </w:rPr>
        <w:t>7.响应文件的封面应标明供应商的名称、详细地址、项目名称、项目编号、正本或副本。</w:t>
      </w:r>
    </w:p>
    <w:p>
      <w:pPr>
        <w:tabs>
          <w:tab w:val="left" w:pos="1080"/>
        </w:tabs>
        <w:spacing w:line="360" w:lineRule="auto"/>
        <w:ind w:firstLine="460" w:firstLineChars="192"/>
        <w:rPr>
          <w:rFonts w:ascii="宋体" w:hAnsi="宋体"/>
          <w:sz w:val="24"/>
        </w:rPr>
      </w:pPr>
      <w:r>
        <w:rPr>
          <w:rFonts w:hint="eastAsia" w:ascii="宋体" w:hAnsi="宋体"/>
          <w:sz w:val="24"/>
        </w:rPr>
        <w:t>8.询价响应文件电子版U盘一份，须单独封装。</w:t>
      </w:r>
    </w:p>
    <w:p>
      <w:pPr>
        <w:tabs>
          <w:tab w:val="left" w:pos="1080"/>
        </w:tabs>
        <w:spacing w:line="360" w:lineRule="auto"/>
        <w:rPr>
          <w:rFonts w:ascii="宋体" w:hAnsi="宋体"/>
          <w:b/>
          <w:sz w:val="24"/>
        </w:rPr>
      </w:pPr>
      <w:r>
        <w:rPr>
          <w:rFonts w:hint="eastAsia" w:ascii="宋体" w:hAnsi="宋体"/>
          <w:b/>
          <w:sz w:val="24"/>
        </w:rPr>
        <w:t>五、响应文件的密封及标记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六、响应文</w:t>
      </w:r>
      <w:bookmarkEnd w:id="5"/>
      <w:bookmarkStart w:id="6"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6"/>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7"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7"/>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七、公开“报价一览表”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3.依次宣布各供应商的报价等。</w:t>
      </w:r>
    </w:p>
    <w:p>
      <w:pPr>
        <w:spacing w:line="360" w:lineRule="auto"/>
        <w:rPr>
          <w:rFonts w:ascii="宋体" w:hAnsi="宋体"/>
          <w:b/>
          <w:sz w:val="24"/>
        </w:rPr>
      </w:pPr>
      <w:r>
        <w:rPr>
          <w:rFonts w:hint="eastAsia" w:ascii="宋体" w:hAnsi="宋体"/>
          <w:b/>
          <w:sz w:val="24"/>
        </w:rPr>
        <w:t>八、评审程序与标准：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（1）评审时，响应文件出现下列情形之一的，将作为无效响应文件，不得进入评审：</w:t>
      </w:r>
    </w:p>
    <w:p>
      <w:pPr>
        <w:spacing w:line="360" w:lineRule="auto"/>
        <w:ind w:firstLine="480"/>
        <w:rPr>
          <w:rFonts w:ascii="宋体" w:hAnsi="宋体"/>
          <w:sz w:val="24"/>
        </w:rPr>
      </w:pPr>
      <w:r>
        <w:rPr>
          <w:rFonts w:hint="eastAsia" w:ascii="宋体" w:hAnsi="宋体"/>
          <w:sz w:val="24"/>
        </w:rPr>
        <w:t>①经查证核实有相互串通哄抬价格行为的相关响应；</w:t>
      </w:r>
    </w:p>
    <w:p>
      <w:pPr>
        <w:spacing w:line="360" w:lineRule="auto"/>
        <w:ind w:firstLine="480"/>
        <w:rPr>
          <w:rFonts w:ascii="宋体" w:hAnsi="宋体"/>
          <w:sz w:val="24"/>
        </w:rPr>
      </w:pPr>
      <w:r>
        <w:rPr>
          <w:rFonts w:hint="eastAsia" w:ascii="宋体" w:hAnsi="宋体"/>
          <w:sz w:val="24"/>
        </w:rPr>
        <w:t>②响应文件未经法定代表人签字或未盖单位公章；</w:t>
      </w:r>
    </w:p>
    <w:p>
      <w:pPr>
        <w:spacing w:line="360" w:lineRule="auto"/>
        <w:ind w:firstLine="480"/>
        <w:rPr>
          <w:rFonts w:ascii="宋体" w:hAnsi="宋体"/>
          <w:sz w:val="24"/>
        </w:rPr>
      </w:pPr>
      <w:r>
        <w:rPr>
          <w:rFonts w:hint="eastAsia" w:ascii="宋体" w:hAnsi="宋体"/>
          <w:sz w:val="24"/>
        </w:rPr>
        <w:t>③响应文件有备选方案或多项方案者；</w:t>
      </w:r>
    </w:p>
    <w:p>
      <w:pPr>
        <w:spacing w:line="360" w:lineRule="auto"/>
        <w:ind w:firstLine="480"/>
        <w:rPr>
          <w:rFonts w:ascii="宋体" w:hAnsi="宋体"/>
          <w:sz w:val="24"/>
        </w:rPr>
      </w:pPr>
      <w:r>
        <w:rPr>
          <w:rFonts w:hint="eastAsia" w:ascii="宋体" w:hAnsi="宋体"/>
          <w:sz w:val="24"/>
        </w:rPr>
        <w:t>④报价总价超过本项目预算金额的；</w:t>
      </w:r>
    </w:p>
    <w:p>
      <w:pPr>
        <w:spacing w:line="360" w:lineRule="auto"/>
        <w:ind w:firstLine="480"/>
        <w:rPr>
          <w:rFonts w:ascii="宋体" w:hAnsi="宋体"/>
          <w:sz w:val="24"/>
        </w:rPr>
      </w:pPr>
      <w:r>
        <w:rPr>
          <w:rFonts w:hint="eastAsia" w:ascii="宋体" w:hAnsi="宋体"/>
          <w:sz w:val="24"/>
        </w:rPr>
        <w:t>⑤技术响应和商务响应不能满足询价文件中技术要求和商务要求的；</w:t>
      </w:r>
    </w:p>
    <w:p>
      <w:pPr>
        <w:spacing w:line="360" w:lineRule="auto"/>
        <w:ind w:firstLine="480"/>
        <w:rPr>
          <w:rFonts w:ascii="宋体" w:hAnsi="宋体"/>
          <w:sz w:val="24"/>
        </w:rPr>
      </w:pPr>
      <w:r>
        <w:rPr>
          <w:rFonts w:hint="eastAsia" w:ascii="宋体" w:hAnsi="宋体"/>
          <w:sz w:val="24"/>
        </w:rPr>
        <w:t>⑥未满足本文件中第二章中的四、五、六条中的相关要求的。</w:t>
      </w:r>
    </w:p>
    <w:p>
      <w:pPr>
        <w:spacing w:line="360" w:lineRule="auto"/>
        <w:ind w:right="26" w:firstLine="480"/>
        <w:rPr>
          <w:rFonts w:ascii="宋体" w:hAnsi="宋体"/>
          <w:sz w:val="24"/>
        </w:rPr>
      </w:pPr>
      <w:r>
        <w:rPr>
          <w:rFonts w:hint="eastAsia" w:ascii="宋体" w:hAnsi="宋体"/>
          <w:sz w:val="24"/>
        </w:rPr>
        <w:t>（2）有下列情形之一的，询价项目作废：</w:t>
      </w:r>
    </w:p>
    <w:p>
      <w:pPr>
        <w:spacing w:line="360" w:lineRule="auto"/>
        <w:ind w:firstLine="480"/>
        <w:rPr>
          <w:rFonts w:ascii="宋体" w:hAnsi="宋体"/>
          <w:sz w:val="24"/>
        </w:rPr>
      </w:pPr>
      <w:r>
        <w:rPr>
          <w:rFonts w:hint="eastAsia" w:ascii="宋体" w:hAnsi="宋体"/>
          <w:sz w:val="24"/>
        </w:rPr>
        <w:t>①实质响应的合格供应商不足三家，询价失败的；</w:t>
      </w:r>
    </w:p>
    <w:p>
      <w:pPr>
        <w:spacing w:line="360" w:lineRule="auto"/>
        <w:ind w:firstLine="480"/>
        <w:rPr>
          <w:rFonts w:ascii="宋体" w:hAnsi="宋体"/>
          <w:sz w:val="24"/>
        </w:rPr>
      </w:pPr>
      <w:r>
        <w:rPr>
          <w:rFonts w:hint="eastAsia" w:ascii="宋体" w:hAnsi="宋体"/>
          <w:sz w:val="24"/>
        </w:rPr>
        <w:t>②询价小组否决所有响应的；</w:t>
      </w:r>
    </w:p>
    <w:p>
      <w:pPr>
        <w:spacing w:line="360" w:lineRule="auto"/>
        <w:ind w:firstLine="480"/>
        <w:rPr>
          <w:rFonts w:ascii="宋体" w:hAnsi="宋体"/>
          <w:sz w:val="24"/>
        </w:rPr>
      </w:pPr>
      <w:r>
        <w:rPr>
          <w:rFonts w:hint="eastAsia" w:ascii="宋体" w:hAnsi="宋体"/>
          <w:sz w:val="24"/>
        </w:rPr>
        <w:t>③出现影响采购公正的违法、违规行为的；</w:t>
      </w:r>
    </w:p>
    <w:p>
      <w:pPr>
        <w:spacing w:line="360" w:lineRule="auto"/>
        <w:ind w:firstLine="480"/>
        <w:rPr>
          <w:rFonts w:ascii="宋体" w:hAnsi="宋体"/>
          <w:sz w:val="24"/>
        </w:rPr>
      </w:pPr>
      <w:r>
        <w:rPr>
          <w:rFonts w:hint="eastAsia" w:ascii="宋体" w:hAnsi="宋体"/>
          <w:sz w:val="24"/>
        </w:rPr>
        <w:t>④因重大变故，采购任务取消或重大变更的；</w:t>
      </w:r>
    </w:p>
    <w:p>
      <w:pPr>
        <w:spacing w:line="360" w:lineRule="auto"/>
        <w:ind w:firstLine="480"/>
        <w:rPr>
          <w:rFonts w:ascii="宋体" w:hAnsi="宋体"/>
          <w:sz w:val="24"/>
        </w:rPr>
      </w:pPr>
      <w:r>
        <w:rPr>
          <w:rFonts w:hint="eastAsia" w:ascii="宋体" w:hAnsi="宋体"/>
          <w:sz w:val="24"/>
        </w:rPr>
        <w:t>⑤询价文件存在不合理条款，询价程序不符合规定等原因，被主管部门或者监督部门撤销的。</w:t>
      </w:r>
    </w:p>
    <w:p>
      <w:pPr>
        <w:spacing w:line="360" w:lineRule="auto"/>
        <w:ind w:firstLine="480"/>
        <w:rPr>
          <w:rFonts w:ascii="宋体" w:hAnsi="宋体"/>
          <w:b/>
          <w:sz w:val="24"/>
        </w:rPr>
      </w:pPr>
      <w:r>
        <w:rPr>
          <w:rFonts w:hint="eastAsia" w:ascii="宋体" w:hAnsi="宋体"/>
          <w:b/>
          <w:sz w:val="24"/>
        </w:rPr>
        <w:t>★2.询价小组对通过资格性审查和符合性审查的供应商进行详细评审。根据符合采购项目需求、质量、服务均满足询价文件要求且报价最低（优）的原则确定成交供应商候选人排序。</w:t>
      </w:r>
    </w:p>
    <w:p>
      <w:pPr>
        <w:spacing w:line="360" w:lineRule="auto"/>
        <w:ind w:firstLine="420" w:firstLineChars="200"/>
        <w:sectPr>
          <w:headerReference r:id="rId3" w:type="default"/>
          <w:footerReference r:id="rId4" w:type="default"/>
          <w:pgSz w:w="11907" w:h="16840"/>
          <w:pgMar w:top="1418" w:right="1247" w:bottom="1247" w:left="1418" w:header="851" w:footer="992" w:gutter="0"/>
          <w:pgNumType w:start="1"/>
          <w:cols w:space="720" w:num="1"/>
          <w:docGrid w:type="lines" w:linePitch="312" w:charSpace="0"/>
        </w:sectPr>
      </w:pPr>
    </w:p>
    <w:bookmarkEnd w:id="1"/>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Start w:id="8" w:name="_Toc238276242"/>
      <w:bookmarkStart w:id="9" w:name="_Toc294609003"/>
      <w:bookmarkStart w:id="10" w:name="_Toc265109445"/>
      <w:bookmarkStart w:id="11" w:name="_Toc327371177"/>
      <w:bookmarkStart w:id="12" w:name="_Toc236473298"/>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8"/>
      <w:bookmarkEnd w:id="9"/>
      <w:bookmarkEnd w:id="10"/>
      <w:bookmarkEnd w:id="11"/>
      <w:bookmarkEnd w:id="12"/>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21"/>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6"/>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6"/>
        <w:jc w:val="center"/>
        <w:rPr>
          <w:b/>
          <w:sz w:val="32"/>
          <w:szCs w:val="32"/>
        </w:rPr>
      </w:pPr>
      <w:r>
        <w:rPr>
          <w:rFonts w:hint="eastAsia"/>
          <w:b/>
          <w:sz w:val="32"/>
          <w:szCs w:val="32"/>
        </w:rPr>
        <w:t>分项报价表</w:t>
      </w:r>
    </w:p>
    <w:p>
      <w:pPr>
        <w:pStyle w:val="6"/>
        <w:ind w:firstLine="0"/>
        <w:rPr>
          <w:sz w:val="24"/>
          <w:szCs w:val="24"/>
        </w:rPr>
      </w:pPr>
      <w:r>
        <w:rPr>
          <w:rFonts w:hint="eastAsia"/>
          <w:sz w:val="24"/>
          <w:szCs w:val="24"/>
        </w:rPr>
        <w:t>项目名称：</w:t>
      </w:r>
    </w:p>
    <w:p>
      <w:pPr>
        <w:pStyle w:val="6"/>
        <w:ind w:firstLine="0"/>
        <w:rPr>
          <w:sz w:val="24"/>
          <w:szCs w:val="24"/>
        </w:rPr>
      </w:pPr>
      <w:r>
        <w:rPr>
          <w:rFonts w:hint="eastAsia"/>
          <w:sz w:val="24"/>
          <w:szCs w:val="24"/>
        </w:rPr>
        <w:t>项目编号：</w:t>
      </w:r>
    </w:p>
    <w:tbl>
      <w:tblPr>
        <w:tblStyle w:val="2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6"/>
              <w:ind w:firstLine="0"/>
              <w:jc w:val="center"/>
              <w:rPr>
                <w:sz w:val="24"/>
                <w:szCs w:val="24"/>
              </w:rPr>
            </w:pPr>
            <w:r>
              <w:rPr>
                <w:rFonts w:hint="eastAsia"/>
                <w:sz w:val="24"/>
                <w:szCs w:val="24"/>
              </w:rPr>
              <w:t>序号</w:t>
            </w:r>
          </w:p>
        </w:tc>
        <w:tc>
          <w:tcPr>
            <w:tcW w:w="5245" w:type="dxa"/>
            <w:vAlign w:val="center"/>
          </w:tcPr>
          <w:p>
            <w:pPr>
              <w:pStyle w:val="6"/>
              <w:ind w:firstLine="0"/>
              <w:jc w:val="center"/>
              <w:rPr>
                <w:sz w:val="24"/>
                <w:szCs w:val="24"/>
              </w:rPr>
            </w:pPr>
            <w:r>
              <w:rPr>
                <w:rFonts w:hint="eastAsia"/>
                <w:sz w:val="24"/>
                <w:szCs w:val="24"/>
              </w:rPr>
              <w:t>货物名称（可包含规格、品牌、生产厂家、产地）</w:t>
            </w:r>
          </w:p>
        </w:tc>
        <w:tc>
          <w:tcPr>
            <w:tcW w:w="992" w:type="dxa"/>
            <w:vAlign w:val="center"/>
          </w:tcPr>
          <w:p>
            <w:pPr>
              <w:pStyle w:val="6"/>
              <w:ind w:firstLine="0"/>
              <w:jc w:val="center"/>
              <w:rPr>
                <w:sz w:val="24"/>
                <w:szCs w:val="24"/>
              </w:rPr>
            </w:pPr>
            <w:r>
              <w:rPr>
                <w:rFonts w:hint="eastAsia"/>
                <w:sz w:val="24"/>
                <w:szCs w:val="24"/>
              </w:rPr>
              <w:t>数量</w:t>
            </w:r>
          </w:p>
        </w:tc>
        <w:tc>
          <w:tcPr>
            <w:tcW w:w="851" w:type="dxa"/>
            <w:vAlign w:val="center"/>
          </w:tcPr>
          <w:p>
            <w:pPr>
              <w:pStyle w:val="6"/>
              <w:ind w:firstLine="0"/>
              <w:jc w:val="center"/>
              <w:rPr>
                <w:sz w:val="24"/>
                <w:szCs w:val="24"/>
              </w:rPr>
            </w:pPr>
            <w:r>
              <w:rPr>
                <w:rFonts w:hint="eastAsia"/>
                <w:sz w:val="24"/>
                <w:szCs w:val="24"/>
              </w:rPr>
              <w:t>单价</w:t>
            </w:r>
          </w:p>
        </w:tc>
        <w:tc>
          <w:tcPr>
            <w:tcW w:w="850" w:type="dxa"/>
            <w:vAlign w:val="center"/>
          </w:tcPr>
          <w:p>
            <w:pPr>
              <w:pStyle w:val="6"/>
              <w:ind w:firstLine="0"/>
              <w:jc w:val="center"/>
              <w:rPr>
                <w:sz w:val="24"/>
                <w:szCs w:val="24"/>
              </w:rPr>
            </w:pPr>
            <w:r>
              <w:rPr>
                <w:rFonts w:hint="eastAsia"/>
                <w:sz w:val="24"/>
                <w:szCs w:val="24"/>
              </w:rPr>
              <w:t>总价</w:t>
            </w:r>
          </w:p>
        </w:tc>
        <w:tc>
          <w:tcPr>
            <w:tcW w:w="851" w:type="dxa"/>
            <w:vAlign w:val="center"/>
          </w:tcPr>
          <w:p>
            <w:pPr>
              <w:pStyle w:val="6"/>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rFonts w:ascii="宋体" w:hAnsi="宋体"/>
                <w:sz w:val="32"/>
                <w:szCs w:val="32"/>
              </w:rPr>
            </w:pPr>
          </w:p>
        </w:tc>
        <w:tc>
          <w:tcPr>
            <w:tcW w:w="5245" w:type="dxa"/>
          </w:tcPr>
          <w:p>
            <w:pPr>
              <w:pStyle w:val="6"/>
              <w:ind w:firstLine="0"/>
              <w:jc w:val="center"/>
              <w:rPr>
                <w:b/>
                <w:sz w:val="32"/>
                <w:szCs w:val="32"/>
              </w:rPr>
            </w:pPr>
          </w:p>
        </w:tc>
        <w:tc>
          <w:tcPr>
            <w:tcW w:w="992" w:type="dxa"/>
          </w:tcPr>
          <w:p>
            <w:pPr>
              <w:pStyle w:val="6"/>
              <w:ind w:firstLine="0"/>
              <w:jc w:val="center"/>
              <w:rPr>
                <w:sz w:val="32"/>
                <w:szCs w:val="32"/>
              </w:rPr>
            </w:pPr>
          </w:p>
        </w:tc>
        <w:tc>
          <w:tcPr>
            <w:tcW w:w="851" w:type="dxa"/>
          </w:tcPr>
          <w:p>
            <w:pPr>
              <w:pStyle w:val="6"/>
              <w:ind w:firstLine="0"/>
              <w:jc w:val="center"/>
              <w:rPr>
                <w:sz w:val="32"/>
                <w:szCs w:val="32"/>
              </w:rPr>
            </w:pPr>
          </w:p>
        </w:tc>
        <w:tc>
          <w:tcPr>
            <w:tcW w:w="850" w:type="dxa"/>
          </w:tcPr>
          <w:p>
            <w:pPr>
              <w:pStyle w:val="6"/>
              <w:ind w:firstLine="0"/>
              <w:jc w:val="center"/>
              <w:rPr>
                <w:sz w:val="32"/>
                <w:szCs w:val="32"/>
              </w:rPr>
            </w:pPr>
          </w:p>
        </w:tc>
        <w:tc>
          <w:tcPr>
            <w:tcW w:w="851" w:type="dxa"/>
          </w:tcPr>
          <w:p>
            <w:pPr>
              <w:pStyle w:val="6"/>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bl>
    <w:p>
      <w:pPr>
        <w:pStyle w:val="6"/>
        <w:ind w:firstLine="0"/>
        <w:rPr>
          <w:rFonts w:ascii="宋体" w:hAnsi="宋体"/>
          <w:sz w:val="24"/>
          <w:szCs w:val="24"/>
        </w:rPr>
      </w:pPr>
      <w:r>
        <w:rPr>
          <w:rFonts w:hint="eastAsia" w:ascii="宋体" w:hAnsi="宋体"/>
          <w:sz w:val="24"/>
          <w:szCs w:val="24"/>
        </w:rPr>
        <w:t>说明</w:t>
      </w:r>
    </w:p>
    <w:p>
      <w:pPr>
        <w:pStyle w:val="6"/>
        <w:numPr>
          <w:ilvl w:val="0"/>
          <w:numId w:val="1"/>
        </w:numPr>
        <w:rPr>
          <w:rFonts w:ascii="宋体" w:hAnsi="宋体"/>
          <w:sz w:val="24"/>
          <w:szCs w:val="24"/>
        </w:rPr>
      </w:pPr>
      <w:r>
        <w:rPr>
          <w:rFonts w:hint="eastAsia" w:ascii="宋体" w:hAnsi="宋体"/>
          <w:sz w:val="24"/>
          <w:szCs w:val="24"/>
        </w:rPr>
        <w:t>所有价格均用人民币表示，单位为元。</w:t>
      </w:r>
    </w:p>
    <w:p>
      <w:pPr>
        <w:pStyle w:val="6"/>
        <w:numPr>
          <w:ilvl w:val="0"/>
          <w:numId w:val="1"/>
        </w:numPr>
        <w:rPr>
          <w:rFonts w:ascii="宋体" w:hAnsi="宋体"/>
          <w:sz w:val="24"/>
          <w:szCs w:val="24"/>
        </w:rPr>
      </w:pPr>
      <w:r>
        <w:rPr>
          <w:rFonts w:hint="eastAsia" w:ascii="宋体" w:hAnsi="宋体"/>
          <w:sz w:val="24"/>
          <w:szCs w:val="24"/>
        </w:rPr>
        <w:t>分项报价总计价格必须与《开标一览表》报价一致。</w:t>
      </w:r>
    </w:p>
    <w:p>
      <w:pPr>
        <w:pStyle w:val="6"/>
        <w:numPr>
          <w:ilvl w:val="0"/>
          <w:numId w:val="1"/>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6"/>
        <w:rPr>
          <w:rFonts w:ascii="宋体" w:hAnsi="宋体"/>
          <w:sz w:val="24"/>
          <w:szCs w:val="24"/>
        </w:rPr>
      </w:pPr>
    </w:p>
    <w:p>
      <w:pPr>
        <w:pStyle w:val="6"/>
        <w:rPr>
          <w:rFonts w:ascii="宋体" w:hAnsi="宋体"/>
          <w:sz w:val="24"/>
          <w:szCs w:val="24"/>
        </w:rPr>
      </w:pPr>
    </w:p>
    <w:p>
      <w:pPr>
        <w:pStyle w:val="6"/>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6"/>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6"/>
        <w:jc w:val="center"/>
        <w:rPr>
          <w:b/>
          <w:sz w:val="30"/>
          <w:szCs w:val="30"/>
        </w:rPr>
      </w:pPr>
      <w:r>
        <w:rPr>
          <w:rFonts w:hint="eastAsia"/>
          <w:b/>
          <w:sz w:val="30"/>
          <w:szCs w:val="30"/>
        </w:rPr>
        <w:t>投标货物清单</w:t>
      </w:r>
    </w:p>
    <w:p>
      <w:pPr>
        <w:pStyle w:val="6"/>
      </w:pPr>
    </w:p>
    <w:p>
      <w:pPr>
        <w:pStyle w:val="6"/>
        <w:ind w:firstLine="0"/>
        <w:rPr>
          <w:sz w:val="24"/>
          <w:szCs w:val="24"/>
        </w:rPr>
      </w:pPr>
      <w:r>
        <w:rPr>
          <w:rFonts w:hint="eastAsia"/>
          <w:sz w:val="24"/>
          <w:szCs w:val="24"/>
        </w:rPr>
        <w:t>项目名称：</w:t>
      </w:r>
    </w:p>
    <w:p>
      <w:pPr>
        <w:pStyle w:val="6"/>
        <w:ind w:firstLine="0"/>
        <w:rPr>
          <w:b/>
          <w:sz w:val="24"/>
          <w:szCs w:val="24"/>
        </w:rPr>
      </w:pPr>
      <w:r>
        <w:rPr>
          <w:rFonts w:hint="eastAsia"/>
          <w:sz w:val="24"/>
          <w:szCs w:val="24"/>
        </w:rPr>
        <w:t>项目编号：</w:t>
      </w:r>
    </w:p>
    <w:tbl>
      <w:tblPr>
        <w:tblStyle w:val="2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6"/>
              <w:ind w:firstLine="0"/>
              <w:jc w:val="center"/>
              <w:rPr>
                <w:sz w:val="24"/>
                <w:szCs w:val="24"/>
              </w:rPr>
            </w:pPr>
            <w:r>
              <w:rPr>
                <w:rFonts w:hint="eastAsia"/>
                <w:sz w:val="24"/>
                <w:szCs w:val="24"/>
              </w:rPr>
              <w:t>序号</w:t>
            </w:r>
          </w:p>
        </w:tc>
        <w:tc>
          <w:tcPr>
            <w:tcW w:w="1843" w:type="dxa"/>
            <w:vAlign w:val="center"/>
          </w:tcPr>
          <w:p>
            <w:pPr>
              <w:pStyle w:val="6"/>
              <w:ind w:firstLine="0"/>
              <w:jc w:val="center"/>
              <w:rPr>
                <w:sz w:val="24"/>
                <w:szCs w:val="24"/>
              </w:rPr>
            </w:pPr>
            <w:r>
              <w:rPr>
                <w:rFonts w:hint="eastAsia"/>
                <w:sz w:val="24"/>
                <w:szCs w:val="24"/>
              </w:rPr>
              <w:t>货物名称</w:t>
            </w:r>
          </w:p>
        </w:tc>
        <w:tc>
          <w:tcPr>
            <w:tcW w:w="2835" w:type="dxa"/>
            <w:vAlign w:val="center"/>
          </w:tcPr>
          <w:p>
            <w:pPr>
              <w:pStyle w:val="6"/>
              <w:ind w:firstLine="0"/>
              <w:jc w:val="center"/>
              <w:rPr>
                <w:sz w:val="24"/>
                <w:szCs w:val="24"/>
              </w:rPr>
            </w:pPr>
            <w:r>
              <w:rPr>
                <w:rFonts w:hint="eastAsia"/>
                <w:sz w:val="24"/>
                <w:szCs w:val="24"/>
              </w:rPr>
              <w:t>品牌、型号、生产厂家、产地</w:t>
            </w:r>
          </w:p>
        </w:tc>
        <w:tc>
          <w:tcPr>
            <w:tcW w:w="2410" w:type="dxa"/>
            <w:vAlign w:val="center"/>
          </w:tcPr>
          <w:p>
            <w:pPr>
              <w:pStyle w:val="6"/>
              <w:ind w:firstLine="0"/>
              <w:jc w:val="center"/>
              <w:rPr>
                <w:sz w:val="24"/>
                <w:szCs w:val="24"/>
              </w:rPr>
            </w:pPr>
            <w:r>
              <w:rPr>
                <w:rFonts w:hint="eastAsia"/>
                <w:sz w:val="24"/>
                <w:szCs w:val="24"/>
              </w:rPr>
              <w:t>技术规格</w:t>
            </w:r>
          </w:p>
        </w:tc>
        <w:tc>
          <w:tcPr>
            <w:tcW w:w="850" w:type="dxa"/>
            <w:vAlign w:val="center"/>
          </w:tcPr>
          <w:p>
            <w:pPr>
              <w:pStyle w:val="6"/>
              <w:ind w:firstLine="0"/>
              <w:jc w:val="center"/>
              <w:rPr>
                <w:sz w:val="24"/>
                <w:szCs w:val="24"/>
              </w:rPr>
            </w:pPr>
            <w:r>
              <w:rPr>
                <w:rFonts w:hint="eastAsia"/>
                <w:sz w:val="24"/>
                <w:szCs w:val="24"/>
              </w:rPr>
              <w:t>数量</w:t>
            </w:r>
          </w:p>
        </w:tc>
        <w:tc>
          <w:tcPr>
            <w:tcW w:w="851" w:type="dxa"/>
            <w:vAlign w:val="center"/>
          </w:tcPr>
          <w:p>
            <w:pPr>
              <w:pStyle w:val="6"/>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rFonts w:ascii="宋体" w:hAnsi="宋体"/>
                <w:sz w:val="32"/>
                <w:szCs w:val="32"/>
              </w:rPr>
            </w:pPr>
          </w:p>
        </w:tc>
        <w:tc>
          <w:tcPr>
            <w:tcW w:w="1843" w:type="dxa"/>
          </w:tcPr>
          <w:p>
            <w:pPr>
              <w:pStyle w:val="6"/>
              <w:ind w:firstLine="0"/>
              <w:jc w:val="center"/>
              <w:rPr>
                <w:b/>
                <w:sz w:val="32"/>
                <w:szCs w:val="32"/>
              </w:rPr>
            </w:pPr>
          </w:p>
        </w:tc>
        <w:tc>
          <w:tcPr>
            <w:tcW w:w="2835" w:type="dxa"/>
          </w:tcPr>
          <w:p>
            <w:pPr>
              <w:pStyle w:val="6"/>
              <w:ind w:firstLine="0"/>
              <w:jc w:val="center"/>
              <w:rPr>
                <w:sz w:val="32"/>
                <w:szCs w:val="32"/>
              </w:rPr>
            </w:pPr>
          </w:p>
        </w:tc>
        <w:tc>
          <w:tcPr>
            <w:tcW w:w="2410" w:type="dxa"/>
          </w:tcPr>
          <w:p>
            <w:pPr>
              <w:pStyle w:val="6"/>
              <w:ind w:firstLine="0"/>
              <w:jc w:val="center"/>
              <w:rPr>
                <w:sz w:val="32"/>
                <w:szCs w:val="32"/>
              </w:rPr>
            </w:pPr>
          </w:p>
        </w:tc>
        <w:tc>
          <w:tcPr>
            <w:tcW w:w="850" w:type="dxa"/>
          </w:tcPr>
          <w:p>
            <w:pPr>
              <w:pStyle w:val="6"/>
              <w:ind w:firstLine="0"/>
              <w:jc w:val="center"/>
              <w:rPr>
                <w:sz w:val="32"/>
                <w:szCs w:val="32"/>
              </w:rPr>
            </w:pPr>
          </w:p>
        </w:tc>
        <w:tc>
          <w:tcPr>
            <w:tcW w:w="851" w:type="dxa"/>
          </w:tcPr>
          <w:p>
            <w:pPr>
              <w:pStyle w:val="6"/>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bl>
    <w:p>
      <w:pPr>
        <w:pStyle w:val="6"/>
        <w:ind w:firstLine="0"/>
      </w:pPr>
    </w:p>
    <w:p>
      <w:pPr>
        <w:pStyle w:val="6"/>
        <w:ind w:firstLine="0"/>
      </w:pPr>
    </w:p>
    <w:p>
      <w:pPr>
        <w:pStyle w:val="6"/>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4"/>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6"/>
        <w:jc w:val="center"/>
        <w:rPr>
          <w:b/>
          <w:sz w:val="30"/>
          <w:szCs w:val="30"/>
        </w:rPr>
      </w:pPr>
      <w:r>
        <w:rPr>
          <w:rFonts w:hint="eastAsia"/>
          <w:b/>
          <w:sz w:val="30"/>
          <w:szCs w:val="30"/>
        </w:rPr>
        <w:t>采购需求响应、偏离说明表</w:t>
      </w:r>
    </w:p>
    <w:p>
      <w:pPr>
        <w:pStyle w:val="6"/>
      </w:pPr>
    </w:p>
    <w:p>
      <w:pPr>
        <w:pStyle w:val="6"/>
        <w:ind w:firstLine="0"/>
        <w:rPr>
          <w:sz w:val="24"/>
          <w:szCs w:val="24"/>
        </w:rPr>
      </w:pPr>
      <w:r>
        <w:rPr>
          <w:rFonts w:hint="eastAsia"/>
          <w:sz w:val="24"/>
          <w:szCs w:val="24"/>
        </w:rPr>
        <w:t>项目名称：</w:t>
      </w:r>
    </w:p>
    <w:p>
      <w:pPr>
        <w:pStyle w:val="6"/>
        <w:ind w:firstLine="0"/>
        <w:rPr>
          <w:b/>
          <w:sz w:val="24"/>
          <w:szCs w:val="24"/>
        </w:rPr>
      </w:pPr>
      <w:r>
        <w:rPr>
          <w:rFonts w:hint="eastAsia"/>
          <w:sz w:val="24"/>
          <w:szCs w:val="24"/>
        </w:rPr>
        <w:t>项目编号：</w:t>
      </w:r>
    </w:p>
    <w:tbl>
      <w:tblPr>
        <w:tblStyle w:val="2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6"/>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75" w:type="dxa"/>
          </w:tcPr>
          <w:p>
            <w:pPr>
              <w:pStyle w:val="6"/>
              <w:ind w:firstLine="0"/>
              <w:jc w:val="center"/>
            </w:pPr>
            <w:r>
              <w:rPr>
                <w:rFonts w:hint="eastAsia"/>
              </w:rPr>
              <w:t>序号</w:t>
            </w:r>
          </w:p>
        </w:tc>
        <w:tc>
          <w:tcPr>
            <w:tcW w:w="4053" w:type="dxa"/>
          </w:tcPr>
          <w:p>
            <w:pPr>
              <w:pStyle w:val="6"/>
              <w:ind w:firstLine="0"/>
              <w:jc w:val="center"/>
            </w:pPr>
            <w:r>
              <w:rPr>
                <w:rFonts w:hint="eastAsia"/>
              </w:rPr>
              <w:t>招标文件要求部分</w:t>
            </w:r>
          </w:p>
        </w:tc>
        <w:tc>
          <w:tcPr>
            <w:tcW w:w="3460" w:type="dxa"/>
          </w:tcPr>
          <w:p>
            <w:pPr>
              <w:pStyle w:val="6"/>
              <w:ind w:firstLine="0"/>
              <w:jc w:val="center"/>
            </w:pPr>
            <w:r>
              <w:rPr>
                <w:rFonts w:hint="eastAsia"/>
              </w:rPr>
              <w:t>投标文件响应部分</w:t>
            </w:r>
          </w:p>
        </w:tc>
        <w:tc>
          <w:tcPr>
            <w:tcW w:w="1270" w:type="dxa"/>
          </w:tcPr>
          <w:p>
            <w:pPr>
              <w:pStyle w:val="6"/>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1</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2</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3</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6"/>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序号</w:t>
            </w:r>
          </w:p>
        </w:tc>
        <w:tc>
          <w:tcPr>
            <w:tcW w:w="4053" w:type="dxa"/>
          </w:tcPr>
          <w:p>
            <w:pPr>
              <w:pStyle w:val="6"/>
              <w:ind w:firstLine="0"/>
              <w:jc w:val="center"/>
            </w:pPr>
            <w:r>
              <w:rPr>
                <w:rFonts w:hint="eastAsia"/>
              </w:rPr>
              <w:t>招标文件要求部分</w:t>
            </w:r>
          </w:p>
        </w:tc>
        <w:tc>
          <w:tcPr>
            <w:tcW w:w="3460" w:type="dxa"/>
          </w:tcPr>
          <w:p>
            <w:pPr>
              <w:pStyle w:val="6"/>
              <w:ind w:firstLine="0"/>
              <w:jc w:val="center"/>
            </w:pPr>
            <w:r>
              <w:rPr>
                <w:rFonts w:hint="eastAsia"/>
              </w:rPr>
              <w:t>投标文件响应部分</w:t>
            </w:r>
          </w:p>
        </w:tc>
        <w:tc>
          <w:tcPr>
            <w:tcW w:w="1270" w:type="dxa"/>
          </w:tcPr>
          <w:p>
            <w:pPr>
              <w:pStyle w:val="6"/>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1</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2</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3</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bl>
    <w:p>
      <w:pPr>
        <w:pStyle w:val="6"/>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6"/>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供应商认为应提供的其他材料</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8"/>
          <w:szCs w:val="28"/>
        </w:rPr>
      </w:pP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4795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7785" cy="147955"/>
                      </a:xfrm>
                      <a:prstGeom prst="rect">
                        <a:avLst/>
                      </a:prstGeom>
                      <a:noFill/>
                      <a:ln>
                        <a:noFill/>
                      </a:ln>
                    </wps:spPr>
                    <wps:txbx>
                      <w:txbxContent>
                        <w:p>
                          <w:pPr>
                            <w:pStyle w:val="13"/>
                            <w:rPr>
                              <w:rStyle w:val="25"/>
                            </w:rPr>
                          </w:pPr>
                          <w:r>
                            <w:fldChar w:fldCharType="begin"/>
                          </w:r>
                          <w:r>
                            <w:rPr>
                              <w:rStyle w:val="25"/>
                            </w:rPr>
                            <w:instrText xml:space="preserve">PAGE  </w:instrText>
                          </w:r>
                          <w:r>
                            <w:fldChar w:fldCharType="separate"/>
                          </w:r>
                          <w:r>
                            <w:rPr>
                              <w:rStyle w:val="25"/>
                            </w:rPr>
                            <w:t>2</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4.55pt;mso-position-horizontal:center;mso-position-horizontal-relative:margin;mso-wrap-style:none;z-index:251660288;mso-width-relative:page;mso-height-relative:page;" filled="f" stroked="f" coordsize="21600,21600" o:gfxdata="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nyxwC0QAAAAIBAAAPAAAAAAAAAAEAIAAAACIAAABkcnMvZG93&#10;bnJldi54bWxQSwECFAAUAAAACACHTuJA2ILGCgcCAAABBAAADgAAAAAAAAABACAAAAAgAQAAZHJz&#10;L2Uyb0RvYy54bWxQSwUGAAAAAAYABgBZAQAAmQUAAAAA&#10;">
              <v:fill on="f" focussize="0,0"/>
              <v:stroke on="f"/>
              <v:imagedata o:title=""/>
              <o:lock v:ext="edit" aspectratio="f"/>
              <v:textbox inset="0mm,0mm,0mm,0mm" style="mso-fit-shape-to-text:t;">
                <w:txbxContent>
                  <w:p>
                    <w:pPr>
                      <w:pStyle w:val="13"/>
                      <w:rPr>
                        <w:rStyle w:val="25"/>
                      </w:rPr>
                    </w:pPr>
                    <w:r>
                      <w:fldChar w:fldCharType="begin"/>
                    </w:r>
                    <w:r>
                      <w:rPr>
                        <w:rStyle w:val="25"/>
                      </w:rPr>
                      <w:instrText xml:space="preserve">PAGE  </w:instrText>
                    </w:r>
                    <w:r>
                      <w:fldChar w:fldCharType="separate"/>
                    </w:r>
                    <w:r>
                      <w:rPr>
                        <w:rStyle w:val="25"/>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hkZTk4OTRjNDY1OTZjMzAwYzJhMDY0MzMwMDFiMzYifQ=="/>
  </w:docVars>
  <w:rsids>
    <w:rsidRoot w:val="00172A27"/>
    <w:rsid w:val="00000119"/>
    <w:rsid w:val="00000E43"/>
    <w:rsid w:val="00001517"/>
    <w:rsid w:val="00001BC9"/>
    <w:rsid w:val="00012858"/>
    <w:rsid w:val="00021738"/>
    <w:rsid w:val="000233BA"/>
    <w:rsid w:val="000254A2"/>
    <w:rsid w:val="00030BBE"/>
    <w:rsid w:val="00031D3C"/>
    <w:rsid w:val="00032821"/>
    <w:rsid w:val="00037E77"/>
    <w:rsid w:val="00041BE9"/>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084C"/>
    <w:rsid w:val="00123084"/>
    <w:rsid w:val="0012387D"/>
    <w:rsid w:val="0012528C"/>
    <w:rsid w:val="0013185B"/>
    <w:rsid w:val="00131CD9"/>
    <w:rsid w:val="001329C4"/>
    <w:rsid w:val="00136528"/>
    <w:rsid w:val="00136FF5"/>
    <w:rsid w:val="0013768A"/>
    <w:rsid w:val="0014386E"/>
    <w:rsid w:val="00143AE0"/>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3EE2"/>
    <w:rsid w:val="00196AE1"/>
    <w:rsid w:val="00196F3A"/>
    <w:rsid w:val="001A0987"/>
    <w:rsid w:val="001A3E5A"/>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445"/>
    <w:rsid w:val="002807E0"/>
    <w:rsid w:val="002812D5"/>
    <w:rsid w:val="002831F0"/>
    <w:rsid w:val="00286410"/>
    <w:rsid w:val="00290391"/>
    <w:rsid w:val="002908A9"/>
    <w:rsid w:val="00296E1B"/>
    <w:rsid w:val="002A09BF"/>
    <w:rsid w:val="002A545C"/>
    <w:rsid w:val="002A69C9"/>
    <w:rsid w:val="002A733C"/>
    <w:rsid w:val="002B01A5"/>
    <w:rsid w:val="002B4107"/>
    <w:rsid w:val="002B4AFE"/>
    <w:rsid w:val="002C0D1E"/>
    <w:rsid w:val="002C3898"/>
    <w:rsid w:val="002C3C6E"/>
    <w:rsid w:val="002C48A7"/>
    <w:rsid w:val="002C5AC0"/>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8E4"/>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BD3"/>
    <w:rsid w:val="00482F9A"/>
    <w:rsid w:val="0048586D"/>
    <w:rsid w:val="0048668D"/>
    <w:rsid w:val="004A0122"/>
    <w:rsid w:val="004A465A"/>
    <w:rsid w:val="004A5DF3"/>
    <w:rsid w:val="004A62BD"/>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3119"/>
    <w:rsid w:val="005459B4"/>
    <w:rsid w:val="0055098E"/>
    <w:rsid w:val="0055334C"/>
    <w:rsid w:val="00553738"/>
    <w:rsid w:val="00556F3F"/>
    <w:rsid w:val="00557CBB"/>
    <w:rsid w:val="00560F40"/>
    <w:rsid w:val="00563EC0"/>
    <w:rsid w:val="005674AD"/>
    <w:rsid w:val="0057312A"/>
    <w:rsid w:val="005745C8"/>
    <w:rsid w:val="0057558B"/>
    <w:rsid w:val="00581E3B"/>
    <w:rsid w:val="005826EF"/>
    <w:rsid w:val="00592C51"/>
    <w:rsid w:val="005A1577"/>
    <w:rsid w:val="005A58EA"/>
    <w:rsid w:val="005A7F5A"/>
    <w:rsid w:val="005B1F53"/>
    <w:rsid w:val="005B5FE1"/>
    <w:rsid w:val="005B7CE1"/>
    <w:rsid w:val="005C025F"/>
    <w:rsid w:val="005D1E56"/>
    <w:rsid w:val="005D2357"/>
    <w:rsid w:val="005E59F2"/>
    <w:rsid w:val="005F2422"/>
    <w:rsid w:val="005F4C4A"/>
    <w:rsid w:val="005F5048"/>
    <w:rsid w:val="00600B29"/>
    <w:rsid w:val="00603D56"/>
    <w:rsid w:val="006126A6"/>
    <w:rsid w:val="00614485"/>
    <w:rsid w:val="0062165A"/>
    <w:rsid w:val="00623A81"/>
    <w:rsid w:val="00625C59"/>
    <w:rsid w:val="00637A11"/>
    <w:rsid w:val="00640270"/>
    <w:rsid w:val="00642FA4"/>
    <w:rsid w:val="00643853"/>
    <w:rsid w:val="0065256F"/>
    <w:rsid w:val="006532C0"/>
    <w:rsid w:val="0065370F"/>
    <w:rsid w:val="006608BC"/>
    <w:rsid w:val="006609A5"/>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5DC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28A1"/>
    <w:rsid w:val="00896907"/>
    <w:rsid w:val="00896AEE"/>
    <w:rsid w:val="008973E5"/>
    <w:rsid w:val="008A0B2D"/>
    <w:rsid w:val="008A1FD4"/>
    <w:rsid w:val="008A3009"/>
    <w:rsid w:val="008A3591"/>
    <w:rsid w:val="008A673D"/>
    <w:rsid w:val="008B1A03"/>
    <w:rsid w:val="008B1D93"/>
    <w:rsid w:val="008C200E"/>
    <w:rsid w:val="008C54CC"/>
    <w:rsid w:val="008D10DE"/>
    <w:rsid w:val="008D648D"/>
    <w:rsid w:val="008D6498"/>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18CB"/>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3D3"/>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31280"/>
    <w:rsid w:val="00B3609A"/>
    <w:rsid w:val="00B44D1C"/>
    <w:rsid w:val="00B459C4"/>
    <w:rsid w:val="00B5024D"/>
    <w:rsid w:val="00B51975"/>
    <w:rsid w:val="00B53331"/>
    <w:rsid w:val="00B54817"/>
    <w:rsid w:val="00B562D9"/>
    <w:rsid w:val="00B64E9B"/>
    <w:rsid w:val="00B65EDD"/>
    <w:rsid w:val="00B67DDA"/>
    <w:rsid w:val="00B71520"/>
    <w:rsid w:val="00B7364D"/>
    <w:rsid w:val="00B75F8F"/>
    <w:rsid w:val="00B80004"/>
    <w:rsid w:val="00B85EEB"/>
    <w:rsid w:val="00B92BBB"/>
    <w:rsid w:val="00B92C08"/>
    <w:rsid w:val="00B93F05"/>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6EB"/>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3A3D"/>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0A75"/>
    <w:rsid w:val="00D41D92"/>
    <w:rsid w:val="00D4371C"/>
    <w:rsid w:val="00D44D0D"/>
    <w:rsid w:val="00D50A72"/>
    <w:rsid w:val="00D57D3E"/>
    <w:rsid w:val="00D6014B"/>
    <w:rsid w:val="00D60EAE"/>
    <w:rsid w:val="00D61F5C"/>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2B1B"/>
    <w:rsid w:val="00DA35AB"/>
    <w:rsid w:val="00DB1220"/>
    <w:rsid w:val="00DB3650"/>
    <w:rsid w:val="00DB42DD"/>
    <w:rsid w:val="00DB6ABA"/>
    <w:rsid w:val="00DC0365"/>
    <w:rsid w:val="00DC0CE5"/>
    <w:rsid w:val="00DC4827"/>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112D"/>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57A54CA"/>
    <w:rsid w:val="096531E2"/>
    <w:rsid w:val="098C501E"/>
    <w:rsid w:val="0A412F0D"/>
    <w:rsid w:val="0B1B470A"/>
    <w:rsid w:val="0C8D0B1C"/>
    <w:rsid w:val="0DB2633E"/>
    <w:rsid w:val="0E170F1D"/>
    <w:rsid w:val="1096558D"/>
    <w:rsid w:val="11B431FE"/>
    <w:rsid w:val="1400520D"/>
    <w:rsid w:val="167C7678"/>
    <w:rsid w:val="16CE0DE2"/>
    <w:rsid w:val="180C163C"/>
    <w:rsid w:val="1F44140D"/>
    <w:rsid w:val="22E13702"/>
    <w:rsid w:val="26865047"/>
    <w:rsid w:val="29175E93"/>
    <w:rsid w:val="29270DDD"/>
    <w:rsid w:val="29C651C2"/>
    <w:rsid w:val="2BD831ED"/>
    <w:rsid w:val="30ED3773"/>
    <w:rsid w:val="30F454E0"/>
    <w:rsid w:val="3A7D7082"/>
    <w:rsid w:val="3B0418F4"/>
    <w:rsid w:val="3DBE762D"/>
    <w:rsid w:val="3E842D9E"/>
    <w:rsid w:val="42497455"/>
    <w:rsid w:val="469902C4"/>
    <w:rsid w:val="4BF27BEA"/>
    <w:rsid w:val="531410DD"/>
    <w:rsid w:val="5398783B"/>
    <w:rsid w:val="553E2EC3"/>
    <w:rsid w:val="56666A83"/>
    <w:rsid w:val="57E81BF9"/>
    <w:rsid w:val="59575F32"/>
    <w:rsid w:val="59A565CA"/>
    <w:rsid w:val="59F903C5"/>
    <w:rsid w:val="5B0A7487"/>
    <w:rsid w:val="5CA2370E"/>
    <w:rsid w:val="60E82B42"/>
    <w:rsid w:val="62472877"/>
    <w:rsid w:val="650B258F"/>
    <w:rsid w:val="65B03214"/>
    <w:rsid w:val="6959727F"/>
    <w:rsid w:val="6DF90163"/>
    <w:rsid w:val="6F7F79F7"/>
    <w:rsid w:val="6FA636AF"/>
    <w:rsid w:val="77132E88"/>
    <w:rsid w:val="77B708B5"/>
    <w:rsid w:val="79583F04"/>
    <w:rsid w:val="79C62E83"/>
    <w:rsid w:val="7B106F2E"/>
    <w:rsid w:val="7B6316DF"/>
    <w:rsid w:val="7C4E6381"/>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6"/>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2"/>
    <w:qFormat/>
    <w:uiPriority w:val="0"/>
    <w:pPr>
      <w:keepNext/>
      <w:keepLines/>
      <w:spacing w:before="260" w:after="260" w:line="416" w:lineRule="auto"/>
      <w:outlineLvl w:val="2"/>
    </w:pPr>
    <w:rPr>
      <w:b/>
      <w:bCs/>
      <w:sz w:val="32"/>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table of authorities"/>
    <w:basedOn w:val="1"/>
    <w:next w:val="1"/>
    <w:unhideWhenUsed/>
    <w:qFormat/>
    <w:uiPriority w:val="99"/>
    <w:pPr>
      <w:ind w:left="420" w:leftChars="200"/>
    </w:pPr>
  </w:style>
  <w:style w:type="paragraph" w:styleId="6">
    <w:name w:val="Normal Indent"/>
    <w:basedOn w:val="1"/>
    <w:link w:val="40"/>
    <w:qFormat/>
    <w:uiPriority w:val="0"/>
    <w:pPr>
      <w:ind w:firstLine="420"/>
    </w:pPr>
    <w:rPr>
      <w:szCs w:val="20"/>
    </w:rPr>
  </w:style>
  <w:style w:type="paragraph" w:styleId="7">
    <w:name w:val="Document Map"/>
    <w:basedOn w:val="1"/>
    <w:link w:val="37"/>
    <w:qFormat/>
    <w:uiPriority w:val="0"/>
    <w:rPr>
      <w:rFonts w:ascii="宋体"/>
      <w:sz w:val="18"/>
      <w:szCs w:val="18"/>
    </w:rPr>
  </w:style>
  <w:style w:type="paragraph" w:styleId="8">
    <w:name w:val="annotation text"/>
    <w:basedOn w:val="1"/>
    <w:link w:val="47"/>
    <w:qFormat/>
    <w:uiPriority w:val="0"/>
    <w:pPr>
      <w:jc w:val="left"/>
    </w:pPr>
  </w:style>
  <w:style w:type="paragraph" w:styleId="9">
    <w:name w:val="Body Text"/>
    <w:basedOn w:val="1"/>
    <w:link w:val="48"/>
    <w:qFormat/>
    <w:uiPriority w:val="0"/>
    <w:pPr>
      <w:spacing w:after="120"/>
    </w:pPr>
    <w:rPr>
      <w:sz w:val="28"/>
    </w:rPr>
  </w:style>
  <w:style w:type="paragraph" w:styleId="10">
    <w:name w:val="Body Text Indent"/>
    <w:basedOn w:val="1"/>
    <w:link w:val="49"/>
    <w:qFormat/>
    <w:uiPriority w:val="0"/>
    <w:pPr>
      <w:ind w:firstLine="830" w:firstLineChars="352"/>
    </w:pPr>
    <w:rPr>
      <w:rFonts w:ascii="仿宋_GB2312" w:eastAsia="仿宋_GB2312"/>
      <w:sz w:val="32"/>
      <w:szCs w:val="20"/>
    </w:rPr>
  </w:style>
  <w:style w:type="paragraph" w:styleId="11">
    <w:name w:val="Plain Text"/>
    <w:basedOn w:val="1"/>
    <w:link w:val="39"/>
    <w:qFormat/>
    <w:uiPriority w:val="0"/>
    <w:rPr>
      <w:rFonts w:ascii="宋体" w:hAnsi="Courier New" w:cs="Courier New"/>
      <w:szCs w:val="21"/>
    </w:rPr>
  </w:style>
  <w:style w:type="paragraph" w:styleId="12">
    <w:name w:val="Balloon Text"/>
    <w:basedOn w:val="1"/>
    <w:link w:val="50"/>
    <w:qFormat/>
    <w:uiPriority w:val="0"/>
    <w:rPr>
      <w:sz w:val="18"/>
      <w:szCs w:val="18"/>
    </w:rPr>
  </w:style>
  <w:style w:type="paragraph" w:styleId="13">
    <w:name w:val="footer"/>
    <w:basedOn w:val="1"/>
    <w:link w:val="51"/>
    <w:qFormat/>
    <w:uiPriority w:val="0"/>
    <w:pPr>
      <w:tabs>
        <w:tab w:val="center" w:pos="4153"/>
        <w:tab w:val="right" w:pos="8306"/>
      </w:tabs>
      <w:snapToGrid w:val="0"/>
      <w:jc w:val="left"/>
    </w:pPr>
    <w:rPr>
      <w:sz w:val="18"/>
      <w:szCs w:val="18"/>
    </w:rPr>
  </w:style>
  <w:style w:type="paragraph" w:styleId="14">
    <w:name w:val="header"/>
    <w:basedOn w:val="1"/>
    <w:link w:val="4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style>
  <w:style w:type="paragraph" w:styleId="16">
    <w:name w:val="toc 2"/>
    <w:basedOn w:val="1"/>
    <w:next w:val="1"/>
    <w:qFormat/>
    <w:uiPriority w:val="0"/>
    <w:pPr>
      <w:ind w:left="420" w:leftChars="200"/>
    </w:pPr>
  </w:style>
  <w:style w:type="paragraph" w:styleId="17">
    <w:name w:val="Body Text 2"/>
    <w:basedOn w:val="1"/>
    <w:link w:val="52"/>
    <w:qFormat/>
    <w:uiPriority w:val="0"/>
    <w:pPr>
      <w:spacing w:after="120" w:line="480" w:lineRule="auto"/>
    </w:pPr>
  </w:style>
  <w:style w:type="paragraph" w:styleId="18">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9">
    <w:name w:val="Title"/>
    <w:basedOn w:val="1"/>
    <w:next w:val="1"/>
    <w:link w:val="43"/>
    <w:qFormat/>
    <w:uiPriority w:val="0"/>
    <w:pPr>
      <w:spacing w:before="240" w:after="60"/>
      <w:jc w:val="center"/>
      <w:outlineLvl w:val="0"/>
    </w:pPr>
    <w:rPr>
      <w:rFonts w:asciiTheme="majorHAnsi" w:hAnsiTheme="majorHAnsi" w:eastAsiaTheme="majorEastAsia" w:cstheme="majorBidi"/>
      <w:b/>
      <w:bCs/>
      <w:sz w:val="32"/>
      <w:szCs w:val="32"/>
    </w:rPr>
  </w:style>
  <w:style w:type="paragraph" w:styleId="20">
    <w:name w:val="annotation subject"/>
    <w:basedOn w:val="8"/>
    <w:next w:val="8"/>
    <w:link w:val="53"/>
    <w:qFormat/>
    <w:uiPriority w:val="0"/>
    <w:rPr>
      <w:b/>
      <w:bCs/>
    </w:rPr>
  </w:style>
  <w:style w:type="table" w:styleId="22">
    <w:name w:val="Table Grid"/>
    <w:basedOn w:val="21"/>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4">
    <w:name w:val="Strong"/>
    <w:basedOn w:val="23"/>
    <w:qFormat/>
    <w:uiPriority w:val="22"/>
    <w:rPr>
      <w:b/>
      <w:bCs/>
    </w:rPr>
  </w:style>
  <w:style w:type="character" w:styleId="25">
    <w:name w:val="page number"/>
    <w:basedOn w:val="23"/>
    <w:qFormat/>
    <w:uiPriority w:val="0"/>
  </w:style>
  <w:style w:type="character" w:styleId="26">
    <w:name w:val="Hyperlink"/>
    <w:qFormat/>
    <w:uiPriority w:val="0"/>
    <w:rPr>
      <w:color w:val="151515"/>
      <w:u w:val="none"/>
    </w:rPr>
  </w:style>
  <w:style w:type="character" w:styleId="27">
    <w:name w:val="annotation reference"/>
    <w:qFormat/>
    <w:uiPriority w:val="0"/>
    <w:rPr>
      <w:sz w:val="21"/>
      <w:szCs w:val="21"/>
    </w:rPr>
  </w:style>
  <w:style w:type="paragraph" w:customStyle="1" w:styleId="28">
    <w:name w:val="Char Char"/>
    <w:basedOn w:val="1"/>
    <w:qFormat/>
    <w:uiPriority w:val="0"/>
    <w:rPr>
      <w:rFonts w:ascii="Tahoma" w:hAnsi="Tahoma"/>
      <w:sz w:val="24"/>
      <w:szCs w:val="20"/>
    </w:rPr>
  </w:style>
  <w:style w:type="paragraph" w:styleId="29">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
    <w:name w:val="Char"/>
    <w:basedOn w:val="1"/>
    <w:qFormat/>
    <w:uiPriority w:val="0"/>
    <w:rPr>
      <w:rFonts w:ascii="仿宋_GB2312" w:eastAsia="仿宋_GB2312"/>
      <w:b/>
      <w:sz w:val="32"/>
      <w:szCs w:val="32"/>
    </w:rPr>
  </w:style>
  <w:style w:type="paragraph" w:customStyle="1" w:styleId="31">
    <w:name w:val="_Style 19"/>
    <w:basedOn w:val="1"/>
    <w:qFormat/>
    <w:uiPriority w:val="0"/>
    <w:pPr>
      <w:tabs>
        <w:tab w:val="right" w:pos="-2120"/>
      </w:tabs>
      <w:snapToGrid w:val="0"/>
    </w:pPr>
  </w:style>
  <w:style w:type="paragraph" w:customStyle="1" w:styleId="32">
    <w:name w:val="排版"/>
    <w:basedOn w:val="1"/>
    <w:next w:val="9"/>
    <w:qFormat/>
    <w:uiPriority w:val="0"/>
    <w:pPr>
      <w:spacing w:line="600" w:lineRule="exact"/>
    </w:pPr>
    <w:rPr>
      <w:rFonts w:eastAsia="华文仿宋"/>
      <w:spacing w:val="6"/>
      <w:sz w:val="32"/>
    </w:rPr>
  </w:style>
  <w:style w:type="paragraph" w:customStyle="1" w:styleId="33">
    <w:name w:val="Char1"/>
    <w:basedOn w:val="1"/>
    <w:qFormat/>
    <w:uiPriority w:val="0"/>
    <w:pPr>
      <w:tabs>
        <w:tab w:val="right" w:pos="-2120"/>
      </w:tabs>
      <w:snapToGrid w:val="0"/>
    </w:pPr>
  </w:style>
  <w:style w:type="paragraph" w:customStyle="1" w:styleId="3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5">
    <w:name w:val="List Paragraph"/>
    <w:basedOn w:val="1"/>
    <w:qFormat/>
    <w:uiPriority w:val="34"/>
    <w:pPr>
      <w:ind w:firstLine="420" w:firstLineChars="200"/>
    </w:pPr>
  </w:style>
  <w:style w:type="character" w:customStyle="1" w:styleId="36">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7">
    <w:name w:val="文档结构图 字符"/>
    <w:basedOn w:val="23"/>
    <w:link w:val="7"/>
    <w:qFormat/>
    <w:uiPriority w:val="0"/>
    <w:rPr>
      <w:rFonts w:ascii="宋体"/>
      <w:kern w:val="2"/>
      <w:sz w:val="18"/>
      <w:szCs w:val="18"/>
    </w:rPr>
  </w:style>
  <w:style w:type="character" w:customStyle="1" w:styleId="38">
    <w:name w:val="font11"/>
    <w:qFormat/>
    <w:uiPriority w:val="0"/>
    <w:rPr>
      <w:rFonts w:ascii="Calibri" w:hAnsi="Calibri" w:cs="Calibri"/>
      <w:color w:val="000000"/>
      <w:sz w:val="20"/>
      <w:szCs w:val="20"/>
      <w:u w:val="none"/>
    </w:rPr>
  </w:style>
  <w:style w:type="character" w:customStyle="1" w:styleId="39">
    <w:name w:val="纯文本 字符"/>
    <w:link w:val="11"/>
    <w:qFormat/>
    <w:uiPriority w:val="0"/>
    <w:rPr>
      <w:rFonts w:ascii="宋体" w:hAnsi="Courier New" w:eastAsia="宋体" w:cs="Courier New"/>
      <w:kern w:val="2"/>
      <w:sz w:val="21"/>
      <w:szCs w:val="21"/>
      <w:lang w:val="en-US" w:eastAsia="zh-CN" w:bidi="ar-SA"/>
    </w:rPr>
  </w:style>
  <w:style w:type="character" w:customStyle="1" w:styleId="40">
    <w:name w:val="正文缩进 字符"/>
    <w:link w:val="6"/>
    <w:qFormat/>
    <w:uiPriority w:val="0"/>
    <w:rPr>
      <w:rFonts w:eastAsia="宋体"/>
      <w:kern w:val="2"/>
      <w:sz w:val="21"/>
      <w:lang w:val="en-US" w:eastAsia="zh-CN" w:bidi="ar-SA"/>
    </w:rPr>
  </w:style>
  <w:style w:type="character" w:customStyle="1" w:styleId="41">
    <w:name w:val="页眉 字符"/>
    <w:link w:val="14"/>
    <w:qFormat/>
    <w:uiPriority w:val="0"/>
    <w:rPr>
      <w:rFonts w:eastAsia="宋体"/>
      <w:kern w:val="2"/>
      <w:sz w:val="18"/>
      <w:szCs w:val="18"/>
      <w:lang w:val="en-US" w:eastAsia="zh-CN" w:bidi="ar-SA"/>
    </w:rPr>
  </w:style>
  <w:style w:type="character" w:customStyle="1" w:styleId="42">
    <w:name w:val="标题 3 字符"/>
    <w:basedOn w:val="23"/>
    <w:link w:val="4"/>
    <w:qFormat/>
    <w:uiPriority w:val="0"/>
    <w:rPr>
      <w:b/>
      <w:bCs/>
      <w:kern w:val="2"/>
      <w:sz w:val="32"/>
      <w:szCs w:val="32"/>
    </w:rPr>
  </w:style>
  <w:style w:type="character" w:customStyle="1" w:styleId="43">
    <w:name w:val="标题 字符"/>
    <w:basedOn w:val="23"/>
    <w:link w:val="19"/>
    <w:qFormat/>
    <w:uiPriority w:val="0"/>
    <w:rPr>
      <w:rFonts w:asciiTheme="majorHAnsi" w:hAnsiTheme="majorHAnsi" w:eastAsiaTheme="majorEastAsia" w:cstheme="majorBidi"/>
      <w:b/>
      <w:bCs/>
      <w:kern w:val="2"/>
      <w:sz w:val="32"/>
      <w:szCs w:val="32"/>
    </w:rPr>
  </w:style>
  <w:style w:type="paragraph" w:customStyle="1" w:styleId="44">
    <w:name w:val="Table Paragraph"/>
    <w:basedOn w:val="1"/>
    <w:qFormat/>
    <w:uiPriority w:val="1"/>
    <w:rPr>
      <w:rFonts w:ascii="宋体" w:hAnsi="宋体" w:cs="宋体"/>
      <w:szCs w:val="22"/>
    </w:rPr>
  </w:style>
  <w:style w:type="character" w:customStyle="1" w:styleId="45">
    <w:name w:val="标题 1 字符"/>
    <w:basedOn w:val="23"/>
    <w:link w:val="2"/>
    <w:uiPriority w:val="0"/>
    <w:rPr>
      <w:b/>
      <w:bCs/>
      <w:kern w:val="44"/>
      <w:sz w:val="44"/>
      <w:szCs w:val="44"/>
    </w:rPr>
  </w:style>
  <w:style w:type="character" w:customStyle="1" w:styleId="46">
    <w:name w:val="标题 2 字符"/>
    <w:basedOn w:val="23"/>
    <w:link w:val="3"/>
    <w:qFormat/>
    <w:uiPriority w:val="0"/>
    <w:rPr>
      <w:rFonts w:ascii="Arial" w:hAnsi="Arial" w:eastAsia="黑体"/>
      <w:b/>
      <w:bCs/>
      <w:kern w:val="2"/>
      <w:sz w:val="32"/>
      <w:szCs w:val="32"/>
    </w:rPr>
  </w:style>
  <w:style w:type="character" w:customStyle="1" w:styleId="47">
    <w:name w:val="批注文字 字符"/>
    <w:basedOn w:val="23"/>
    <w:link w:val="8"/>
    <w:qFormat/>
    <w:uiPriority w:val="0"/>
    <w:rPr>
      <w:kern w:val="2"/>
      <w:sz w:val="21"/>
      <w:szCs w:val="24"/>
    </w:rPr>
  </w:style>
  <w:style w:type="character" w:customStyle="1" w:styleId="48">
    <w:name w:val="正文文本 字符"/>
    <w:basedOn w:val="23"/>
    <w:link w:val="9"/>
    <w:uiPriority w:val="0"/>
    <w:rPr>
      <w:kern w:val="2"/>
      <w:sz w:val="28"/>
      <w:szCs w:val="24"/>
    </w:rPr>
  </w:style>
  <w:style w:type="character" w:customStyle="1" w:styleId="49">
    <w:name w:val="正文文本缩进 字符"/>
    <w:basedOn w:val="23"/>
    <w:link w:val="10"/>
    <w:qFormat/>
    <w:uiPriority w:val="0"/>
    <w:rPr>
      <w:rFonts w:ascii="仿宋_GB2312" w:eastAsia="仿宋_GB2312"/>
      <w:kern w:val="2"/>
      <w:sz w:val="32"/>
    </w:rPr>
  </w:style>
  <w:style w:type="character" w:customStyle="1" w:styleId="50">
    <w:name w:val="批注框文本 字符"/>
    <w:basedOn w:val="23"/>
    <w:link w:val="12"/>
    <w:qFormat/>
    <w:uiPriority w:val="0"/>
    <w:rPr>
      <w:kern w:val="2"/>
      <w:sz w:val="18"/>
      <w:szCs w:val="18"/>
    </w:rPr>
  </w:style>
  <w:style w:type="character" w:customStyle="1" w:styleId="51">
    <w:name w:val="页脚 字符"/>
    <w:basedOn w:val="23"/>
    <w:link w:val="13"/>
    <w:qFormat/>
    <w:uiPriority w:val="0"/>
    <w:rPr>
      <w:kern w:val="2"/>
      <w:sz w:val="18"/>
      <w:szCs w:val="18"/>
    </w:rPr>
  </w:style>
  <w:style w:type="character" w:customStyle="1" w:styleId="52">
    <w:name w:val="正文文本 2 字符"/>
    <w:basedOn w:val="23"/>
    <w:link w:val="17"/>
    <w:qFormat/>
    <w:uiPriority w:val="0"/>
    <w:rPr>
      <w:kern w:val="2"/>
      <w:sz w:val="21"/>
      <w:szCs w:val="24"/>
    </w:rPr>
  </w:style>
  <w:style w:type="character" w:customStyle="1" w:styleId="53">
    <w:name w:val="批注主题 字符"/>
    <w:basedOn w:val="47"/>
    <w:link w:val="20"/>
    <w:qFormat/>
    <w:uiPriority w:val="0"/>
    <w:rPr>
      <w:b/>
      <w:bCs/>
      <w:kern w:val="2"/>
      <w:sz w:val="21"/>
      <w:szCs w:val="24"/>
    </w:rPr>
  </w:style>
  <w:style w:type="character" w:customStyle="1" w:styleId="54">
    <w:name w:val="font91"/>
    <w:basedOn w:val="23"/>
    <w:qFormat/>
    <w:uiPriority w:val="0"/>
    <w:rPr>
      <w:rFonts w:ascii="宋体" w:hAnsi="宋体" w:eastAsia="宋体" w:cs="宋体"/>
      <w:color w:val="000000"/>
      <w:sz w:val="20"/>
      <w:szCs w:val="20"/>
      <w:u w:val="none"/>
    </w:rPr>
  </w:style>
  <w:style w:type="character" w:customStyle="1" w:styleId="55">
    <w:name w:val="font51"/>
    <w:basedOn w:val="23"/>
    <w:qFormat/>
    <w:uiPriority w:val="0"/>
    <w:rPr>
      <w:rFonts w:hint="eastAsia" w:ascii="宋体" w:hAnsi="宋体" w:eastAsia="宋体" w:cs="宋体"/>
      <w:color w:val="000000"/>
      <w:sz w:val="20"/>
      <w:szCs w:val="20"/>
      <w:u w:val="none"/>
    </w:rPr>
  </w:style>
  <w:style w:type="character" w:customStyle="1" w:styleId="56">
    <w:name w:val="font21"/>
    <w:basedOn w:val="23"/>
    <w:qFormat/>
    <w:uiPriority w:val="0"/>
    <w:rPr>
      <w:rFonts w:hint="eastAsia" w:ascii="宋体" w:hAnsi="宋体" w:eastAsia="宋体" w:cs="宋体"/>
      <w:color w:val="000000"/>
      <w:sz w:val="24"/>
      <w:szCs w:val="24"/>
      <w:u w:val="none"/>
    </w:rPr>
  </w:style>
  <w:style w:type="character" w:customStyle="1" w:styleId="57">
    <w:name w:val="font01"/>
    <w:basedOn w:val="23"/>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19</Pages>
  <Words>8175</Words>
  <Characters>8404</Characters>
  <Lines>104</Lines>
  <Paragraphs>29</Paragraphs>
  <TotalTime>5</TotalTime>
  <ScaleCrop>false</ScaleCrop>
  <LinksUpToDate>false</LinksUpToDate>
  <CharactersWithSpaces>9026</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2022-06-28T06:00:00Z</dcterms:created>
  <dc:creator>微软用户</dc:creator>
  <cp:lastModifiedBy>口天马尧</cp:lastModifiedBy>
  <cp:lastPrinted>2020-06-23T05:34:00Z</cp:lastPrinted>
  <dcterms:modified xsi:type="dcterms:W3CDTF">2022-07-05T06:05:12Z</dcterms:modified>
  <dc:title>湖北省省级政府采购</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50DEC7F2C0F44FC2B4F390FBBFF469F8</vt:lpwstr>
  </property>
</Properties>
</file>