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sz w:val="24"/>
        </w:rPr>
      </w:pPr>
      <w:r>
        <w:rPr>
          <w:rFonts w:hint="eastAsia"/>
          <w:sz w:val="28"/>
          <w:szCs w:val="28"/>
        </w:rPr>
        <w:t>项目名称：</w:t>
      </w:r>
      <w:bookmarkStart w:id="14" w:name="_GoBack"/>
      <w:r>
        <w:rPr>
          <w:rFonts w:hint="eastAsia"/>
          <w:sz w:val="28"/>
          <w:szCs w:val="28"/>
          <w:lang w:val="en-US" w:eastAsia="zh-CN"/>
        </w:rPr>
        <w:t>桃</w:t>
      </w:r>
      <w:r>
        <w:rPr>
          <w:rFonts w:hint="eastAsia" w:ascii="宋体" w:hAnsi="宋体"/>
          <w:sz w:val="24"/>
        </w:rPr>
        <w:t>林校区音乐楼改造需配置公寓设施项目</w:t>
      </w:r>
      <w:r>
        <w:rPr>
          <w:rFonts w:hint="eastAsia"/>
          <w:sz w:val="24"/>
        </w:rPr>
        <w:t xml:space="preserve"> </w:t>
      </w:r>
    </w:p>
    <w:bookmarkEnd w:id="14"/>
    <w:p>
      <w:pPr>
        <w:ind w:firstLine="560" w:firstLineChars="200"/>
        <w:jc w:val="left"/>
        <w:rPr>
          <w:rFonts w:hint="default" w:eastAsia="宋体"/>
          <w:sz w:val="28"/>
          <w:szCs w:val="28"/>
          <w:lang w:val="en-US" w:eastAsia="zh-CN"/>
        </w:rPr>
      </w:pPr>
      <w:r>
        <w:rPr>
          <w:rFonts w:hint="eastAsia"/>
          <w:sz w:val="28"/>
          <w:szCs w:val="28"/>
        </w:rPr>
        <w:t>项目编号：</w:t>
      </w:r>
      <w:r>
        <w:rPr>
          <w:rFonts w:hint="eastAsia"/>
          <w:sz w:val="28"/>
          <w:szCs w:val="28"/>
          <w:lang w:val="en-US" w:eastAsia="zh-CN"/>
        </w:rPr>
        <w:t>LZXJ---2021026</w:t>
      </w:r>
    </w:p>
    <w:p>
      <w:pPr>
        <w:ind w:firstLine="560" w:firstLineChars="200"/>
        <w:jc w:val="left"/>
        <w:rPr>
          <w:sz w:val="28"/>
          <w:szCs w:val="28"/>
        </w:rPr>
      </w:pPr>
      <w:r>
        <w:rPr>
          <w:rFonts w:hint="eastAsia"/>
          <w:sz w:val="28"/>
          <w:szCs w:val="28"/>
        </w:rPr>
        <w:t>采购单位：兰州职业技术学院</w:t>
      </w:r>
    </w:p>
    <w:p>
      <w:pPr>
        <w:jc w:val="center"/>
        <w:rPr>
          <w:color w:val="FF0000"/>
          <w:sz w:val="28"/>
          <w:szCs w:val="28"/>
        </w:rPr>
      </w:pPr>
    </w:p>
    <w:p>
      <w:pP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202</w:t>
      </w:r>
      <w:r>
        <w:rPr>
          <w:rFonts w:hint="eastAsia" w:ascii="宋体" w:hAnsi="宋体"/>
          <w:sz w:val="28"/>
          <w:szCs w:val="28"/>
          <w:lang w:val="en-US" w:eastAsia="zh-CN"/>
        </w:rPr>
        <w:t>1</w:t>
      </w:r>
      <w:r>
        <w:rPr>
          <w:rFonts w:hint="eastAsia" w:ascii="宋体" w:hAnsi="宋体"/>
          <w:sz w:val="28"/>
          <w:szCs w:val="28"/>
        </w:rPr>
        <w:t xml:space="preserve">年 </w:t>
      </w:r>
      <w:r>
        <w:rPr>
          <w:rFonts w:hint="eastAsia" w:ascii="宋体" w:hAnsi="宋体"/>
          <w:sz w:val="28"/>
          <w:szCs w:val="28"/>
          <w:lang w:val="en-US" w:eastAsia="zh-CN"/>
        </w:rPr>
        <w:t>7</w:t>
      </w:r>
      <w:r>
        <w:rPr>
          <w:rFonts w:hint="eastAsia" w:ascii="宋体" w:hAnsi="宋体"/>
          <w:sz w:val="28"/>
          <w:szCs w:val="28"/>
        </w:rPr>
        <w:t>月</w:t>
      </w:r>
    </w:p>
    <w:p>
      <w:pPr>
        <w:pStyle w:val="2"/>
        <w:spacing w:before="0"/>
        <w:jc w:val="center"/>
        <w:rPr>
          <w:rFonts w:ascii="宋体" w:hAnsi="宋体"/>
        </w:rPr>
        <w:sectPr>
          <w:pgSz w:w="11907" w:h="16840"/>
          <w:pgMar w:top="1418" w:right="992"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spacing w:line="360" w:lineRule="auto"/>
        <w:ind w:firstLine="472" w:firstLineChars="197"/>
        <w:rPr>
          <w:rFonts w:ascii="宋体" w:hAnsi="宋体"/>
          <w:sz w:val="24"/>
        </w:rPr>
      </w:pPr>
      <w:r>
        <w:rPr>
          <w:rFonts w:hint="eastAsia" w:ascii="宋体" w:hAnsi="宋体" w:cs="宋体"/>
          <w:sz w:val="24"/>
        </w:rPr>
        <w:t>根据</w:t>
      </w:r>
      <w:r>
        <w:rPr>
          <w:rFonts w:hint="eastAsia" w:ascii="宋体" w:hAnsi="宋体"/>
          <w:sz w:val="24"/>
        </w:rPr>
        <w:t>兰州职业技术学院</w:t>
      </w:r>
      <w:r>
        <w:rPr>
          <w:rFonts w:hint="eastAsia" w:ascii="宋体" w:hAnsi="宋体"/>
          <w:sz w:val="24"/>
          <w:lang w:val="en-US" w:eastAsia="zh-CN"/>
        </w:rPr>
        <w:t>学生公寓建设</w:t>
      </w:r>
      <w:r>
        <w:rPr>
          <w:rFonts w:hint="eastAsia" w:ascii="宋体" w:hAnsi="宋体"/>
          <w:sz w:val="24"/>
        </w:rPr>
        <w:t>需要，现拟对桃林校区音乐楼改造需配置公寓设施项目进行询价采购。欢迎满足资格要求的供应商前来参加，具体事宜公告如下：</w:t>
      </w:r>
    </w:p>
    <w:p>
      <w:pPr>
        <w:ind w:firstLine="480" w:firstLineChars="200"/>
        <w:jc w:val="left"/>
        <w:rPr>
          <w:rFonts w:hint="eastAsia" w:ascii="宋体" w:hAnsi="宋体"/>
          <w:sz w:val="24"/>
        </w:rPr>
      </w:pPr>
      <w:r>
        <w:rPr>
          <w:rFonts w:hint="eastAsia" w:ascii="宋体" w:hAnsi="宋体"/>
          <w:sz w:val="24"/>
        </w:rPr>
        <w:t>一、采购项目编号：</w:t>
      </w:r>
      <w:r>
        <w:rPr>
          <w:rFonts w:hint="eastAsia"/>
          <w:sz w:val="28"/>
          <w:szCs w:val="28"/>
          <w:lang w:val="en-US" w:eastAsia="zh-CN"/>
        </w:rPr>
        <w:t>LZXJ---2021026</w:t>
      </w:r>
    </w:p>
    <w:p>
      <w:pPr>
        <w:spacing w:line="360" w:lineRule="auto"/>
        <w:rPr>
          <w:rFonts w:ascii="宋体" w:hAnsi="宋体"/>
          <w:sz w:val="24"/>
        </w:rPr>
      </w:pPr>
      <w:r>
        <w:rPr>
          <w:rFonts w:hint="eastAsia" w:ascii="宋体" w:hAnsi="宋体"/>
          <w:sz w:val="24"/>
        </w:rPr>
        <w:t>二、采购项目名称：桃林校区音乐楼改造需配置公寓设施项目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spacing w:line="360" w:lineRule="auto"/>
        <w:rPr>
          <w:rFonts w:hint="eastAsia" w:ascii="宋体" w:hAnsi="宋体"/>
          <w:sz w:val="24"/>
        </w:rPr>
      </w:pPr>
      <w:r>
        <w:rPr>
          <w:rFonts w:hint="eastAsia" w:ascii="宋体" w:hAnsi="宋体"/>
          <w:sz w:val="24"/>
        </w:rPr>
        <w:t xml:space="preserve">   1.桃林校区音乐楼改造需配置公寓设施项目  </w:t>
      </w:r>
    </w:p>
    <w:p>
      <w:pPr>
        <w:spacing w:line="360" w:lineRule="auto"/>
        <w:rPr>
          <w:rFonts w:ascii="宋体" w:hAnsi="宋体"/>
          <w:sz w:val="24"/>
        </w:rPr>
      </w:pPr>
      <w:r>
        <w:rPr>
          <w:rFonts w:hint="eastAsia" w:ascii="宋体" w:hAnsi="宋体"/>
          <w:sz w:val="24"/>
        </w:rPr>
        <w:t xml:space="preserve"> 2.预算金额：</w:t>
      </w:r>
      <w:r>
        <w:rPr>
          <w:rFonts w:hint="eastAsia" w:ascii="宋体" w:hAnsi="宋体"/>
          <w:sz w:val="24"/>
          <w:lang w:val="en-US" w:eastAsia="zh-CN"/>
        </w:rPr>
        <w:t>200000</w:t>
      </w:r>
      <w:r>
        <w:rPr>
          <w:rFonts w:hint="eastAsia" w:ascii="宋体" w:hAnsi="宋体"/>
          <w:sz w:val="24"/>
        </w:rPr>
        <w:t>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w:t>
      </w:r>
      <w:r>
        <w:rPr>
          <w:rFonts w:hint="eastAsia" w:ascii="宋体" w:hAnsi="宋体" w:cs="宋体"/>
          <w:kern w:val="0"/>
          <w:sz w:val="24"/>
          <w:lang w:val="en-US" w:eastAsia="zh-CN"/>
        </w:rPr>
        <w:t>9</w:t>
      </w:r>
      <w:r>
        <w:rPr>
          <w:rFonts w:hint="eastAsia" w:ascii="宋体" w:hAnsi="宋体" w:cs="宋体"/>
          <w:kern w:val="0"/>
          <w:sz w:val="24"/>
        </w:rPr>
        <w:t>年度以来最新的经权威机构审计的完整的财务报告（复印件）（不满一年的新公司不提供该报告）；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spacing w:line="360" w:lineRule="exact"/>
        <w:ind w:firstLine="480" w:firstLineChars="200"/>
        <w:rPr>
          <w:rFonts w:hint="eastAsia" w:ascii="宋体" w:hAnsi="宋体" w:cs="宋体"/>
          <w:kern w:val="0"/>
          <w:sz w:val="24"/>
        </w:rPr>
      </w:pPr>
      <w:r>
        <w:rPr>
          <w:rFonts w:hint="eastAsia" w:ascii="宋体" w:hAnsi="宋体" w:cs="宋体"/>
          <w:kern w:val="0"/>
          <w:sz w:val="24"/>
        </w:rPr>
        <w:t>8.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lang w:val="en-US" w:eastAsia="zh-CN"/>
        </w:rPr>
        <w:t>9.</w:t>
      </w:r>
      <w:r>
        <w:rPr>
          <w:rFonts w:hint="eastAsia" w:ascii="宋体" w:hAnsi="宋体" w:cs="宋体"/>
          <w:kern w:val="0"/>
          <w:sz w:val="24"/>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0</w:t>
      </w:r>
      <w:r>
        <w:rPr>
          <w:rFonts w:hint="eastAsia" w:ascii="宋体" w:hAnsi="宋体"/>
          <w:sz w:val="24"/>
        </w:rPr>
        <w:t>.本项目不接受联合体竞价。</w:t>
      </w:r>
    </w:p>
    <w:p>
      <w:pPr>
        <w:spacing w:line="360" w:lineRule="auto"/>
        <w:rPr>
          <w:rFonts w:ascii="宋体" w:hAnsi="宋体"/>
          <w:color w:val="auto"/>
          <w:sz w:val="24"/>
        </w:rPr>
      </w:pPr>
      <w:r>
        <w:rPr>
          <w:rFonts w:hint="eastAsia" w:ascii="宋体" w:hAnsi="宋体"/>
          <w:sz w:val="24"/>
        </w:rPr>
        <w:t>六</w:t>
      </w:r>
      <w:r>
        <w:rPr>
          <w:rFonts w:hint="eastAsia" w:ascii="宋体" w:hAnsi="宋体"/>
          <w:color w:val="auto"/>
          <w:sz w:val="24"/>
        </w:rPr>
        <w:t>、响应文件的递交：</w:t>
      </w:r>
      <w:r>
        <w:rPr>
          <w:rFonts w:ascii="宋体" w:hAnsi="宋体"/>
          <w:color w:val="auto"/>
          <w:sz w:val="24"/>
        </w:rPr>
        <w:t xml:space="preserve"> </w:t>
      </w:r>
    </w:p>
    <w:p>
      <w:pPr>
        <w:spacing w:line="360" w:lineRule="auto"/>
        <w:ind w:firstLine="480" w:firstLineChars="200"/>
        <w:rPr>
          <w:rFonts w:ascii="宋体" w:hAnsi="宋体" w:cs="宋体"/>
          <w:color w:val="auto"/>
          <w:sz w:val="24"/>
        </w:rPr>
      </w:pPr>
      <w:r>
        <w:rPr>
          <w:rFonts w:hint="eastAsia" w:ascii="宋体" w:hAnsi="宋体" w:cs="宋体"/>
          <w:color w:val="auto"/>
          <w:sz w:val="24"/>
        </w:rPr>
        <w:t>响应文件递交时间：</w:t>
      </w:r>
      <w:r>
        <w:rPr>
          <w:rFonts w:ascii="宋体" w:hAnsi="宋体" w:cs="宋体"/>
          <w:color w:val="auto"/>
          <w:sz w:val="24"/>
        </w:rPr>
        <w:t>20</w:t>
      </w:r>
      <w:r>
        <w:rPr>
          <w:rFonts w:hint="eastAsia" w:ascii="宋体" w:hAnsi="宋体" w:cs="宋体"/>
          <w:color w:val="auto"/>
          <w:sz w:val="24"/>
          <w:lang w:val="en-US" w:eastAsia="zh-CN"/>
        </w:rPr>
        <w:t>1</w:t>
      </w:r>
      <w:r>
        <w:rPr>
          <w:rFonts w:hint="eastAsia" w:ascii="宋体" w:hAnsi="宋体" w:cs="宋体"/>
          <w:color w:val="auto"/>
          <w:sz w:val="24"/>
        </w:rPr>
        <w:t>0年</w:t>
      </w:r>
      <w:r>
        <w:rPr>
          <w:rFonts w:hint="eastAsia" w:ascii="宋体" w:hAnsi="宋体" w:cs="宋体"/>
          <w:color w:val="auto"/>
          <w:sz w:val="24"/>
          <w:lang w:val="en-US" w:eastAsia="zh-CN"/>
        </w:rPr>
        <w:t>8</w:t>
      </w:r>
      <w:r>
        <w:rPr>
          <w:rFonts w:hint="eastAsia" w:ascii="宋体" w:hAnsi="宋体" w:cs="宋体"/>
          <w:color w:val="auto"/>
          <w:sz w:val="24"/>
        </w:rPr>
        <w:t>月</w:t>
      </w:r>
      <w:r>
        <w:rPr>
          <w:rFonts w:hint="eastAsia" w:ascii="宋体" w:hAnsi="宋体" w:cs="宋体"/>
          <w:color w:val="auto"/>
          <w:sz w:val="24"/>
          <w:lang w:val="en-US" w:eastAsia="zh-CN"/>
        </w:rPr>
        <w:t>3</w:t>
      </w:r>
      <w:r>
        <w:rPr>
          <w:rFonts w:hint="eastAsia" w:ascii="宋体" w:hAnsi="宋体" w:cs="宋体"/>
          <w:color w:val="auto"/>
          <w:sz w:val="24"/>
        </w:rPr>
        <w:t>日上午</w:t>
      </w:r>
      <w:r>
        <w:rPr>
          <w:rFonts w:hint="eastAsia" w:ascii="宋体" w:hAnsi="宋体" w:cs="宋体"/>
          <w:color w:val="auto"/>
          <w:sz w:val="24"/>
          <w:lang w:val="en-US" w:eastAsia="zh-CN"/>
        </w:rPr>
        <w:t>11</w:t>
      </w:r>
      <w:r>
        <w:rPr>
          <w:rFonts w:hint="eastAsia" w:ascii="宋体" w:hAnsi="宋体" w:cs="宋体"/>
          <w:color w:val="auto"/>
          <w:sz w:val="24"/>
        </w:rPr>
        <w:t>:30分，逾期不予受理。</w:t>
      </w:r>
    </w:p>
    <w:p>
      <w:pPr>
        <w:spacing w:line="360" w:lineRule="auto"/>
        <w:ind w:firstLine="480" w:firstLineChars="200"/>
        <w:rPr>
          <w:rFonts w:ascii="宋体" w:hAnsi="宋体" w:cs="宋体"/>
          <w:color w:val="auto"/>
          <w:sz w:val="24"/>
        </w:rPr>
      </w:pPr>
      <w:r>
        <w:rPr>
          <w:rFonts w:hint="eastAsia" w:ascii="宋体" w:hAnsi="宋体" w:cs="宋体"/>
          <w:color w:val="auto"/>
          <w:sz w:val="24"/>
        </w:rPr>
        <w:t>响应文件递交地点：兰州职业技术学院兰州职业技术学院总校区综合楼</w:t>
      </w:r>
      <w:r>
        <w:rPr>
          <w:rFonts w:hint="eastAsia" w:ascii="宋体" w:hAnsi="宋体" w:cs="宋体"/>
          <w:color w:val="auto"/>
          <w:sz w:val="24"/>
          <w:lang w:val="en-US" w:eastAsia="zh-CN"/>
        </w:rPr>
        <w:t>7034</w:t>
      </w:r>
      <w:r>
        <w:rPr>
          <w:rFonts w:hint="eastAsia" w:ascii="宋体" w:hAnsi="宋体" w:cs="宋体"/>
          <w:color w:val="auto"/>
          <w:sz w:val="24"/>
        </w:rPr>
        <w:t>室。</w:t>
      </w:r>
    </w:p>
    <w:p>
      <w:pPr>
        <w:spacing w:line="360" w:lineRule="auto"/>
        <w:rPr>
          <w:rFonts w:ascii="宋体" w:hAnsi="宋体" w:cs="宋体"/>
          <w:color w:val="auto"/>
          <w:sz w:val="24"/>
        </w:rPr>
      </w:pPr>
      <w:r>
        <w:rPr>
          <w:rFonts w:hint="eastAsia" w:ascii="宋体" w:hAnsi="宋体" w:cs="宋体"/>
          <w:color w:val="auto"/>
          <w:sz w:val="24"/>
        </w:rPr>
        <w:t>七、</w:t>
      </w:r>
      <w:r>
        <w:rPr>
          <w:rFonts w:ascii="宋体" w:hAnsi="宋体" w:cs="宋体"/>
          <w:color w:val="auto"/>
          <w:sz w:val="24"/>
        </w:rPr>
        <w:t>本项目已进入采购程序，如</w:t>
      </w:r>
      <w:r>
        <w:rPr>
          <w:rFonts w:hint="eastAsia" w:ascii="宋体" w:hAnsi="宋体" w:cs="宋体"/>
          <w:color w:val="auto"/>
          <w:sz w:val="24"/>
        </w:rPr>
        <w:t>对询价公告及文件</w:t>
      </w:r>
      <w:r>
        <w:rPr>
          <w:rFonts w:ascii="宋体" w:hAnsi="宋体" w:cs="宋体"/>
          <w:color w:val="auto"/>
          <w:sz w:val="24"/>
        </w:rPr>
        <w:t>有疑异，请向</w:t>
      </w:r>
      <w:r>
        <w:rPr>
          <w:rFonts w:hint="eastAsia" w:ascii="宋体" w:hAnsi="宋体"/>
          <w:color w:val="auto"/>
          <w:sz w:val="24"/>
        </w:rPr>
        <w:t>兰州职业技术学院国资及产业管理处</w:t>
      </w:r>
      <w:r>
        <w:rPr>
          <w:rFonts w:ascii="宋体" w:hAnsi="宋体" w:cs="宋体"/>
          <w:color w:val="auto"/>
          <w:sz w:val="24"/>
        </w:rPr>
        <w:t>质疑。如质疑答复不满意，在答复期满后</w:t>
      </w:r>
      <w:r>
        <w:rPr>
          <w:rFonts w:hint="eastAsia" w:ascii="宋体" w:hAnsi="宋体" w:cs="宋体"/>
          <w:color w:val="auto"/>
          <w:sz w:val="24"/>
        </w:rPr>
        <w:t>3</w:t>
      </w:r>
      <w:r>
        <w:rPr>
          <w:rFonts w:ascii="宋体" w:hAnsi="宋体" w:cs="宋体"/>
          <w:color w:val="auto"/>
          <w:sz w:val="24"/>
        </w:rPr>
        <w:t>个工作日内向</w:t>
      </w:r>
      <w:r>
        <w:rPr>
          <w:rFonts w:hint="eastAsia" w:ascii="宋体" w:hAnsi="宋体" w:cs="宋体"/>
          <w:color w:val="auto"/>
          <w:sz w:val="24"/>
        </w:rPr>
        <w:t>兰州职业技术学院纪检监察室</w:t>
      </w:r>
      <w:r>
        <w:rPr>
          <w:rFonts w:ascii="宋体" w:hAnsi="宋体" w:cs="宋体"/>
          <w:color w:val="auto"/>
          <w:sz w:val="24"/>
        </w:rPr>
        <w:t>提起投诉。</w:t>
      </w:r>
    </w:p>
    <w:p>
      <w:pPr>
        <w:spacing w:line="360" w:lineRule="auto"/>
        <w:rPr>
          <w:rFonts w:ascii="宋体" w:hAnsi="宋体"/>
          <w:color w:val="auto"/>
          <w:sz w:val="24"/>
        </w:rPr>
      </w:pPr>
      <w:r>
        <w:rPr>
          <w:rFonts w:hint="eastAsia" w:ascii="宋体" w:hAnsi="宋体"/>
          <w:color w:val="auto"/>
          <w:sz w:val="24"/>
        </w:rPr>
        <w:t>八、联系方式：</w:t>
      </w:r>
    </w:p>
    <w:p>
      <w:pPr>
        <w:spacing w:line="360" w:lineRule="auto"/>
        <w:ind w:firstLine="496" w:firstLineChars="207"/>
        <w:rPr>
          <w:rFonts w:ascii="宋体"/>
          <w:color w:val="auto"/>
          <w:sz w:val="24"/>
        </w:rPr>
      </w:pPr>
      <w:r>
        <w:rPr>
          <w:rFonts w:hint="eastAsia" w:ascii="宋体" w:hAnsi="宋体"/>
          <w:color w:val="auto"/>
          <w:sz w:val="24"/>
        </w:rPr>
        <w:t>兰州职业技术学院国资及产业管理处（兰州职业技术学院总校区综合楼703室）</w:t>
      </w:r>
    </w:p>
    <w:p>
      <w:pPr>
        <w:spacing w:line="360" w:lineRule="auto"/>
        <w:ind w:firstLine="496" w:firstLineChars="207"/>
        <w:rPr>
          <w:rFonts w:ascii="宋体"/>
          <w:color w:val="auto"/>
          <w:sz w:val="24"/>
        </w:rPr>
      </w:pPr>
      <w:r>
        <w:rPr>
          <w:rFonts w:hint="eastAsia" w:ascii="宋体" w:hAnsi="宋体"/>
          <w:color w:val="auto"/>
          <w:sz w:val="24"/>
        </w:rPr>
        <w:t>联系人：吴老师</w:t>
      </w:r>
    </w:p>
    <w:p>
      <w:pPr>
        <w:spacing w:line="360" w:lineRule="auto"/>
        <w:ind w:firstLine="480" w:firstLineChars="200"/>
        <w:rPr>
          <w:rFonts w:ascii="宋体" w:hAnsi="宋体"/>
          <w:color w:val="auto"/>
          <w:sz w:val="24"/>
        </w:rPr>
      </w:pPr>
      <w:r>
        <w:rPr>
          <w:rFonts w:hint="eastAsia" w:ascii="宋体" w:hAnsi="宋体"/>
          <w:color w:val="auto"/>
          <w:sz w:val="24"/>
        </w:rPr>
        <w:t>电话：</w:t>
      </w:r>
      <w:r>
        <w:rPr>
          <w:rFonts w:ascii="宋体" w:hAnsi="宋体"/>
          <w:color w:val="auto"/>
          <w:sz w:val="24"/>
        </w:rPr>
        <w:t>0</w:t>
      </w:r>
      <w:r>
        <w:rPr>
          <w:rFonts w:hint="eastAsia" w:ascii="宋体" w:hAnsi="宋体"/>
          <w:color w:val="auto"/>
          <w:sz w:val="24"/>
        </w:rPr>
        <w:t>931</w:t>
      </w:r>
      <w:r>
        <w:rPr>
          <w:rFonts w:ascii="宋体" w:hAnsi="宋体"/>
          <w:color w:val="auto"/>
          <w:sz w:val="24"/>
        </w:rPr>
        <w:t>-</w:t>
      </w:r>
      <w:r>
        <w:rPr>
          <w:rFonts w:hint="eastAsia" w:ascii="宋体" w:hAnsi="宋体"/>
          <w:color w:val="auto"/>
          <w:sz w:val="24"/>
        </w:rPr>
        <w:t>7619761</w:t>
      </w:r>
    </w:p>
    <w:p>
      <w:pPr>
        <w:spacing w:line="360" w:lineRule="auto"/>
        <w:ind w:firstLine="480" w:firstLineChars="200"/>
        <w:rPr>
          <w:rFonts w:ascii="宋体" w:hAnsi="宋体"/>
          <w:color w:val="auto"/>
          <w:sz w:val="24"/>
        </w:rPr>
      </w:pPr>
    </w:p>
    <w:p>
      <w:pPr>
        <w:spacing w:line="360" w:lineRule="auto"/>
        <w:ind w:firstLine="4800" w:firstLineChars="2000"/>
        <w:rPr>
          <w:rFonts w:ascii="宋体" w:hAnsi="宋体"/>
          <w:color w:val="auto"/>
          <w:sz w:val="24"/>
        </w:rPr>
      </w:pPr>
      <w:r>
        <w:rPr>
          <w:rFonts w:hint="eastAsia" w:ascii="宋体" w:hAnsi="宋体"/>
          <w:color w:val="auto"/>
          <w:sz w:val="24"/>
        </w:rPr>
        <w:t>兰州职业技术学院国资及产业管理处</w:t>
      </w:r>
    </w:p>
    <w:p>
      <w:pPr>
        <w:spacing w:line="360" w:lineRule="auto"/>
        <w:ind w:firstLine="5760" w:firstLineChars="2400"/>
        <w:rPr>
          <w:rFonts w:ascii="宋体" w:hAnsi="宋体"/>
          <w:color w:val="auto"/>
          <w:sz w:val="24"/>
        </w:rPr>
      </w:pPr>
      <w:r>
        <w:rPr>
          <w:rFonts w:ascii="宋体" w:hAnsi="宋体"/>
          <w:color w:val="auto"/>
          <w:sz w:val="24"/>
        </w:rPr>
        <w:t>20</w:t>
      </w:r>
      <w:r>
        <w:rPr>
          <w:rFonts w:hint="eastAsia" w:ascii="宋体" w:hAnsi="宋体"/>
          <w:color w:val="auto"/>
          <w:sz w:val="24"/>
        </w:rPr>
        <w:t>2</w:t>
      </w:r>
      <w:r>
        <w:rPr>
          <w:rFonts w:hint="eastAsia" w:ascii="宋体" w:hAnsi="宋体"/>
          <w:color w:val="auto"/>
          <w:sz w:val="24"/>
          <w:lang w:val="en-US" w:eastAsia="zh-CN"/>
        </w:rPr>
        <w:t>1</w:t>
      </w:r>
      <w:r>
        <w:rPr>
          <w:rFonts w:ascii="宋体" w:hAnsi="宋体"/>
          <w:color w:val="auto"/>
          <w:sz w:val="24"/>
        </w:rPr>
        <w:t>年</w:t>
      </w:r>
      <w:r>
        <w:rPr>
          <w:rFonts w:hint="eastAsia" w:ascii="宋体" w:hAnsi="宋体"/>
          <w:color w:val="auto"/>
          <w:sz w:val="24"/>
          <w:lang w:val="en-US" w:eastAsia="zh-CN"/>
        </w:rPr>
        <w:t>7</w:t>
      </w:r>
      <w:r>
        <w:rPr>
          <w:rFonts w:ascii="宋体" w:hAnsi="宋体"/>
          <w:color w:val="auto"/>
          <w:sz w:val="24"/>
        </w:rPr>
        <w:t>月</w:t>
      </w:r>
      <w:r>
        <w:rPr>
          <w:rFonts w:hint="eastAsia" w:ascii="宋体" w:hAnsi="宋体"/>
          <w:color w:val="auto"/>
          <w:sz w:val="24"/>
          <w:lang w:val="en-US" w:eastAsia="zh-CN"/>
        </w:rPr>
        <w:t>22</w:t>
      </w:r>
      <w:r>
        <w:rPr>
          <w:rFonts w:ascii="宋体" w:hAnsi="宋体"/>
          <w:color w:val="auto"/>
          <w:sz w:val="24"/>
        </w:rPr>
        <w:t>日</w:t>
      </w:r>
    </w:p>
    <w:p>
      <w:pPr>
        <w:pStyle w:val="2"/>
        <w:spacing w:before="0"/>
        <w:jc w:val="center"/>
        <w:rPr>
          <w:rFonts w:ascii="宋体" w:hAnsi="宋体"/>
          <w:color w:val="auto"/>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autoSpaceDE w:val="0"/>
        <w:autoSpaceDN w:val="0"/>
        <w:adjustRightInd w:val="0"/>
        <w:snapToGrid w:val="0"/>
        <w:spacing w:line="400" w:lineRule="exact"/>
        <w:ind w:left="239" w:leftChars="114" w:right="-178" w:rightChars="-85"/>
        <w:textAlignment w:val="bottom"/>
        <w:rPr>
          <w:rFonts w:hint="eastAsia" w:ascii="宋体" w:hAnsi="宋体"/>
          <w:b/>
          <w:sz w:val="28"/>
          <w:szCs w:val="28"/>
        </w:rPr>
      </w:pPr>
      <w:bookmarkStart w:id="1" w:name="_Toc175733110"/>
      <w:r>
        <w:rPr>
          <w:rFonts w:hint="eastAsia" w:ascii="宋体" w:hAnsi="宋体"/>
          <w:b/>
          <w:sz w:val="28"/>
          <w:szCs w:val="28"/>
        </w:rPr>
        <w:t>一、采购清单及要求</w:t>
      </w:r>
    </w:p>
    <w:tbl>
      <w:tblPr>
        <w:tblStyle w:val="20"/>
        <w:tblW w:w="9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05"/>
        <w:gridCol w:w="760"/>
        <w:gridCol w:w="1028"/>
        <w:gridCol w:w="4152"/>
        <w:gridCol w:w="1125"/>
        <w:gridCol w:w="855"/>
        <w:gridCol w:w="1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4" w:hRule="atLeast"/>
          <w:jc w:val="center"/>
        </w:trPr>
        <w:tc>
          <w:tcPr>
            <w:tcW w:w="505" w:type="dxa"/>
            <w:shd w:val="clear" w:color="auto" w:fill="auto"/>
            <w:vAlign w:val="center"/>
          </w:tcPr>
          <w:p>
            <w:pPr>
              <w:jc w:val="center"/>
              <w:rPr>
                <w:rFonts w:hint="eastAsia"/>
                <w:b/>
                <w:bCs/>
              </w:rPr>
            </w:pPr>
            <w:r>
              <w:rPr>
                <w:rFonts w:hint="eastAsia"/>
                <w:b/>
                <w:bCs/>
                <w:lang w:val="en-US" w:eastAsia="zh-CN"/>
              </w:rPr>
              <w:t>序号</w:t>
            </w:r>
          </w:p>
        </w:tc>
        <w:tc>
          <w:tcPr>
            <w:tcW w:w="760" w:type="dxa"/>
            <w:shd w:val="clear" w:color="auto" w:fill="auto"/>
            <w:vAlign w:val="center"/>
          </w:tcPr>
          <w:p>
            <w:pPr>
              <w:jc w:val="center"/>
              <w:rPr>
                <w:rFonts w:hint="eastAsia"/>
                <w:b/>
                <w:bCs/>
              </w:rPr>
            </w:pPr>
            <w:r>
              <w:rPr>
                <w:rFonts w:hint="eastAsia"/>
                <w:b/>
                <w:bCs/>
                <w:lang w:val="en-US" w:eastAsia="zh-CN"/>
              </w:rPr>
              <w:t>品名</w:t>
            </w:r>
          </w:p>
        </w:tc>
        <w:tc>
          <w:tcPr>
            <w:tcW w:w="1028" w:type="dxa"/>
            <w:shd w:val="clear" w:color="auto" w:fill="auto"/>
            <w:vAlign w:val="center"/>
          </w:tcPr>
          <w:p>
            <w:pPr>
              <w:jc w:val="center"/>
              <w:rPr>
                <w:rFonts w:hint="eastAsia"/>
                <w:b/>
                <w:bCs/>
              </w:rPr>
            </w:pPr>
            <w:r>
              <w:rPr>
                <w:rFonts w:hint="eastAsia"/>
                <w:b/>
                <w:bCs/>
                <w:lang w:val="en-US" w:eastAsia="zh-CN"/>
              </w:rPr>
              <w:t>规格（长*宽*高mm）</w:t>
            </w:r>
          </w:p>
        </w:tc>
        <w:tc>
          <w:tcPr>
            <w:tcW w:w="4152" w:type="dxa"/>
            <w:shd w:val="clear" w:color="auto" w:fill="auto"/>
            <w:vAlign w:val="center"/>
          </w:tcPr>
          <w:p>
            <w:pPr>
              <w:jc w:val="center"/>
              <w:rPr>
                <w:rFonts w:hint="eastAsia"/>
                <w:b/>
                <w:bCs/>
              </w:rPr>
            </w:pPr>
            <w:r>
              <w:rPr>
                <w:rFonts w:hint="eastAsia"/>
                <w:b/>
                <w:bCs/>
                <w:lang w:val="en-US" w:eastAsia="zh-CN"/>
              </w:rPr>
              <w:t>详细参数</w:t>
            </w:r>
          </w:p>
        </w:tc>
        <w:tc>
          <w:tcPr>
            <w:tcW w:w="1125" w:type="dxa"/>
            <w:shd w:val="clear" w:color="auto" w:fill="auto"/>
            <w:vAlign w:val="center"/>
          </w:tcPr>
          <w:p>
            <w:pPr>
              <w:jc w:val="center"/>
              <w:rPr>
                <w:rFonts w:hint="eastAsia"/>
                <w:b/>
                <w:bCs/>
              </w:rPr>
            </w:pPr>
            <w:r>
              <w:rPr>
                <w:rFonts w:hint="eastAsia"/>
                <w:b/>
                <w:bCs/>
                <w:lang w:val="en-US" w:eastAsia="zh-CN"/>
              </w:rPr>
              <w:t>数量</w:t>
            </w:r>
          </w:p>
        </w:tc>
        <w:tc>
          <w:tcPr>
            <w:tcW w:w="855" w:type="dxa"/>
            <w:shd w:val="clear" w:color="auto" w:fill="auto"/>
            <w:vAlign w:val="center"/>
          </w:tcPr>
          <w:p>
            <w:pPr>
              <w:jc w:val="center"/>
              <w:rPr>
                <w:rFonts w:hint="eastAsia"/>
                <w:b/>
                <w:bCs/>
              </w:rPr>
            </w:pPr>
            <w:r>
              <w:rPr>
                <w:rFonts w:hint="eastAsia"/>
                <w:b/>
                <w:bCs/>
                <w:lang w:val="en-US" w:eastAsia="zh-CN"/>
              </w:rPr>
              <w:t>单位</w:t>
            </w:r>
          </w:p>
        </w:tc>
        <w:tc>
          <w:tcPr>
            <w:tcW w:w="1095" w:type="dxa"/>
            <w:shd w:val="clear" w:color="auto" w:fill="auto"/>
            <w:vAlign w:val="center"/>
          </w:tcPr>
          <w:p>
            <w:pPr>
              <w:jc w:val="center"/>
              <w:rPr>
                <w:rFonts w:hint="eastAsia"/>
                <w:b/>
                <w:bCs/>
              </w:rPr>
            </w:pPr>
            <w:r>
              <w:rPr>
                <w:rFonts w:hint="eastAsia"/>
                <w:b/>
                <w:bCs/>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804" w:hRule="atLeast"/>
          <w:jc w:val="center"/>
        </w:trPr>
        <w:tc>
          <w:tcPr>
            <w:tcW w:w="505" w:type="dxa"/>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rPr>
              <w:t>1</w:t>
            </w:r>
          </w:p>
        </w:tc>
        <w:tc>
          <w:tcPr>
            <w:tcW w:w="760" w:type="dxa"/>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rPr>
              <w:t>单人位</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公寓床</w:t>
            </w:r>
          </w:p>
        </w:tc>
        <w:tc>
          <w:tcPr>
            <w:tcW w:w="1028" w:type="dxa"/>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rPr>
              <w:t>1950*850*2100（定制）</w:t>
            </w:r>
          </w:p>
        </w:tc>
        <w:tc>
          <w:tcPr>
            <w:tcW w:w="4152" w:type="dxa"/>
            <w:shd w:val="clear" w:color="auto" w:fill="auto"/>
            <w:vAlign w:val="center"/>
          </w:tcPr>
          <w:p>
            <w:pPr>
              <w:keepNext w:val="0"/>
              <w:keepLines w:val="0"/>
              <w:widowControl/>
              <w:numPr>
                <w:ilvl w:val="0"/>
                <w:numId w:val="1"/>
              </w:numPr>
              <w:suppressLineNumbers w:val="0"/>
              <w:jc w:val="left"/>
              <w:textAlignment w:val="center"/>
              <w:rPr>
                <w:rFonts w:hint="eastAsia" w:ascii="微软雅黑" w:hAnsi="微软雅黑" w:eastAsia="微软雅黑" w:cs="微软雅黑"/>
                <w:i w:val="0"/>
                <w:iCs w:val="0"/>
                <w:color w:val="000000"/>
                <w:kern w:val="0"/>
                <w:sz w:val="15"/>
                <w:szCs w:val="15"/>
                <w:u w:val="none"/>
                <w:lang w:val="en-US" w:eastAsia="zh-CN" w:bidi="ar"/>
              </w:rPr>
            </w:pPr>
            <w:r>
              <w:rPr>
                <w:rFonts w:hint="eastAsia" w:ascii="微软雅黑" w:hAnsi="微软雅黑" w:eastAsia="微软雅黑" w:cs="微软雅黑"/>
                <w:i w:val="0"/>
                <w:iCs w:val="0"/>
                <w:color w:val="000000"/>
                <w:kern w:val="0"/>
                <w:sz w:val="15"/>
                <w:szCs w:val="15"/>
                <w:u w:val="none"/>
                <w:lang w:val="en-US" w:eastAsia="zh-CN" w:bidi="ar"/>
              </w:rPr>
              <w:t>立柱和床头护栏横杆:≥50mm×50m，厚度≥1.2mm 型材，材质:为优质冷轧钢板经成型线轧制而成；卡式连接件与立柱齐平整体美观。立柱下段与地面接触处有 ABS 塑料胶套防潮设计。</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2、前床挺:≥60mm×30mm，厚度≥1.2mm 型材，材质:为优质冷轧钢板经成型线轧制而成；</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3、后床挺及床头拉撑:≥60mm×30mm，厚度≥1.2mm 型材，材质：为优质冷轧钢板经成型线轧制而成；并有放置铺板的档口，实现铺板与型材的紧密连接。</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4、公寓床卡式连接件:≥25mm×25mm×2.0mm×160mm；</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5、床挺满护栏:护栏主支架:≥20mm,厚度≥1.2mm 圆管；护栏支架为:20mm×15mm×1.2mm，护栏高度≥300mm(床铺板到护栏顶端的距离)。</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6、床头侧挺:≥50mm×50mm，厚度≥1.2mm 型材及 20mm×10mm×1.0mm 管:材质同立柱相同；</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7、立柱下拉撑(即立柱下端侧拉撑和后拉撑):≥50mm×20mm×1.0mm 矩管;材质同立柱相同；</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8、床撑:≥5 根 ≥20mm×20mm×1.2mm 变型管。</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9、梯子扶手:≥20mm×10mm×1.2mm 的椭圆管。</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10、铺板:采用二面光≥15mm 厚度的多层实木铺板,不能开裂、翘曲。11、★全钢书架:规格:240mm×600mm×1700mm，具体尺寸和床体相吻合。误差小于±2mm。柜体主材采用≥0.6mm 厚的冷轧钢板冲压成型，背板采用≥0.5mm 厚的冷轧钢板冲压成型。连接方式:各连接处采用点焊连接(无螺丝连接)，防止使用的磕伤或者划伤，保证安全性，体现人性化，便于运输且运输过程中不易变形。</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12、全钢衣柜:规格:600mm×600mm×1700mm (±2mm)，具体尺寸和床体相吻合。误差小于±2mm。</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（1）柜体主材采用≥0.6mm 厚的冷轧钢板冲压成型，背板采用≥0.5mm 厚的冷轧钢板冲压成型，优质五金件配件，每个柜分为储衣柜皮箱柜洗漱用具柜，柜门带不锈钢锁明扣。</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（2)拉手:采用内嵌式的拉手，与柜门形成一体，具有可操作性和实用性。</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(4)为防止柜体与地面接触受潮，在柜体底部加装有防潮防水脚保证永久不锈。</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13、学习桌及吊式书架</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规格:1080mm×600mm×1700mm(≤1080m×340m×240m 书架)(±2mm)</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(1)主材采用≥0.6mm 厚的冷轧钢板，背板采用≥0.5mm 厚的冷轧钢板冲压成型。</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(2)学习桌高 760mm,桌面规格≤1080mm×600mm×20mm,要求桌面与衣柜和书架紧密对接。桌面基材≥ 20mm 的高密度纤维板，四周采用一次封边，防火板饰面，桌面后带挡沿，防止学习用具滑落。桌子左右两边分别设计线孔和水杯槽。(桌面颜色可选)。</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(3)学习桌下带一柜体，书桌上面带有吊书架。主材均采用≥0.6mm 厚的冷轧钢板，抽底和背板采用≥0.5mm 厚的冷轧钢板冲压成型。拉手为内嵌拉手，带锁优质五金配件和滑轨。</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(4)连接方式：各连接处采用点焊连接(无螺丝连接)，防止使用的磕伤或者划伤，保证安全性，体现人性化，便于运输且运输过程中不易变形。</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(5)为防止柜体与地面接触受潮，在柜体底部加装有防潮防水脚保证永久不锈。</w:t>
            </w:r>
          </w:p>
          <w:p>
            <w:pPr>
              <w:keepNext w:val="0"/>
              <w:keepLines w:val="0"/>
              <w:widowControl/>
              <w:numPr>
                <w:ilvl w:val="0"/>
                <w:numId w:val="0"/>
              </w:numPr>
              <w:suppressLineNumbers w:val="0"/>
              <w:jc w:val="left"/>
              <w:textAlignment w:val="center"/>
              <w:rPr>
                <w:rFonts w:hint="eastAsia" w:ascii="微软雅黑" w:hAnsi="微软雅黑" w:eastAsia="微软雅黑" w:cs="微软雅黑"/>
                <w:b/>
                <w:bCs/>
                <w:i w:val="0"/>
                <w:iCs w:val="0"/>
                <w:color w:val="000000"/>
                <w:kern w:val="0"/>
                <w:sz w:val="15"/>
                <w:szCs w:val="15"/>
                <w:u w:val="none"/>
                <w:lang w:val="en-US" w:eastAsia="zh-CN" w:bidi="ar"/>
              </w:rPr>
            </w:pPr>
            <w:r>
              <w:rPr>
                <w:rFonts w:hint="eastAsia" w:ascii="微软雅黑" w:hAnsi="微软雅黑" w:eastAsia="微软雅黑" w:cs="微软雅黑"/>
                <w:i w:val="0"/>
                <w:iCs w:val="0"/>
                <w:color w:val="000000"/>
                <w:kern w:val="0"/>
                <w:sz w:val="15"/>
                <w:szCs w:val="15"/>
                <w:u w:val="none"/>
                <w:lang w:val="en-US" w:eastAsia="zh-CN" w:bidi="ar"/>
              </w:rPr>
              <w:t>★</w:t>
            </w:r>
            <w:r>
              <w:rPr>
                <w:rFonts w:hint="eastAsia" w:ascii="微软雅黑" w:hAnsi="微软雅黑" w:eastAsia="微软雅黑" w:cs="微软雅黑"/>
                <w:b/>
                <w:bCs/>
                <w:i w:val="0"/>
                <w:iCs w:val="0"/>
                <w:color w:val="000000"/>
                <w:kern w:val="0"/>
                <w:sz w:val="15"/>
                <w:szCs w:val="15"/>
                <w:u w:val="none"/>
                <w:lang w:val="en-US" w:eastAsia="zh-CN" w:bidi="ar"/>
              </w:rPr>
              <w:t>整体公寓床需与墙体固定连接</w:t>
            </w:r>
          </w:p>
          <w:p>
            <w:pPr>
              <w:keepNext w:val="0"/>
              <w:keepLines w:val="0"/>
              <w:widowControl/>
              <w:numPr>
                <w:ilvl w:val="0"/>
                <w:numId w:val="0"/>
              </w:numPr>
              <w:suppressLineNumbers w:val="0"/>
              <w:jc w:val="left"/>
              <w:textAlignment w:val="center"/>
              <w:rPr>
                <w:rFonts w:hint="default" w:ascii="微软雅黑" w:hAnsi="微软雅黑" w:eastAsia="微软雅黑" w:cs="微软雅黑"/>
                <w:b/>
                <w:bCs/>
                <w:i w:val="0"/>
                <w:iCs w:val="0"/>
                <w:color w:val="000000"/>
                <w:kern w:val="0"/>
                <w:sz w:val="15"/>
                <w:szCs w:val="15"/>
                <w:u w:val="none"/>
                <w:lang w:val="en-US" w:eastAsia="zh-CN" w:bidi="ar"/>
              </w:rPr>
            </w:pPr>
            <w:r>
              <w:rPr>
                <w:rFonts w:hint="eastAsia" w:ascii="微软雅黑" w:hAnsi="微软雅黑" w:eastAsia="微软雅黑" w:cs="微软雅黑"/>
                <w:i w:val="0"/>
                <w:iCs w:val="0"/>
                <w:color w:val="000000"/>
                <w:kern w:val="0"/>
                <w:sz w:val="15"/>
                <w:szCs w:val="15"/>
                <w:u w:val="none"/>
                <w:lang w:val="en-US" w:eastAsia="zh-CN" w:bidi="ar"/>
              </w:rPr>
              <w:t>★</w:t>
            </w:r>
            <w:r>
              <w:rPr>
                <w:rFonts w:hint="eastAsia" w:ascii="微软雅黑" w:hAnsi="微软雅黑" w:eastAsia="微软雅黑" w:cs="微软雅黑"/>
                <w:b/>
                <w:bCs/>
                <w:i w:val="0"/>
                <w:iCs w:val="0"/>
                <w:color w:val="000000"/>
                <w:kern w:val="0"/>
                <w:sz w:val="15"/>
                <w:szCs w:val="15"/>
                <w:u w:val="none"/>
                <w:lang w:val="en-US" w:eastAsia="zh-CN" w:bidi="ar"/>
              </w:rPr>
              <w:t>因房间格局特殊，投标供应商所提供单人位公寓床须完全匹配房型</w:t>
            </w:r>
          </w:p>
        </w:tc>
        <w:tc>
          <w:tcPr>
            <w:tcW w:w="1125" w:type="dxa"/>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rPr>
              <w:t>44</w:t>
            </w:r>
          </w:p>
        </w:tc>
        <w:tc>
          <w:tcPr>
            <w:tcW w:w="855" w:type="dxa"/>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rPr>
              <w:t>组</w:t>
            </w:r>
          </w:p>
        </w:tc>
        <w:tc>
          <w:tcPr>
            <w:tcW w:w="1095"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bdr w:val="single" w:color="000000" w:sz="8" w:space="0"/>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bdr w:val="single" w:color="000000" w:sz="8" w:space="0"/>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bdr w:val="single" w:color="000000" w:sz="8" w:space="0"/>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bdr w:val="single" w:color="000000" w:sz="8" w:space="0"/>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bdr w:val="single" w:color="000000" w:sz="8" w:space="0"/>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bdr w:val="single" w:color="000000" w:sz="8" w:space="0"/>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bdr w:val="single" w:color="000000" w:sz="8" w:space="0"/>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bdr w:val="single" w:color="000000" w:sz="8" w:space="0"/>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bdr w:val="single" w:color="000000" w:sz="8" w:space="0"/>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bdr w:val="single" w:color="000000" w:sz="8" w:space="0"/>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bdr w:val="single" w:color="000000" w:sz="8" w:space="0"/>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243840" cy="243840"/>
                  <wp:effectExtent l="0" t="0" r="0" b="0"/>
                  <wp:wrapNone/>
                  <wp:docPr id="9" name="图片_9"/>
                  <wp:cNvGraphicFramePr/>
                  <a:graphic xmlns:a="http://schemas.openxmlformats.org/drawingml/2006/main">
                    <a:graphicData uri="http://schemas.openxmlformats.org/drawingml/2006/picture">
                      <pic:pic xmlns:pic="http://schemas.openxmlformats.org/drawingml/2006/picture">
                        <pic:nvPicPr>
                          <pic:cNvPr id="9" name="图片_9"/>
                          <pic:cNvPicPr/>
                        </pic:nvPicPr>
                        <pic:blipFill>
                          <a:blip r:embed="rId4"/>
                          <a:stretch>
                            <a:fillRect/>
                          </a:stretch>
                        </pic:blipFill>
                        <pic:spPr>
                          <a:xfrm>
                            <a:off x="0" y="0"/>
                            <a:ext cx="243840" cy="243840"/>
                          </a:xfrm>
                          <a:prstGeom prst="rect">
                            <a:avLst/>
                          </a:prstGeom>
                          <a:noFill/>
                          <a:ln>
                            <a:noFill/>
                          </a:ln>
                        </pic:spPr>
                      </pic:pic>
                    </a:graphicData>
                  </a:graphic>
                </wp:anchor>
              </w:drawing>
            </w:r>
            <w:r>
              <w:rPr>
                <w:rFonts w:hint="eastAsia" w:ascii="宋体" w:hAnsi="宋体" w:eastAsia="宋体" w:cs="宋体"/>
                <w:i w:val="0"/>
                <w:iCs w:val="0"/>
                <w:color w:val="000000"/>
                <w:kern w:val="0"/>
                <w:sz w:val="15"/>
                <w:szCs w:val="15"/>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243840" cy="243840"/>
                  <wp:effectExtent l="0" t="0" r="0" b="0"/>
                  <wp:wrapNone/>
                  <wp:docPr id="5" name="图片_8"/>
                  <wp:cNvGraphicFramePr/>
                  <a:graphic xmlns:a="http://schemas.openxmlformats.org/drawingml/2006/main">
                    <a:graphicData uri="http://schemas.openxmlformats.org/drawingml/2006/picture">
                      <pic:pic xmlns:pic="http://schemas.openxmlformats.org/drawingml/2006/picture">
                        <pic:nvPicPr>
                          <pic:cNvPr id="5" name="图片_8"/>
                          <pic:cNvPicPr/>
                        </pic:nvPicPr>
                        <pic:blipFill>
                          <a:blip r:embed="rId4"/>
                          <a:stretch>
                            <a:fillRect/>
                          </a:stretch>
                        </pic:blipFill>
                        <pic:spPr>
                          <a:xfrm>
                            <a:off x="0" y="0"/>
                            <a:ext cx="243840" cy="243840"/>
                          </a:xfrm>
                          <a:prstGeom prst="rect">
                            <a:avLst/>
                          </a:prstGeom>
                          <a:noFill/>
                          <a:ln>
                            <a:noFill/>
                          </a:ln>
                        </pic:spPr>
                      </pic:pic>
                    </a:graphicData>
                  </a:graphic>
                </wp:anchor>
              </w:drawing>
            </w:r>
            <w:r>
              <w:rPr>
                <w:rFonts w:hint="eastAsia" w:ascii="宋体" w:hAnsi="宋体" w:eastAsia="宋体" w:cs="宋体"/>
                <w:i w:val="0"/>
                <w:iCs w:val="0"/>
                <w:color w:val="000000"/>
                <w:kern w:val="0"/>
                <w:sz w:val="15"/>
                <w:szCs w:val="15"/>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243840" cy="243840"/>
                  <wp:effectExtent l="0" t="0" r="0" b="0"/>
                  <wp:wrapNone/>
                  <wp:docPr id="6" name="图片_10"/>
                  <wp:cNvGraphicFramePr/>
                  <a:graphic xmlns:a="http://schemas.openxmlformats.org/drawingml/2006/main">
                    <a:graphicData uri="http://schemas.openxmlformats.org/drawingml/2006/picture">
                      <pic:pic xmlns:pic="http://schemas.openxmlformats.org/drawingml/2006/picture">
                        <pic:nvPicPr>
                          <pic:cNvPr id="6" name="图片_10"/>
                          <pic:cNvPicPr/>
                        </pic:nvPicPr>
                        <pic:blipFill>
                          <a:blip r:embed="rId4"/>
                          <a:stretch>
                            <a:fillRect/>
                          </a:stretch>
                        </pic:blipFill>
                        <pic:spPr>
                          <a:xfrm>
                            <a:off x="0" y="0"/>
                            <a:ext cx="243840" cy="243840"/>
                          </a:xfrm>
                          <a:prstGeom prst="rect">
                            <a:avLst/>
                          </a:prstGeom>
                          <a:noFill/>
                          <a:ln>
                            <a:noFill/>
                          </a:ln>
                        </pic:spPr>
                      </pic:pic>
                    </a:graphicData>
                  </a:graphic>
                </wp:anchor>
              </w:drawing>
            </w:r>
          </w:p>
          <w:p>
            <w:pPr>
              <w:keepNext w:val="0"/>
              <w:keepLines w:val="0"/>
              <w:widowControl/>
              <w:suppressLineNumbers w:val="0"/>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（单人爬梯定制）</w:t>
            </w:r>
            <w:r>
              <w:rPr>
                <w:rFonts w:hint="eastAsia" w:ascii="微软雅黑" w:hAnsi="微软雅黑" w:eastAsia="微软雅黑" w:cs="微软雅黑"/>
                <w:i w:val="0"/>
                <w:iCs w:val="0"/>
                <w:color w:val="000000"/>
                <w:kern w:val="0"/>
                <w:sz w:val="15"/>
                <w:szCs w:val="15"/>
                <w:u w:val="none"/>
                <w:lang w:val="en-US" w:eastAsia="zh-CN" w:bidi="ar"/>
              </w:rPr>
              <w:br w:type="textWrapp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16" w:hRule="atLeast"/>
          <w:jc w:val="center"/>
        </w:trPr>
        <w:tc>
          <w:tcPr>
            <w:tcW w:w="505" w:type="dxa"/>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rPr>
              <w:t>2</w:t>
            </w:r>
          </w:p>
        </w:tc>
        <w:tc>
          <w:tcPr>
            <w:tcW w:w="760" w:type="dxa"/>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rPr>
              <w:t>两人位</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公寓床</w:t>
            </w:r>
          </w:p>
        </w:tc>
        <w:tc>
          <w:tcPr>
            <w:tcW w:w="1028" w:type="dxa"/>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rPr>
              <w:t>4000*900*2100</w:t>
            </w:r>
          </w:p>
        </w:tc>
        <w:tc>
          <w:tcPr>
            <w:tcW w:w="4152" w:type="dxa"/>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5"/>
                <w:szCs w:val="15"/>
                <w:u w:val="none"/>
                <w:lang w:val="en-US" w:eastAsia="zh-CN" w:bidi="ar"/>
              </w:rPr>
            </w:pPr>
            <w:r>
              <w:rPr>
                <w:rFonts w:hint="eastAsia" w:ascii="微软雅黑" w:hAnsi="微软雅黑" w:eastAsia="微软雅黑" w:cs="微软雅黑"/>
                <w:i w:val="0"/>
                <w:iCs w:val="0"/>
                <w:color w:val="000000"/>
                <w:kern w:val="0"/>
                <w:sz w:val="15"/>
                <w:szCs w:val="15"/>
                <w:u w:val="none"/>
                <w:lang w:val="en-US" w:eastAsia="zh-CN" w:bidi="ar"/>
              </w:rPr>
              <w:t>立柱：≧60mm×60mm×1.2mm；方管、外圆内方、多边型均可，立柱上方配置可调节蚊帐杆</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前床厅、后床厅：≧70mm×30mm×1.2mm；均为封口型材；</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床头：≧40mm×20mm×1.2mm</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上层安全护栏：≧30mm*20mm*1.2mm，高度≧300mm，护拦留≦600mm的缺口,安全护栏内侧可设有手机、眼镜等置物槽；</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爬梯：加厚冷扎钢板，壁厚≧1.2mm，落地式，每层踏板须设有防滑板，与床体采用隐形螺丝相连接（稳固无摇晃），整体承重力≧100kg（两床共用一部爬梯）</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铺板横梁：‘间隙≦400mm’，≧30mm×20mm×1.2mm，≧7根（不计两端）,承重力≧300kg</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床板：采用厚度≧15mm 实木床板，经高温脱脂，除虫处理，带强加筋，干燥处理，双面抛光拼接成型，床板每张由≤7 块木板组成，以牢固、耐用、平整、无响声与床架吻合为标准；</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衣柜：衣柜位置于床体左侧，宽‘介于600mm—860mm’×高≧1650mm×0.8mm,柜内净深≧800mm;内部设三层档，上层高250～300mm，中层高900-1000mm，柜内带挂衣横杆，横杆以衣柜内部实际进深为标准取中，挂衣杆距上层格挡板70-100mm，挂衣杆材质为国标304不锈钢ø22×0.8mm;下层高250～300mm；层间隔板为0.8mm冷扎钢板；衣柜内侧板、背板、隔板设加强筋；衣柜门上下两开门，</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配明锁锁扣，柜门拉手设计为内抠式，柜门下方设有通风孔；</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书架：书架位置于床体右侧，不小于宽240mm×高1650mm×1.0mm，底部距地面50mm;距地面750mm以上设二档，每层高≦360mm，二层之间隔板为≥0.8mm冷扎钢板；</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书桌：桌面基材采用≥25mm厚实木多层板，并采用E1级防火材料进行贴皮饰面;书桌位置于床体中部,桌面距地750mm,长介于1060mm—800mm；书桌面板下方右侧设有抽屉带小柜，书桌上后方带有书架，书架带有背板，桌面距上方书架隔板≧370mm；桌面前端应设为“鸭嘴”形封边，抽屉配有明锁锁扣，书桌后方应设计承重横撑，拉手设计为内扣式；</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脚垫：柜底及书架底部配耐磨橡胶材质脚垫</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5"/>
                <w:szCs w:val="15"/>
                <w:u w:val="none"/>
                <w:lang w:val="en-US" w:eastAsia="zh-CN" w:bidi="ar"/>
              </w:rPr>
            </w:pPr>
            <w:r>
              <w:rPr>
                <w:rFonts w:hint="eastAsia" w:ascii="微软雅黑" w:hAnsi="微软雅黑" w:eastAsia="微软雅黑" w:cs="微软雅黑"/>
                <w:b/>
                <w:bCs/>
                <w:i w:val="0"/>
                <w:iCs w:val="0"/>
                <w:color w:val="000000"/>
                <w:kern w:val="0"/>
                <w:sz w:val="15"/>
                <w:szCs w:val="15"/>
                <w:u w:val="none"/>
                <w:lang w:val="en-US" w:eastAsia="zh-CN" w:bidi="ar"/>
              </w:rPr>
              <w:t>整体公寓床需与墙体固定连接</w:t>
            </w:r>
          </w:p>
        </w:tc>
        <w:tc>
          <w:tcPr>
            <w:tcW w:w="1125" w:type="dxa"/>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rPr>
              <w:t>4</w:t>
            </w:r>
          </w:p>
        </w:tc>
        <w:tc>
          <w:tcPr>
            <w:tcW w:w="855" w:type="dxa"/>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rPr>
              <w:t>组</w:t>
            </w:r>
          </w:p>
        </w:tc>
        <w:tc>
          <w:tcPr>
            <w:tcW w:w="1095"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bdr w:val="single" w:color="000000" w:sz="8" w:space="0"/>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bdr w:val="single" w:color="000000" w:sz="8" w:space="0"/>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bdr w:val="single" w:color="000000" w:sz="8" w:space="0"/>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bdr w:val="single" w:color="000000" w:sz="8" w:space="0"/>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bdr w:val="single" w:color="000000" w:sz="8" w:space="0"/>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bdr w:val="single" w:color="000000" w:sz="8" w:space="0"/>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bdr w:val="single" w:color="000000" w:sz="8" w:space="0"/>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bdr w:val="single" w:color="000000" w:sz="8" w:space="0"/>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bdr w:val="single" w:color="000000" w:sz="8" w:space="0"/>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bdr w:val="single" w:color="000000" w:sz="8" w:space="0"/>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bdr w:val="single" w:color="000000" w:sz="8" w:space="0"/>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bdr w:val="single" w:color="000000" w:sz="8" w:space="0"/>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bdr w:val="single" w:color="000000" w:sz="8" w:space="0"/>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243840" cy="243840"/>
                  <wp:effectExtent l="0" t="0" r="0" b="0"/>
                  <wp:wrapNone/>
                  <wp:docPr id="7" name="图片_4"/>
                  <wp:cNvGraphicFramePr/>
                  <a:graphic xmlns:a="http://schemas.openxmlformats.org/drawingml/2006/main">
                    <a:graphicData uri="http://schemas.openxmlformats.org/drawingml/2006/picture">
                      <pic:pic xmlns:pic="http://schemas.openxmlformats.org/drawingml/2006/picture">
                        <pic:nvPicPr>
                          <pic:cNvPr id="7" name="图片_4"/>
                          <pic:cNvPicPr/>
                        </pic:nvPicPr>
                        <pic:blipFill>
                          <a:blip r:embed="rId5"/>
                          <a:stretch>
                            <a:fillRect/>
                          </a:stretch>
                        </pic:blipFill>
                        <pic:spPr>
                          <a:xfrm>
                            <a:off x="0" y="0"/>
                            <a:ext cx="243840" cy="243840"/>
                          </a:xfrm>
                          <a:prstGeom prst="rect">
                            <a:avLst/>
                          </a:prstGeom>
                          <a:noFill/>
                          <a:ln>
                            <a:noFill/>
                          </a:ln>
                        </pic:spPr>
                      </pic:pic>
                    </a:graphicData>
                  </a:graphic>
                </wp:anchor>
              </w:drawing>
            </w:r>
          </w:p>
          <w:p>
            <w:pPr>
              <w:keepNext w:val="0"/>
              <w:keepLines w:val="0"/>
              <w:widowControl/>
              <w:suppressLineNumbers w:val="0"/>
              <w:jc w:val="center"/>
              <w:textAlignment w:val="center"/>
              <w:rPr>
                <w:rFonts w:hint="eastAsia" w:ascii="微软雅黑" w:hAnsi="微软雅黑" w:eastAsia="微软雅黑" w:cs="微软雅黑"/>
                <w:i w:val="0"/>
                <w:iCs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37" w:hRule="atLeast"/>
          <w:jc w:val="center"/>
        </w:trPr>
        <w:tc>
          <w:tcPr>
            <w:tcW w:w="505" w:type="dxa"/>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rPr>
              <w:t>3</w:t>
            </w:r>
          </w:p>
        </w:tc>
        <w:tc>
          <w:tcPr>
            <w:tcW w:w="760" w:type="dxa"/>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rPr>
              <w:t>两人位</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高低床</w:t>
            </w:r>
          </w:p>
        </w:tc>
        <w:tc>
          <w:tcPr>
            <w:tcW w:w="1028" w:type="dxa"/>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rPr>
              <w:t>4600*900*2100</w:t>
            </w:r>
          </w:p>
        </w:tc>
        <w:tc>
          <w:tcPr>
            <w:tcW w:w="4152" w:type="dxa"/>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5"/>
                <w:szCs w:val="15"/>
                <w:u w:val="none"/>
                <w:lang w:val="en-US" w:eastAsia="zh-CN" w:bidi="ar"/>
              </w:rPr>
            </w:pPr>
            <w:r>
              <w:rPr>
                <w:rFonts w:hint="eastAsia" w:ascii="微软雅黑" w:hAnsi="微软雅黑" w:eastAsia="微软雅黑" w:cs="微软雅黑"/>
                <w:i w:val="0"/>
                <w:iCs w:val="0"/>
                <w:color w:val="000000"/>
                <w:kern w:val="0"/>
                <w:sz w:val="15"/>
                <w:szCs w:val="15"/>
                <w:u w:val="none"/>
                <w:lang w:val="en-US" w:eastAsia="zh-CN" w:bidi="ar"/>
              </w:rPr>
              <w:t>高低床规格尺寸:4600mm×900mm×2100mm(±2mm)</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1、立柱和床头护栏横杆:≥64mm×64m，厚度≥1.0mm型材，材质:为优质冷轧钢板经成型线轧制而成；立柱内侧采用内直角造型，外侧呈圆弧I形。卡式连接件与立柱齐平整体美观。立柱下段与地面接触处有ABS塑料胶套防潮设计。</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2、前床挺:≥105mm×40mm，厚度≥1.2mm型材，材质:为优质冷轧钢板经成型线轧制而成；</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3、后床挺及床头拉撑:≥98mm×41mm，厚度≥1.2mm型材，材质：为优质冷轧钢板经成型线轧制而成；并有放置铺板的档口，实现铺板与型材的紧密连接；</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4、公寓床卡式连接件:≥30mm×30mm×2.5mm×200mm；</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5、床挺护栏:护栏主支架:≥20mm,厚度≥1.2mm 圆管；护栏支架为:20mm×15mm×1.2mm，护栏高度≥300mm(床铺板到护栏顶端的距离)。</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6、床头侧挺:≥64mm×64mm，厚度≥1.2mm型材及30mm×20mm×1.2mm凸型管:材质同立柱相同；</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7、立柱下拉撑(即立柱下端侧拉撑和后拉撑):≥60mm×30mm×1.3mm 矩管;材质同立柱相同；</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8、床撑:7根35mm×30/20mm×1.2mm凸型管；</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9、走梯扶手:30mm×15mm×1.2mm 的椭圆管；</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10、铺板:采用二面光≥15mm厚度的多层实木铺板，要求多层实木床板外表无鼓泡、无龟裂、无分层。甲醛限量符合 GB18584-2011 检测标准。</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11.床间走梯</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(1)规格:≥600mm×758mm×1380mm；(±2mm)</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(2)主材采用0.8mm厚的冷轧钢板冲压成型，背板0.7mm厚的冷轧钢板冲压成型。</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(3)钢件部分连接方式:各连接处采用点焊连接(无螺丝连接)，防止使用的磕伤或者划伤，保证安全性，体现人性化，便于运输且运输过程中不易变形。</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(4)走梯踏步:走梯梯步整体规格为≥600mm×758mm×1380mm,踏步板采用≥2.0mm 厚防滑踏板一次冲压成型，顶层踏步与墙体紧密贴近防止物品滑落，踏板前端向下的翻边长度为 20mm,隐形安装。保证使用者的安全，走梯拉手采用暗拉手，防止使用者轻易碰脚而受伤;拉手为暗拉手</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(5)走梯储物格门(每梯一门):走梯为翻板门设计，门板材质为 0.8mm 厚的冷轧钢板冲压成型，柜壁为 0.7mm 厚的冷轧钢板冲压成型，带磁铁吸。</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 xml:space="preserve">(6)走梯固定方式:走梯边侧板与柜体边侧板采用防退螺栓连接，牢固稳定。  </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工艺要求：（1）型材及冷轧钢板经智能激光切割、智能冲压，智能数控折弯，智能机器人焊接手焊接成型。</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（2）焊接处保证无脱焊、无虚焊、无焊穿，无夹渣、无焊瘤，表面波纹均匀。</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（3）保证涂层光滑均匀，色泽一致，无流挂、无皱皮、无锈蚀。涂层硬度2H，附着力2级。表面喷涂的环氧聚脂塑粉中有毒有害物质铅、镉、铬、汞不得超标。</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（4）人体接触部位或收藏物品的部位无毛刺、刃口、棱角。以免给人造成伤害。</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（5）产品质量符合GB/T3325-2017标准要求。</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5"/>
                <w:szCs w:val="15"/>
                <w:u w:val="none"/>
                <w:lang w:val="en-US" w:eastAsia="zh-CN" w:bidi="ar"/>
              </w:rPr>
            </w:pPr>
            <w:r>
              <w:rPr>
                <w:rFonts w:hint="eastAsia" w:ascii="微软雅黑" w:hAnsi="微软雅黑" w:eastAsia="微软雅黑" w:cs="微软雅黑"/>
                <w:b/>
                <w:bCs/>
                <w:i w:val="0"/>
                <w:iCs w:val="0"/>
                <w:color w:val="000000"/>
                <w:kern w:val="0"/>
                <w:sz w:val="15"/>
                <w:szCs w:val="15"/>
                <w:u w:val="none"/>
                <w:lang w:val="en-US" w:eastAsia="zh-CN" w:bidi="ar"/>
              </w:rPr>
              <w:t>整体公寓床需与墙体固定连接</w:t>
            </w:r>
          </w:p>
        </w:tc>
        <w:tc>
          <w:tcPr>
            <w:tcW w:w="1125" w:type="dxa"/>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rPr>
              <w:t>16</w:t>
            </w:r>
          </w:p>
        </w:tc>
        <w:tc>
          <w:tcPr>
            <w:tcW w:w="855" w:type="dxa"/>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rPr>
              <w:t>组</w:t>
            </w:r>
          </w:p>
        </w:tc>
        <w:tc>
          <w:tcPr>
            <w:tcW w:w="1095" w:type="dxa"/>
            <w:shd w:val="clear" w:color="auto" w:fill="auto"/>
            <w:noWrap/>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76" w:hRule="atLeast"/>
          <w:jc w:val="center"/>
        </w:trPr>
        <w:tc>
          <w:tcPr>
            <w:tcW w:w="505" w:type="dxa"/>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rPr>
              <w:t>4</w:t>
            </w:r>
          </w:p>
        </w:tc>
        <w:tc>
          <w:tcPr>
            <w:tcW w:w="760" w:type="dxa"/>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rPr>
              <w:t>四门衣柜</w:t>
            </w:r>
          </w:p>
        </w:tc>
        <w:tc>
          <w:tcPr>
            <w:tcW w:w="1028" w:type="dxa"/>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rPr>
              <w:t>900*550*1850</w:t>
            </w:r>
          </w:p>
        </w:tc>
        <w:tc>
          <w:tcPr>
            <w:tcW w:w="4152" w:type="dxa"/>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rPr>
              <w:t>全钢结构；主材采用≥0.8mm 厚的冷轧钢板冲压成型，背板采用≥0.7mm 厚的冷轧钢板冲压成型，整体二氧保护焊点焊，表面经过酸洗磷化处理后，采用静电喷涂，合国家环保要求，颜色为灰白色。柜体上下四门对开，供四人独立使用；柜门右上角不锈钢学生信息卡槽，右下角有透气孔，柜门采用带拉手隐形锁具，学生自行配备挂锁，方便使用，便于管理。柜体的侧板、背板为整张钢板折弯成型的整体结构。为防止柜体与地面接触受潮，在柜体底部加装 PVC 防潮脚垫，厚度≥8mm，采用螺丝固定于柜体底部。衣柜主体灰白色，柜门颜色可定制。</w:t>
            </w:r>
          </w:p>
        </w:tc>
        <w:tc>
          <w:tcPr>
            <w:tcW w:w="1125" w:type="dxa"/>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rPr>
              <w:t>16</w:t>
            </w:r>
          </w:p>
        </w:tc>
        <w:tc>
          <w:tcPr>
            <w:tcW w:w="855" w:type="dxa"/>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rPr>
              <w:t>组</w:t>
            </w:r>
          </w:p>
        </w:tc>
        <w:tc>
          <w:tcPr>
            <w:tcW w:w="1095" w:type="dxa"/>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5"/>
                <w:szCs w:val="15"/>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54" w:hRule="atLeast"/>
          <w:jc w:val="center"/>
        </w:trPr>
        <w:tc>
          <w:tcPr>
            <w:tcW w:w="505" w:type="dxa"/>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5"/>
                <w:szCs w:val="15"/>
                <w:u w:val="none"/>
                <w:lang w:val="en-US" w:eastAsia="zh-CN" w:bidi="ar"/>
              </w:rPr>
            </w:pPr>
            <w:r>
              <w:rPr>
                <w:rFonts w:hint="eastAsia" w:ascii="微软雅黑" w:hAnsi="微软雅黑" w:eastAsia="微软雅黑" w:cs="微软雅黑"/>
                <w:i w:val="0"/>
                <w:iCs w:val="0"/>
                <w:color w:val="000000"/>
                <w:kern w:val="0"/>
                <w:sz w:val="15"/>
                <w:szCs w:val="15"/>
                <w:u w:val="none"/>
                <w:lang w:val="en-US" w:eastAsia="zh-CN" w:bidi="ar"/>
              </w:rPr>
              <w:t>5</w:t>
            </w:r>
          </w:p>
        </w:tc>
        <w:tc>
          <w:tcPr>
            <w:tcW w:w="760" w:type="dxa"/>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5"/>
                <w:szCs w:val="15"/>
                <w:u w:val="none"/>
                <w:lang w:val="en-US" w:eastAsia="zh-CN" w:bidi="ar"/>
              </w:rPr>
            </w:pPr>
            <w:r>
              <w:rPr>
                <w:rFonts w:hint="eastAsia" w:ascii="微软雅黑" w:hAnsi="微软雅黑" w:eastAsia="微软雅黑" w:cs="微软雅黑"/>
                <w:i w:val="0"/>
                <w:iCs w:val="0"/>
                <w:color w:val="000000"/>
                <w:kern w:val="0"/>
                <w:sz w:val="15"/>
                <w:szCs w:val="15"/>
                <w:u w:val="none"/>
                <w:lang w:val="en-US" w:eastAsia="zh-CN" w:bidi="ar"/>
              </w:rPr>
              <w:t>公寓桌</w:t>
            </w:r>
          </w:p>
        </w:tc>
        <w:tc>
          <w:tcPr>
            <w:tcW w:w="1028" w:type="dxa"/>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5"/>
                <w:szCs w:val="15"/>
                <w:u w:val="none"/>
                <w:lang w:val="en-US" w:eastAsia="zh-CN" w:bidi="ar"/>
              </w:rPr>
            </w:pPr>
            <w:r>
              <w:rPr>
                <w:rFonts w:hint="eastAsia" w:ascii="微软雅黑" w:hAnsi="微软雅黑" w:eastAsia="微软雅黑" w:cs="微软雅黑"/>
                <w:i w:val="0"/>
                <w:iCs w:val="0"/>
                <w:color w:val="000000"/>
                <w:kern w:val="0"/>
                <w:sz w:val="15"/>
                <w:szCs w:val="15"/>
                <w:u w:val="none"/>
                <w:lang w:val="en-US" w:eastAsia="zh-CN" w:bidi="ar"/>
              </w:rPr>
              <w:t>2400*800*750</w:t>
            </w:r>
          </w:p>
        </w:tc>
        <w:tc>
          <w:tcPr>
            <w:tcW w:w="4152" w:type="dxa"/>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15"/>
                <w:szCs w:val="15"/>
                <w:u w:val="none"/>
                <w:lang w:val="en-US" w:eastAsia="zh-CN" w:bidi="ar"/>
              </w:rPr>
            </w:pPr>
            <w:r>
              <w:rPr>
                <w:rFonts w:hint="eastAsia" w:ascii="微软雅黑" w:hAnsi="微软雅黑" w:eastAsia="微软雅黑" w:cs="微软雅黑"/>
                <w:i w:val="0"/>
                <w:iCs w:val="0"/>
                <w:color w:val="000000"/>
                <w:kern w:val="0"/>
                <w:sz w:val="15"/>
                <w:szCs w:val="15"/>
                <w:u w:val="none"/>
                <w:lang w:val="en-US" w:eastAsia="zh-CN" w:bidi="ar"/>
              </w:rPr>
              <w:t>（1）书桌四位一组，书桌整体结构应稳固、不易摇晃、承受压力好。</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（2）桌面：基材为≥25mm 的实木板，表面贴防火树脂板，采用高新技术一次性压模成型，桌面前端设计为鸭嘴边连同侧后一次成型封边，四周无接缝，产品美观且更加经久耐用，增加产品的使用寿命。</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（3）书桌主架：采用≥40*40*2.0mm 方钢，横撑采用≥30*30*2.0 方钢，保证无螺丝连接，使用者不磕伤不划伤保证安全性，体现人性化，保证运输过程中不变形；桌脚底部加装防潮垫，厚度≥8mm，并带有调节螺丝。</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（4）书桌带四个抽屉，抽屉采用厚度≥0.8mm 优质钢板，抽屉面板颜色可选。</w:t>
            </w:r>
          </w:p>
        </w:tc>
        <w:tc>
          <w:tcPr>
            <w:tcW w:w="1125" w:type="dxa"/>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5"/>
                <w:szCs w:val="15"/>
                <w:u w:val="none"/>
                <w:lang w:val="en-US" w:eastAsia="zh-CN" w:bidi="ar"/>
              </w:rPr>
            </w:pPr>
            <w:r>
              <w:rPr>
                <w:rFonts w:hint="eastAsia" w:ascii="微软雅黑" w:hAnsi="微软雅黑" w:eastAsia="微软雅黑" w:cs="微软雅黑"/>
                <w:i w:val="0"/>
                <w:iCs w:val="0"/>
                <w:color w:val="000000"/>
                <w:kern w:val="0"/>
                <w:sz w:val="15"/>
                <w:szCs w:val="15"/>
                <w:u w:val="none"/>
                <w:lang w:val="en-US" w:eastAsia="zh-CN" w:bidi="ar"/>
              </w:rPr>
              <w:t>8</w:t>
            </w:r>
          </w:p>
        </w:tc>
        <w:tc>
          <w:tcPr>
            <w:tcW w:w="855" w:type="dxa"/>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5"/>
                <w:szCs w:val="15"/>
                <w:u w:val="none"/>
                <w:lang w:val="en-US" w:eastAsia="zh-CN" w:bidi="ar"/>
              </w:rPr>
            </w:pPr>
            <w:r>
              <w:rPr>
                <w:rFonts w:hint="eastAsia" w:ascii="微软雅黑" w:hAnsi="微软雅黑" w:eastAsia="微软雅黑" w:cs="微软雅黑"/>
                <w:i w:val="0"/>
                <w:iCs w:val="0"/>
                <w:color w:val="000000"/>
                <w:kern w:val="0"/>
                <w:sz w:val="15"/>
                <w:szCs w:val="15"/>
                <w:u w:val="none"/>
                <w:lang w:val="en-US" w:eastAsia="zh-CN" w:bidi="ar"/>
              </w:rPr>
              <w:t>张</w:t>
            </w:r>
          </w:p>
        </w:tc>
        <w:tc>
          <w:tcPr>
            <w:tcW w:w="1095" w:type="dxa"/>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5"/>
                <w:szCs w:val="15"/>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505" w:type="dxa"/>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rPr>
              <w:t>6</w:t>
            </w:r>
          </w:p>
        </w:tc>
        <w:tc>
          <w:tcPr>
            <w:tcW w:w="760" w:type="dxa"/>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rPr>
              <w:t>公寓椅</w:t>
            </w:r>
          </w:p>
        </w:tc>
        <w:tc>
          <w:tcPr>
            <w:tcW w:w="1028" w:type="dxa"/>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rPr>
              <w:t>450*450*800</w:t>
            </w:r>
          </w:p>
        </w:tc>
        <w:tc>
          <w:tcPr>
            <w:tcW w:w="4152" w:type="dxa"/>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rPr>
              <w:t xml:space="preserve">1、规格：座板 365×385mm×25mm（厚）；靠背 410×235×25mm（厚） </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2、材质：座板、靠背采用 pp 工程塑料中空吹塑一次成型。后背带提手；座板带通气孔；钢架：钢架采用优质椭圆焊管≥20×40mm 椭圆管，壁厚度≥1.5mm，边料≥20×40mm 椭圆管，壁厚度为≥1.5mm。</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3、连接方式：整个座板和钢架由卡槽相连，螺钉紧固。</w:t>
            </w:r>
            <w:r>
              <w:rPr>
                <w:rFonts w:hint="eastAsia" w:ascii="微软雅黑" w:hAnsi="微软雅黑" w:eastAsia="微软雅黑" w:cs="微软雅黑"/>
                <w:i w:val="0"/>
                <w:iCs w:val="0"/>
                <w:color w:val="000000"/>
                <w:kern w:val="0"/>
                <w:sz w:val="15"/>
                <w:szCs w:val="15"/>
                <w:u w:val="none"/>
                <w:lang w:val="en-US" w:eastAsia="zh-CN" w:bidi="ar"/>
              </w:rPr>
              <w:br w:type="textWrapping"/>
            </w:r>
            <w:r>
              <w:rPr>
                <w:rFonts w:hint="eastAsia" w:ascii="微软雅黑" w:hAnsi="微软雅黑" w:eastAsia="微软雅黑" w:cs="微软雅黑"/>
                <w:i w:val="0"/>
                <w:iCs w:val="0"/>
                <w:color w:val="000000"/>
                <w:kern w:val="0"/>
                <w:sz w:val="15"/>
                <w:szCs w:val="15"/>
                <w:u w:val="none"/>
                <w:lang w:val="en-US" w:eastAsia="zh-CN" w:bidi="ar"/>
              </w:rPr>
              <w:t>4、钢架与地面接触部分加装塑料脚套及胶垫，胶套及脚垫加固处理。脚套ABS材料为新工业原料，不使用回收再生旧塑料，有害物质限量达到国标要求。铅镉铬汞等有害物质限量符合国标要求。</w:t>
            </w:r>
          </w:p>
        </w:tc>
        <w:tc>
          <w:tcPr>
            <w:tcW w:w="1125" w:type="dxa"/>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rPr>
              <w:t>116</w:t>
            </w:r>
          </w:p>
        </w:tc>
        <w:tc>
          <w:tcPr>
            <w:tcW w:w="855" w:type="dxa"/>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5"/>
                <w:szCs w:val="15"/>
                <w:u w:val="none"/>
              </w:rPr>
            </w:pPr>
            <w:r>
              <w:rPr>
                <w:rFonts w:hint="eastAsia" w:ascii="微软雅黑" w:hAnsi="微软雅黑" w:eastAsia="微软雅黑" w:cs="微软雅黑"/>
                <w:i w:val="0"/>
                <w:iCs w:val="0"/>
                <w:color w:val="000000"/>
                <w:kern w:val="0"/>
                <w:sz w:val="15"/>
                <w:szCs w:val="15"/>
                <w:u w:val="none"/>
                <w:lang w:val="en-US" w:eastAsia="zh-CN" w:bidi="ar"/>
              </w:rPr>
              <w:t>把</w:t>
            </w:r>
          </w:p>
        </w:tc>
        <w:tc>
          <w:tcPr>
            <w:tcW w:w="1095" w:type="dxa"/>
            <w:shd w:val="clear" w:color="auto" w:fill="auto"/>
            <w:noWrap/>
            <w:vAlign w:val="center"/>
          </w:tcPr>
          <w:p>
            <w:pPr>
              <w:jc w:val="center"/>
              <w:rPr>
                <w:rFonts w:hint="default" w:ascii="微软雅黑" w:hAnsi="微软雅黑" w:eastAsia="微软雅黑" w:cs="微软雅黑"/>
                <w:i w:val="0"/>
                <w:iCs w:val="0"/>
                <w:color w:val="000000"/>
                <w:sz w:val="15"/>
                <w:szCs w:val="15"/>
                <w:u w:val="no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52" w:hRule="atLeast"/>
          <w:jc w:val="center"/>
        </w:trPr>
        <w:tc>
          <w:tcPr>
            <w:tcW w:w="505" w:type="dxa"/>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15"/>
                <w:szCs w:val="15"/>
                <w:u w:val="none"/>
                <w:lang w:val="en-US" w:eastAsia="zh-CN" w:bidi="ar"/>
              </w:rPr>
            </w:pPr>
            <w:r>
              <w:rPr>
                <w:rFonts w:hint="eastAsia" w:ascii="微软雅黑" w:hAnsi="微软雅黑" w:eastAsia="微软雅黑" w:cs="微软雅黑"/>
                <w:i w:val="0"/>
                <w:iCs w:val="0"/>
                <w:color w:val="000000"/>
                <w:kern w:val="0"/>
                <w:sz w:val="15"/>
                <w:szCs w:val="15"/>
                <w:u w:val="none"/>
                <w:lang w:val="en-US" w:eastAsia="zh-CN" w:bidi="ar"/>
              </w:rPr>
              <w:t>7</w:t>
            </w:r>
          </w:p>
        </w:tc>
        <w:tc>
          <w:tcPr>
            <w:tcW w:w="760" w:type="dxa"/>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5"/>
                <w:szCs w:val="15"/>
                <w:u w:val="none"/>
                <w:lang w:val="en-US" w:eastAsia="zh-CN" w:bidi="ar"/>
              </w:rPr>
            </w:pPr>
            <w:r>
              <w:rPr>
                <w:rFonts w:hint="eastAsia" w:ascii="微软雅黑" w:hAnsi="微软雅黑" w:eastAsia="微软雅黑" w:cs="微软雅黑"/>
                <w:i w:val="0"/>
                <w:iCs w:val="0"/>
                <w:color w:val="000000"/>
                <w:kern w:val="0"/>
                <w:sz w:val="15"/>
                <w:szCs w:val="15"/>
                <w:u w:val="none"/>
                <w:lang w:val="en-US" w:eastAsia="zh-CN" w:bidi="ar"/>
              </w:rPr>
              <w:t>行李架</w:t>
            </w:r>
          </w:p>
        </w:tc>
        <w:tc>
          <w:tcPr>
            <w:tcW w:w="1028" w:type="dxa"/>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15"/>
                <w:szCs w:val="15"/>
                <w:u w:val="none"/>
                <w:lang w:val="en-US" w:eastAsia="zh-CN" w:bidi="ar"/>
              </w:rPr>
            </w:pPr>
            <w:r>
              <w:rPr>
                <w:rFonts w:hint="eastAsia" w:ascii="微软雅黑" w:hAnsi="微软雅黑" w:eastAsia="微软雅黑" w:cs="微软雅黑"/>
                <w:i w:val="0"/>
                <w:iCs w:val="0"/>
                <w:color w:val="000000"/>
                <w:kern w:val="0"/>
                <w:sz w:val="15"/>
                <w:szCs w:val="15"/>
                <w:u w:val="none"/>
                <w:lang w:val="en-US" w:eastAsia="zh-CN" w:bidi="ar"/>
              </w:rPr>
              <w:t>定制</w:t>
            </w:r>
          </w:p>
        </w:tc>
        <w:tc>
          <w:tcPr>
            <w:tcW w:w="4152" w:type="dxa"/>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15"/>
                <w:szCs w:val="15"/>
                <w:u w:val="none"/>
                <w:lang w:val="en-US" w:eastAsia="zh-CN" w:bidi="ar"/>
              </w:rPr>
            </w:pPr>
            <w:r>
              <w:rPr>
                <w:rFonts w:hint="eastAsia" w:ascii="微软雅黑" w:hAnsi="微软雅黑" w:eastAsia="微软雅黑" w:cs="微软雅黑"/>
                <w:i w:val="0"/>
                <w:iCs w:val="0"/>
                <w:color w:val="000000"/>
                <w:kern w:val="0"/>
                <w:sz w:val="15"/>
                <w:szCs w:val="15"/>
                <w:u w:val="none"/>
                <w:lang w:val="en-US" w:eastAsia="zh-CN" w:bidi="ar"/>
              </w:rPr>
              <w:t>1100*600*2000</w:t>
            </w:r>
          </w:p>
        </w:tc>
        <w:tc>
          <w:tcPr>
            <w:tcW w:w="1125" w:type="dxa"/>
            <w:shd w:val="clear" w:color="auto" w:fill="auto"/>
            <w:noWrap/>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15"/>
                <w:szCs w:val="15"/>
                <w:u w:val="none"/>
                <w:lang w:val="en-US" w:eastAsia="zh-CN" w:bidi="ar"/>
              </w:rPr>
            </w:pPr>
            <w:r>
              <w:rPr>
                <w:rFonts w:hint="eastAsia" w:ascii="微软雅黑" w:hAnsi="微软雅黑" w:eastAsia="微软雅黑" w:cs="微软雅黑"/>
                <w:i w:val="0"/>
                <w:iCs w:val="0"/>
                <w:color w:val="000000"/>
                <w:kern w:val="0"/>
                <w:sz w:val="15"/>
                <w:szCs w:val="15"/>
                <w:u w:val="none"/>
                <w:lang w:val="en-US" w:eastAsia="zh-CN" w:bidi="ar"/>
              </w:rPr>
              <w:t>16</w:t>
            </w:r>
          </w:p>
        </w:tc>
        <w:tc>
          <w:tcPr>
            <w:tcW w:w="855" w:type="dxa"/>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15"/>
                <w:szCs w:val="15"/>
                <w:u w:val="none"/>
                <w:lang w:val="en-US" w:eastAsia="zh-CN" w:bidi="ar"/>
              </w:rPr>
            </w:pPr>
            <w:r>
              <w:rPr>
                <w:rFonts w:hint="eastAsia" w:ascii="微软雅黑" w:hAnsi="微软雅黑" w:eastAsia="微软雅黑" w:cs="微软雅黑"/>
                <w:i w:val="0"/>
                <w:iCs w:val="0"/>
                <w:color w:val="000000"/>
                <w:kern w:val="0"/>
                <w:sz w:val="15"/>
                <w:szCs w:val="15"/>
                <w:u w:val="none"/>
                <w:lang w:val="en-US" w:eastAsia="zh-CN" w:bidi="ar"/>
              </w:rPr>
              <w:t>个</w:t>
            </w:r>
          </w:p>
        </w:tc>
        <w:tc>
          <w:tcPr>
            <w:tcW w:w="1095" w:type="dxa"/>
            <w:shd w:val="clear" w:color="auto" w:fill="auto"/>
            <w:noWrap/>
            <w:vAlign w:val="center"/>
          </w:tcPr>
          <w:p>
            <w:pPr>
              <w:jc w:val="center"/>
              <w:rPr>
                <w:rFonts w:hint="default" w:ascii="微软雅黑" w:hAnsi="微软雅黑" w:eastAsia="微软雅黑" w:cs="微软雅黑"/>
                <w:i w:val="0"/>
                <w:iCs w:val="0"/>
                <w:color w:val="000000"/>
                <w:sz w:val="15"/>
                <w:szCs w:val="15"/>
                <w:u w:val="no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52" w:hRule="atLeast"/>
          <w:jc w:val="center"/>
        </w:trPr>
        <w:tc>
          <w:tcPr>
            <w:tcW w:w="505" w:type="dxa"/>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15"/>
                <w:szCs w:val="15"/>
                <w:u w:val="none"/>
                <w:lang w:val="en-US" w:eastAsia="zh-CN" w:bidi="ar"/>
              </w:rPr>
            </w:pPr>
            <w:r>
              <w:rPr>
                <w:rFonts w:hint="eastAsia" w:ascii="微软雅黑" w:hAnsi="微软雅黑" w:eastAsia="微软雅黑" w:cs="微软雅黑"/>
                <w:i w:val="0"/>
                <w:iCs w:val="0"/>
                <w:color w:val="000000"/>
                <w:kern w:val="0"/>
                <w:sz w:val="15"/>
                <w:szCs w:val="15"/>
                <w:u w:val="none"/>
                <w:lang w:val="en-US" w:eastAsia="zh-CN" w:bidi="ar"/>
              </w:rPr>
              <w:t>8</w:t>
            </w:r>
          </w:p>
        </w:tc>
        <w:tc>
          <w:tcPr>
            <w:tcW w:w="9015" w:type="dxa"/>
            <w:gridSpan w:val="6"/>
            <w:shd w:val="clear" w:color="auto" w:fill="auto"/>
            <w:noWrap/>
            <w:vAlign w:val="center"/>
          </w:tcPr>
          <w:p>
            <w:pPr>
              <w:rPr>
                <w:rFonts w:hint="eastAsia" w:ascii="宋体" w:hAnsi="宋体"/>
                <w:b/>
                <w:sz w:val="18"/>
                <w:szCs w:val="18"/>
              </w:rPr>
            </w:pPr>
            <w:r>
              <w:rPr>
                <w:rFonts w:hint="eastAsia" w:ascii="微软雅黑" w:hAnsi="微软雅黑" w:eastAsia="微软雅黑" w:cs="微软雅黑"/>
                <w:i w:val="0"/>
                <w:iCs w:val="0"/>
                <w:color w:val="000000"/>
                <w:kern w:val="0"/>
                <w:sz w:val="18"/>
                <w:szCs w:val="18"/>
                <w:u w:val="none"/>
                <w:lang w:val="en-US" w:eastAsia="zh-CN" w:bidi="ar"/>
              </w:rPr>
              <w:t>★</w:t>
            </w:r>
            <w:r>
              <w:rPr>
                <w:rFonts w:hint="eastAsia" w:ascii="微软雅黑" w:hAnsi="微软雅黑" w:eastAsia="微软雅黑" w:cs="微软雅黑"/>
                <w:i w:val="0"/>
                <w:iCs w:val="0"/>
                <w:color w:val="000000"/>
                <w:sz w:val="18"/>
                <w:szCs w:val="18"/>
                <w:u w:val="none"/>
                <w:lang w:val="en-US" w:eastAsia="zh-CN"/>
              </w:rPr>
              <w:t>所有货物须符合</w:t>
            </w:r>
            <w:r>
              <w:rPr>
                <w:rFonts w:hint="eastAsia" w:ascii="微软雅黑" w:hAnsi="微软雅黑" w:eastAsia="微软雅黑" w:cs="微软雅黑"/>
                <w:i w:val="0"/>
                <w:iCs w:val="0"/>
                <w:color w:val="000000"/>
                <w:kern w:val="0"/>
                <w:sz w:val="18"/>
                <w:szCs w:val="18"/>
                <w:u w:val="none"/>
                <w:lang w:val="en-US" w:eastAsia="zh-CN" w:bidi="ar"/>
              </w:rPr>
              <w:t>GB/T3325-2017标准要求、甲醛限量符合 GB18584-2011 检测标准及防火阻燃国家标准并提供检测报告</w:t>
            </w:r>
          </w:p>
          <w:p>
            <w:pPr>
              <w:jc w:val="center"/>
              <w:rPr>
                <w:rFonts w:hint="default" w:ascii="微软雅黑" w:hAnsi="微软雅黑" w:eastAsia="微软雅黑" w:cs="微软雅黑"/>
                <w:i w:val="0"/>
                <w:iCs w:val="0"/>
                <w:color w:val="000000"/>
                <w:sz w:val="15"/>
                <w:szCs w:val="15"/>
                <w:u w:val="none"/>
                <w:lang w:val="en-US"/>
              </w:rPr>
            </w:pPr>
          </w:p>
        </w:tc>
      </w:tr>
    </w:tbl>
    <w:p/>
    <w:p>
      <w:pPr>
        <w:numPr>
          <w:ilvl w:val="0"/>
          <w:numId w:val="0"/>
        </w:numPr>
        <w:autoSpaceDE w:val="0"/>
        <w:autoSpaceDN w:val="0"/>
        <w:adjustRightInd w:val="0"/>
        <w:snapToGrid w:val="0"/>
        <w:spacing w:line="400" w:lineRule="exact"/>
        <w:ind w:left="210" w:leftChars="0" w:right="-178" w:rightChars="-85"/>
        <w:textAlignment w:val="bottom"/>
        <w:rPr>
          <w:rFonts w:ascii="宋体" w:hAnsi="宋体"/>
          <w:b/>
          <w:sz w:val="24"/>
        </w:rPr>
      </w:pPr>
      <w:r>
        <w:rPr>
          <w:rFonts w:hint="eastAsia" w:ascii="宋体" w:hAnsi="宋体"/>
          <w:b/>
          <w:sz w:val="24"/>
          <w:lang w:val="en-US" w:eastAsia="zh-CN"/>
        </w:rPr>
        <w:t>2.</w:t>
      </w:r>
      <w:r>
        <w:rPr>
          <w:rFonts w:hint="eastAsia" w:ascii="宋体" w:hAnsi="宋体"/>
          <w:b/>
          <w:sz w:val="24"/>
        </w:rPr>
        <w:t xml:space="preserve"> 质保要求：</w:t>
      </w:r>
    </w:p>
    <w:p>
      <w:pPr>
        <w:autoSpaceDE w:val="0"/>
        <w:autoSpaceDN w:val="0"/>
        <w:adjustRightInd w:val="0"/>
        <w:snapToGrid w:val="0"/>
        <w:spacing w:line="400" w:lineRule="exact"/>
        <w:ind w:left="-181" w:leftChars="-86" w:right="-178" w:rightChars="-85" w:firstLine="482" w:firstLineChars="200"/>
        <w:textAlignment w:val="bottom"/>
        <w:rPr>
          <w:rFonts w:ascii="宋体" w:hAnsi="宋体"/>
          <w:b/>
          <w:bCs/>
          <w:sz w:val="24"/>
        </w:rPr>
      </w:pPr>
      <w:r>
        <w:rPr>
          <w:rFonts w:hint="eastAsia" w:ascii="宋体" w:hAnsi="宋体"/>
          <w:b/>
          <w:bCs/>
          <w:sz w:val="24"/>
        </w:rPr>
        <w:t>供应商须按清单中的要求为本项目货物提供至少</w:t>
      </w:r>
      <w:r>
        <w:rPr>
          <w:rFonts w:hint="eastAsia" w:ascii="宋体" w:hAnsi="宋体"/>
          <w:b/>
          <w:bCs/>
          <w:sz w:val="24"/>
          <w:lang w:val="en-US" w:eastAsia="zh-CN"/>
        </w:rPr>
        <w:t>三</w:t>
      </w:r>
      <w:r>
        <w:rPr>
          <w:rFonts w:hint="eastAsia" w:ascii="宋体" w:hAnsi="宋体"/>
          <w:b/>
          <w:bCs/>
          <w:sz w:val="24"/>
        </w:rPr>
        <w:t>年的免费原厂质量保证服务，终身免费技术咨询</w:t>
      </w:r>
      <w:r>
        <w:rPr>
          <w:rFonts w:hint="eastAsia" w:ascii="宋体" w:hAnsi="宋体"/>
          <w:b/>
          <w:bCs/>
          <w:sz w:val="24"/>
          <w:lang w:val="en-US" w:eastAsia="zh-CN"/>
        </w:rPr>
        <w:t>并提供售后质保承诺书，</w:t>
      </w:r>
      <w:r>
        <w:rPr>
          <w:rFonts w:hint="eastAsia" w:ascii="宋体" w:hAnsi="宋体"/>
          <w:b/>
          <w:bCs/>
          <w:sz w:val="24"/>
        </w:rPr>
        <w:t>质量保证期时间自产品最终验收合格双方签字并交付使用之日算起。</w:t>
      </w:r>
    </w:p>
    <w:p>
      <w:pPr>
        <w:numPr>
          <w:ilvl w:val="0"/>
          <w:numId w:val="0"/>
        </w:numPr>
        <w:spacing w:line="360" w:lineRule="auto"/>
        <w:ind w:left="210" w:leftChars="0"/>
        <w:contextualSpacing/>
        <w:rPr>
          <w:rFonts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lang w:val="en-US" w:eastAsia="zh-CN"/>
        </w:rPr>
        <w:t>3.</w:t>
      </w:r>
      <w:r>
        <w:rPr>
          <w:rFonts w:hint="eastAsia" w:ascii="宋体" w:hAnsi="宋体"/>
          <w:b/>
          <w:color w:val="000000"/>
          <w:sz w:val="24"/>
          <w:shd w:val="pct10" w:color="auto" w:fill="FFFFFF"/>
        </w:rPr>
        <w:t>其他要求：</w:t>
      </w:r>
    </w:p>
    <w:p>
      <w:pPr>
        <w:spacing w:line="400" w:lineRule="exact"/>
        <w:ind w:firstLine="480" w:firstLineChars="200"/>
        <w:rPr>
          <w:color w:val="000000"/>
          <w:sz w:val="24"/>
        </w:rPr>
      </w:pPr>
      <w:r>
        <w:rPr>
          <w:rFonts w:hint="eastAsia"/>
          <w:color w:val="000000"/>
          <w:sz w:val="24"/>
        </w:rPr>
        <w:t>1、供货时须和招标方进行对接，已保证质量。供应商投标价须包含运输、安装及耗材等一切费用。</w:t>
      </w:r>
    </w:p>
    <w:p>
      <w:pPr>
        <w:spacing w:line="400" w:lineRule="exact"/>
        <w:ind w:firstLine="480" w:firstLineChars="200"/>
        <w:rPr>
          <w:color w:val="000000"/>
          <w:sz w:val="24"/>
        </w:rPr>
      </w:pPr>
      <w:r>
        <w:rPr>
          <w:rFonts w:hint="eastAsia"/>
          <w:color w:val="000000"/>
          <w:sz w:val="24"/>
        </w:rPr>
        <w:t>2、需提供服务承诺书（施工期间垃圾清理情况、现场设备维护及维修、后期施工项目维护及维修等）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rPr>
        <w:t>3、如须提供样品，中标单位样品将进行留存并在实际交货时需对照，如出现样品跟实际供货不一样将取消中标资格，</w:t>
      </w:r>
    </w:p>
    <w:p>
      <w:pPr>
        <w:spacing w:line="400" w:lineRule="exact"/>
        <w:ind w:firstLine="480" w:firstLineChars="200"/>
        <w:rPr>
          <w:color w:val="000000"/>
          <w:sz w:val="24"/>
        </w:rPr>
      </w:pPr>
      <w:r>
        <w:rPr>
          <w:rFonts w:hint="eastAsia"/>
          <w:color w:val="000000"/>
          <w:sz w:val="24"/>
        </w:rPr>
        <w:t>4、</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hint="eastAsia"/>
          <w:color w:val="000000"/>
          <w:sz w:val="24"/>
          <w:szCs w:val="24"/>
          <w:lang w:val="en-US" w:eastAsia="zh-CN"/>
        </w:rPr>
      </w:pPr>
      <w:r>
        <w:rPr>
          <w:rFonts w:hint="eastAsia"/>
          <w:color w:val="000000"/>
          <w:sz w:val="24"/>
          <w:szCs w:val="24"/>
        </w:rPr>
        <w:t>5、投标供应商须提供完备详实的充装方案、抽检方案、售后方案</w:t>
      </w:r>
      <w:r>
        <w:rPr>
          <w:rFonts w:hint="eastAsia"/>
          <w:color w:val="000000"/>
          <w:sz w:val="24"/>
          <w:szCs w:val="24"/>
          <w:lang w:val="en-US" w:eastAsia="zh-CN"/>
        </w:rPr>
        <w:t>.</w:t>
      </w:r>
    </w:p>
    <w:p>
      <w:pPr>
        <w:spacing w:line="360" w:lineRule="auto"/>
        <w:rPr>
          <w:rFonts w:hint="default"/>
          <w:color w:val="000000"/>
          <w:sz w:val="24"/>
          <w:szCs w:val="24"/>
          <w:lang w:val="en-US" w:eastAsia="zh-CN"/>
        </w:rPr>
      </w:pPr>
      <w:r>
        <w:rPr>
          <w:rFonts w:hint="eastAsia"/>
          <w:color w:val="000000"/>
          <w:sz w:val="24"/>
          <w:szCs w:val="24"/>
          <w:lang w:val="en-US" w:eastAsia="zh-CN"/>
        </w:rPr>
        <w:t>6、本项目不再统一组织现场踏勘，如有需要现场踏勘，请自行前往兰州职业技术学院桃林校区音乐楼（地址：兰州市安宁区桃林路112号）</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2" w:firstLineChars="200"/>
        <w:rPr>
          <w:rFonts w:ascii="宋体" w:hAnsi="宋体"/>
          <w:b/>
          <w:bCs/>
          <w:sz w:val="24"/>
        </w:rPr>
      </w:pPr>
      <w:r>
        <w:rPr>
          <w:rFonts w:hint="eastAsia" w:ascii="宋体" w:hAnsi="宋体"/>
          <w:b/>
          <w:bCs/>
          <w:sz w:val="24"/>
        </w:rPr>
        <w:t>1.供应商应在接到采购人通知后</w:t>
      </w:r>
      <w:r>
        <w:rPr>
          <w:rFonts w:hint="eastAsia" w:ascii="宋体" w:hAnsi="宋体"/>
          <w:b/>
          <w:bCs/>
          <w:sz w:val="24"/>
          <w:u w:val="single"/>
          <w:lang w:val="en-US" w:eastAsia="zh-CN"/>
        </w:rPr>
        <w:t>于2021年8月18日前</w:t>
      </w:r>
      <w:r>
        <w:rPr>
          <w:rFonts w:hint="eastAsia" w:ascii="宋体" w:hAnsi="宋体"/>
          <w:b/>
          <w:bCs/>
          <w:sz w:val="24"/>
        </w:rPr>
        <w:t>完成项目</w:t>
      </w:r>
      <w:r>
        <w:rPr>
          <w:rFonts w:hint="eastAsia" w:ascii="宋体" w:hAnsi="宋体"/>
          <w:b/>
          <w:bCs/>
          <w:sz w:val="24"/>
          <w:lang w:val="en-US" w:eastAsia="zh-CN"/>
        </w:rPr>
        <w:t>所有货物的安装、调试等</w:t>
      </w:r>
      <w:r>
        <w:rPr>
          <w:rFonts w:hint="eastAsia" w:ascii="宋体" w:hAnsi="宋体"/>
          <w:b/>
          <w:bCs/>
          <w:sz w:val="24"/>
        </w:rPr>
        <w:t>并交付采购人可以正常使用。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2.供应商按采购人要求完成项目的服务及技术支持。并经采购人验收合格后付合同金额。成交金额即为合同金额。</w:t>
      </w:r>
    </w:p>
    <w:p>
      <w:pPr>
        <w:spacing w:line="360" w:lineRule="auto"/>
        <w:rPr>
          <w:rFonts w:ascii="宋体" w:hAnsi="宋体"/>
          <w:b/>
          <w:bCs/>
          <w:sz w:val="24"/>
        </w:rPr>
      </w:pPr>
      <w:r>
        <w:rPr>
          <w:rFonts w:hint="eastAsia" w:ascii="宋体" w:hAnsi="宋体"/>
          <w:b/>
          <w:bCs/>
          <w:sz w:val="24"/>
        </w:rPr>
        <w:t>三、对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4" w:name="_Toc240772095"/>
    </w:p>
    <w:p>
      <w:pPr>
        <w:adjustRightInd w:val="0"/>
        <w:spacing w:line="360" w:lineRule="auto"/>
        <w:ind w:firstLine="480" w:firstLineChars="200"/>
        <w:rPr>
          <w:rFonts w:ascii="宋体" w:hAnsi="宋体" w:cs="宋体"/>
          <w:sz w:val="24"/>
        </w:rPr>
      </w:pPr>
      <w:r>
        <w:rPr>
          <w:rFonts w:hint="eastAsia" w:ascii="宋体" w:hAnsi="宋体" w:cs="宋体"/>
          <w:sz w:val="24"/>
        </w:rPr>
        <w:t>4.对询价过程和拟成交结果的质疑</w:t>
      </w:r>
      <w:bookmarkEnd w:id="4"/>
      <w:r>
        <w:rPr>
          <w:rFonts w:hint="eastAsia" w:ascii="宋体" w:hAnsi="宋体" w:cs="宋体"/>
          <w:sz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5" w:name="_Toc240772096"/>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有下列情形之一的，属于无效质疑，需方不予受理，由此产生的影响由投标人自行承担：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(1)不是参与该采购项目活动供应商的；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(2)被质疑人为采购人之外的；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(3)所有质疑事项超过质疑有效期的；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(4)以具有法律效力的文书送达之外方式提出的；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(5)未按上述规定递交澄清或质疑函的；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(6)其他不符合受理条件的情形。</w:t>
      </w:r>
    </w:p>
    <w:p>
      <w:pPr>
        <w:spacing w:line="360" w:lineRule="auto"/>
        <w:rPr>
          <w:rFonts w:ascii="宋体" w:hAnsi="宋体"/>
          <w:b/>
          <w:bCs/>
          <w:sz w:val="24"/>
        </w:rPr>
      </w:pPr>
      <w:r>
        <w:rPr>
          <w:rFonts w:hint="eastAsia" w:ascii="宋体" w:hAnsi="宋体"/>
          <w:b/>
          <w:bCs/>
          <w:sz w:val="24"/>
        </w:rPr>
        <w:t>四、响应文件的编制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ind w:firstLine="460" w:firstLineChars="192"/>
        <w:rPr>
          <w:rFonts w:ascii="宋体" w:hAnsi="宋体"/>
          <w:sz w:val="24"/>
        </w:rPr>
      </w:pPr>
      <w:r>
        <w:rPr>
          <w:rFonts w:hint="eastAsia" w:ascii="宋体" w:hAnsi="宋体"/>
          <w:sz w:val="24"/>
        </w:rPr>
        <w:t>8.询价响应文件电子版U盘一份，须单独封装。</w:t>
      </w:r>
    </w:p>
    <w:p>
      <w:pPr>
        <w:tabs>
          <w:tab w:val="left" w:pos="1080"/>
        </w:tabs>
        <w:spacing w:line="360" w:lineRule="auto"/>
        <w:rPr>
          <w:rFonts w:ascii="宋体" w:hAnsi="宋体"/>
          <w:b/>
          <w:sz w:val="24"/>
        </w:rPr>
      </w:pPr>
      <w:r>
        <w:rPr>
          <w:rFonts w:hint="eastAsia" w:ascii="宋体" w:hAnsi="宋体"/>
          <w:b/>
          <w:sz w:val="24"/>
        </w:rPr>
        <w:t>五、响应文件的密封及标记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六、响应文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七、公开“报价一览表”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3.依次宣布各供应商的报价等。</w:t>
      </w:r>
    </w:p>
    <w:p>
      <w:pPr>
        <w:spacing w:line="360" w:lineRule="auto"/>
        <w:rPr>
          <w:rFonts w:ascii="宋体" w:hAnsi="宋体"/>
          <w:b/>
          <w:sz w:val="24"/>
        </w:rPr>
      </w:pPr>
      <w:r>
        <w:rPr>
          <w:rFonts w:hint="eastAsia" w:ascii="宋体" w:hAnsi="宋体"/>
          <w:b/>
          <w:sz w:val="24"/>
        </w:rPr>
        <w:t>八、评审程序与标准：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（1）评审时，响应文件出现下列情形之一的，将作为无效响应文件，不得进入评审：</w:t>
      </w:r>
    </w:p>
    <w:p>
      <w:pPr>
        <w:spacing w:line="360" w:lineRule="auto"/>
        <w:ind w:firstLine="480"/>
        <w:rPr>
          <w:rFonts w:hint="eastAsia" w:ascii="宋体" w:hAnsi="宋体"/>
          <w:sz w:val="24"/>
        </w:rPr>
      </w:pPr>
      <w:r>
        <w:rPr>
          <w:rFonts w:hint="eastAsia" w:ascii="宋体" w:hAnsi="宋体"/>
          <w:sz w:val="24"/>
        </w:rPr>
        <w:t>①经查证核实有相互串通哄抬价格行为的相关响应；</w:t>
      </w:r>
    </w:p>
    <w:p>
      <w:pPr>
        <w:spacing w:line="360" w:lineRule="auto"/>
        <w:ind w:firstLine="480"/>
        <w:rPr>
          <w:rFonts w:hint="eastAsia" w:ascii="宋体" w:hAnsi="宋体"/>
          <w:sz w:val="24"/>
        </w:rPr>
      </w:pPr>
      <w:r>
        <w:rPr>
          <w:rFonts w:hint="eastAsia" w:ascii="宋体" w:hAnsi="宋体"/>
          <w:sz w:val="24"/>
        </w:rPr>
        <w:t>②响应文件未经法定代表人签字或未盖单位公章；</w:t>
      </w:r>
    </w:p>
    <w:p>
      <w:pPr>
        <w:spacing w:line="360" w:lineRule="auto"/>
        <w:ind w:firstLine="480"/>
        <w:rPr>
          <w:rFonts w:hint="eastAsia" w:ascii="宋体" w:hAnsi="宋体"/>
          <w:sz w:val="24"/>
        </w:rPr>
      </w:pPr>
      <w:r>
        <w:rPr>
          <w:rFonts w:hint="eastAsia" w:ascii="宋体" w:hAnsi="宋体"/>
          <w:sz w:val="24"/>
        </w:rPr>
        <w:t>③响应文件有备选方案或多项方案者；</w:t>
      </w:r>
    </w:p>
    <w:p>
      <w:pPr>
        <w:spacing w:line="360" w:lineRule="auto"/>
        <w:ind w:firstLine="480"/>
        <w:rPr>
          <w:rFonts w:hint="eastAsia" w:ascii="宋体" w:hAnsi="宋体"/>
          <w:sz w:val="24"/>
        </w:rPr>
      </w:pPr>
      <w:r>
        <w:rPr>
          <w:rFonts w:hint="eastAsia" w:ascii="宋体" w:hAnsi="宋体"/>
          <w:sz w:val="24"/>
        </w:rPr>
        <w:t>④报价总价超过本项目预算金额的；</w:t>
      </w:r>
    </w:p>
    <w:p>
      <w:pPr>
        <w:spacing w:line="360" w:lineRule="auto"/>
        <w:ind w:firstLine="480"/>
        <w:rPr>
          <w:rFonts w:hint="eastAsia" w:ascii="宋体" w:hAnsi="宋体"/>
          <w:sz w:val="24"/>
        </w:rPr>
      </w:pPr>
      <w:r>
        <w:rPr>
          <w:rFonts w:hint="eastAsia" w:ascii="宋体" w:hAnsi="宋体"/>
          <w:sz w:val="24"/>
        </w:rPr>
        <w:t>⑤技术响应和商务响应不能满足询价文件中技术要求和商务要求的；</w:t>
      </w:r>
    </w:p>
    <w:p>
      <w:pPr>
        <w:spacing w:line="360" w:lineRule="auto"/>
        <w:ind w:firstLine="480"/>
        <w:rPr>
          <w:rFonts w:hint="eastAsia" w:ascii="宋体" w:hAnsi="宋体"/>
          <w:sz w:val="24"/>
        </w:rPr>
      </w:pPr>
      <w:r>
        <w:rPr>
          <w:rFonts w:hint="eastAsia" w:ascii="宋体" w:hAnsi="宋体"/>
          <w:sz w:val="24"/>
        </w:rPr>
        <w:t>⑥未满足本文件中第二章中的四、五、六条中的相关要求的。</w:t>
      </w:r>
    </w:p>
    <w:p>
      <w:pPr>
        <w:spacing w:line="360" w:lineRule="auto"/>
        <w:ind w:right="26" w:firstLine="480"/>
        <w:rPr>
          <w:rFonts w:ascii="宋体" w:hAnsi="宋体"/>
          <w:sz w:val="24"/>
        </w:rPr>
      </w:pPr>
      <w:r>
        <w:rPr>
          <w:rFonts w:hint="eastAsia" w:ascii="宋体" w:hAnsi="宋体"/>
          <w:sz w:val="24"/>
        </w:rPr>
        <w:t>（2）有下列情形之一的，询价项目作废：</w:t>
      </w:r>
    </w:p>
    <w:p>
      <w:pPr>
        <w:spacing w:line="360" w:lineRule="auto"/>
        <w:ind w:firstLine="480"/>
        <w:rPr>
          <w:rFonts w:hint="eastAsia" w:ascii="宋体" w:hAnsi="宋体"/>
          <w:sz w:val="24"/>
        </w:rPr>
      </w:pPr>
      <w:r>
        <w:rPr>
          <w:rFonts w:hint="eastAsia" w:ascii="宋体" w:hAnsi="宋体"/>
          <w:sz w:val="24"/>
        </w:rPr>
        <w:t>①实质响应的合格供应商不足三家，询价失败的；</w:t>
      </w:r>
    </w:p>
    <w:p>
      <w:pPr>
        <w:spacing w:line="360" w:lineRule="auto"/>
        <w:ind w:firstLine="480"/>
        <w:rPr>
          <w:rFonts w:hint="eastAsia" w:ascii="宋体" w:hAnsi="宋体"/>
          <w:sz w:val="24"/>
        </w:rPr>
      </w:pPr>
      <w:r>
        <w:rPr>
          <w:rFonts w:hint="eastAsia" w:ascii="宋体" w:hAnsi="宋体"/>
          <w:sz w:val="24"/>
        </w:rPr>
        <w:t>②询价小组否决所有响应的；</w:t>
      </w:r>
    </w:p>
    <w:p>
      <w:pPr>
        <w:spacing w:line="360" w:lineRule="auto"/>
        <w:ind w:firstLine="480"/>
        <w:rPr>
          <w:rFonts w:hint="eastAsia" w:ascii="宋体" w:hAnsi="宋体"/>
          <w:sz w:val="24"/>
        </w:rPr>
      </w:pPr>
      <w:r>
        <w:rPr>
          <w:rFonts w:hint="eastAsia" w:ascii="宋体" w:hAnsi="宋体"/>
          <w:sz w:val="24"/>
        </w:rPr>
        <w:t>③出现影响采购公正的违法、违规行为的；</w:t>
      </w:r>
    </w:p>
    <w:p>
      <w:pPr>
        <w:spacing w:line="360" w:lineRule="auto"/>
        <w:ind w:firstLine="480"/>
        <w:rPr>
          <w:rFonts w:hint="eastAsia" w:ascii="宋体" w:hAnsi="宋体"/>
          <w:sz w:val="24"/>
        </w:rPr>
      </w:pPr>
      <w:r>
        <w:rPr>
          <w:rFonts w:hint="eastAsia" w:ascii="宋体" w:hAnsi="宋体"/>
          <w:sz w:val="24"/>
        </w:rPr>
        <w:t>④因重大变故，采购任务取消或重大变更的；</w:t>
      </w:r>
    </w:p>
    <w:p>
      <w:pPr>
        <w:spacing w:line="360" w:lineRule="auto"/>
        <w:ind w:firstLine="480"/>
        <w:rPr>
          <w:rFonts w:hint="eastAsia" w:ascii="宋体" w:hAnsi="宋体"/>
          <w:sz w:val="24"/>
        </w:rPr>
      </w:pPr>
      <w:r>
        <w:rPr>
          <w:rFonts w:hint="eastAsia" w:ascii="宋体" w:hAnsi="宋体"/>
          <w:sz w:val="24"/>
        </w:rPr>
        <w:t>⑤询价文件存在不合理条款，询价程序不符合规定等原因，被主管部门或者监督部门撤销的。</w:t>
      </w:r>
    </w:p>
    <w:p>
      <w:pPr>
        <w:spacing w:line="360" w:lineRule="auto"/>
        <w:ind w:firstLine="480"/>
        <w:rPr>
          <w:rFonts w:ascii="宋体" w:hAnsi="宋体"/>
          <w:b/>
          <w:sz w:val="24"/>
        </w:rPr>
      </w:pPr>
      <w:r>
        <w:rPr>
          <w:rFonts w:hint="eastAsia" w:ascii="宋体" w:hAnsi="宋体"/>
          <w:b/>
          <w:sz w:val="24"/>
        </w:rPr>
        <w:t>★2.询价小组对通过资格性审查和符合性审查的供应商进行详细评审。根据符合采购项目需求、质量、服务均满足询价文件要求且报价最低（优）的原则确定成交供应商候选人排序。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327371177"/>
      <w:bookmarkStart w:id="10" w:name="_Toc294609003"/>
      <w:bookmarkStart w:id="11" w:name="_Toc265109445"/>
      <w:bookmarkStart w:id="12" w:name="_Toc238276242"/>
      <w:bookmarkStart w:id="13" w:name="_Toc236473298"/>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r>
        <w:rPr>
          <w:rFonts w:hint="eastAsia" w:ascii="宋体" w:hAnsi="宋体"/>
          <w:sz w:val="24"/>
        </w:rPr>
        <w:t>电子版U盘一份</w:t>
      </w:r>
      <w:r>
        <w:rPr>
          <w:rFonts w:hint="eastAsia" w:ascii="宋体" w:hAnsi="宋体"/>
          <w:kern w:val="0"/>
          <w:sz w:val="24"/>
        </w:rPr>
        <w:t>。</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4.</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20"/>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ind w:left="420" w:firstLine="0"/>
        <w:rPr>
          <w:rFonts w:ascii="宋体" w:hAnsi="宋体"/>
          <w:sz w:val="24"/>
          <w:szCs w:val="24"/>
        </w:rPr>
      </w:pPr>
      <w:r>
        <w:rPr>
          <w:rFonts w:hint="eastAsia" w:ascii="宋体" w:hAnsi="宋体"/>
          <w:sz w:val="24"/>
          <w:szCs w:val="24"/>
        </w:rPr>
        <w:t>1.所有价格均用人民币表示，单位为元。</w:t>
      </w:r>
    </w:p>
    <w:p>
      <w:pPr>
        <w:pStyle w:val="5"/>
        <w:ind w:left="420" w:firstLine="0"/>
        <w:rPr>
          <w:rFonts w:ascii="宋体" w:hAnsi="宋体"/>
          <w:sz w:val="24"/>
          <w:szCs w:val="24"/>
        </w:rPr>
      </w:pPr>
      <w:r>
        <w:rPr>
          <w:rFonts w:hint="eastAsia" w:ascii="宋体" w:hAnsi="宋体"/>
          <w:sz w:val="24"/>
          <w:szCs w:val="24"/>
        </w:rPr>
        <w:t>2.分项报价总计价格必须与《开标一览表》报价一致。</w:t>
      </w:r>
    </w:p>
    <w:p>
      <w:pPr>
        <w:pStyle w:val="5"/>
        <w:ind w:left="420" w:firstLine="0"/>
        <w:rPr>
          <w:rFonts w:ascii="宋体" w:hAnsi="宋体"/>
          <w:sz w:val="24"/>
          <w:szCs w:val="24"/>
        </w:rPr>
      </w:pPr>
      <w:r>
        <w:rPr>
          <w:rFonts w:hint="eastAsia" w:ascii="宋体" w:hAnsi="宋体"/>
          <w:sz w:val="24"/>
          <w:szCs w:val="24"/>
        </w:rPr>
        <w:t>3.供应商必须按此表格式中的对应栏目内容填写，若需增加栏目，请在栏目“备注”中填写，并做详细说明。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3"/>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附件五</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4"/>
        </w:rPr>
      </w:pPr>
      <w:r>
        <w:rPr>
          <w:rFonts w:hint="eastAsia" w:ascii="宋体" w:hAnsi="宋体"/>
          <w:b w:val="0"/>
          <w:bCs w:val="0"/>
        </w:rPr>
        <w:t>附件七：（根据文件要求提供，可按实际需求自行编制）</w:t>
      </w:r>
    </w:p>
    <w:p>
      <w:pPr>
        <w:numPr>
          <w:ilvl w:val="0"/>
          <w:numId w:val="2"/>
        </w:numPr>
        <w:spacing w:line="440" w:lineRule="exact"/>
        <w:rPr>
          <w:rFonts w:hint="eastAsia" w:ascii="宋体" w:hAnsi="宋体"/>
          <w:color w:val="000000"/>
          <w:sz w:val="28"/>
          <w:szCs w:val="28"/>
        </w:rPr>
      </w:pPr>
      <w:r>
        <w:rPr>
          <w:rFonts w:hint="eastAsia" w:ascii="宋体" w:hAnsi="宋体"/>
          <w:color w:val="000000"/>
          <w:sz w:val="28"/>
          <w:szCs w:val="28"/>
        </w:rPr>
        <w:t>资格证明文件</w:t>
      </w:r>
    </w:p>
    <w:p>
      <w:pPr>
        <w:numPr>
          <w:ilvl w:val="0"/>
          <w:numId w:val="2"/>
        </w:numPr>
        <w:spacing w:line="440" w:lineRule="exact"/>
        <w:rPr>
          <w:rFonts w:hint="eastAsia" w:ascii="宋体" w:hAnsi="宋体"/>
          <w:color w:val="000000"/>
          <w:sz w:val="28"/>
          <w:szCs w:val="28"/>
        </w:rPr>
      </w:pPr>
      <w:r>
        <w:rPr>
          <w:rFonts w:hint="eastAsia" w:ascii="宋体" w:hAnsi="宋体"/>
          <w:color w:val="000000"/>
          <w:sz w:val="28"/>
          <w:szCs w:val="28"/>
        </w:rPr>
        <w:t>类似项目业绩证明（如有要求）</w:t>
      </w:r>
    </w:p>
    <w:p>
      <w:pPr>
        <w:numPr>
          <w:ilvl w:val="0"/>
          <w:numId w:val="2"/>
        </w:numPr>
        <w:spacing w:line="440" w:lineRule="exact"/>
        <w:rPr>
          <w:rFonts w:hint="eastAsia" w:ascii="宋体" w:hAnsi="宋体"/>
          <w:color w:val="000000"/>
          <w:sz w:val="28"/>
          <w:szCs w:val="28"/>
        </w:rPr>
      </w:pPr>
      <w:r>
        <w:rPr>
          <w:rFonts w:hint="eastAsia" w:ascii="宋体" w:hAnsi="宋体"/>
          <w:color w:val="000000"/>
          <w:sz w:val="28"/>
          <w:szCs w:val="28"/>
        </w:rPr>
        <w:t>技术参数证明文件（如有要求）</w:t>
      </w:r>
    </w:p>
    <w:p>
      <w:pPr>
        <w:numPr>
          <w:ilvl w:val="0"/>
          <w:numId w:val="2"/>
        </w:numPr>
        <w:spacing w:line="440" w:lineRule="exact"/>
        <w:rPr>
          <w:rFonts w:hint="eastAsia" w:ascii="宋体" w:hAnsi="宋体"/>
          <w:color w:val="000000"/>
          <w:sz w:val="28"/>
          <w:szCs w:val="28"/>
        </w:rPr>
      </w:pPr>
      <w:r>
        <w:rPr>
          <w:rFonts w:hint="eastAsia" w:ascii="宋体" w:hAnsi="宋体"/>
          <w:color w:val="000000"/>
          <w:sz w:val="28"/>
          <w:szCs w:val="28"/>
        </w:rPr>
        <w:t>供应商认为应提供的其他材料（如有要求）</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DD85E6"/>
    <w:multiLevelType w:val="singleLevel"/>
    <w:tmpl w:val="A4DD85E6"/>
    <w:lvl w:ilvl="0" w:tentative="0">
      <w:start w:val="1"/>
      <w:numFmt w:val="decimal"/>
      <w:suff w:val="nothing"/>
      <w:lvlText w:val="%1、"/>
      <w:lvlJc w:val="left"/>
    </w:lvl>
  </w:abstractNum>
  <w:abstractNum w:abstractNumId="1">
    <w:nsid w:val="55CEE55D"/>
    <w:multiLevelType w:val="singleLevel"/>
    <w:tmpl w:val="55CEE55D"/>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29C4"/>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3EE2"/>
    <w:rsid w:val="00196F3A"/>
    <w:rsid w:val="001A0987"/>
    <w:rsid w:val="001A3E5A"/>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908A9"/>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8E4"/>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7558B"/>
    <w:rsid w:val="005826EF"/>
    <w:rsid w:val="00592C51"/>
    <w:rsid w:val="005A1577"/>
    <w:rsid w:val="005A7F5A"/>
    <w:rsid w:val="005B1F53"/>
    <w:rsid w:val="005B5FE1"/>
    <w:rsid w:val="005B7CE1"/>
    <w:rsid w:val="005C025F"/>
    <w:rsid w:val="005D1E56"/>
    <w:rsid w:val="005D2357"/>
    <w:rsid w:val="005F2422"/>
    <w:rsid w:val="005F4C4A"/>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28A1"/>
    <w:rsid w:val="00896907"/>
    <w:rsid w:val="00896AEE"/>
    <w:rsid w:val="008973E5"/>
    <w:rsid w:val="008A0B2D"/>
    <w:rsid w:val="008A1FD4"/>
    <w:rsid w:val="008A3009"/>
    <w:rsid w:val="008A3591"/>
    <w:rsid w:val="008A673D"/>
    <w:rsid w:val="008B1A03"/>
    <w:rsid w:val="008B1D93"/>
    <w:rsid w:val="008C200E"/>
    <w:rsid w:val="008C54CC"/>
    <w:rsid w:val="008D10DE"/>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18CB"/>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3D3"/>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3609A"/>
    <w:rsid w:val="00B44D1C"/>
    <w:rsid w:val="00B459C4"/>
    <w:rsid w:val="00B5024D"/>
    <w:rsid w:val="00B51975"/>
    <w:rsid w:val="00B53331"/>
    <w:rsid w:val="00B54817"/>
    <w:rsid w:val="00B562D9"/>
    <w:rsid w:val="00B64E9B"/>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0A75"/>
    <w:rsid w:val="00D41D92"/>
    <w:rsid w:val="00D4371C"/>
    <w:rsid w:val="00D44D0D"/>
    <w:rsid w:val="00D50A72"/>
    <w:rsid w:val="00D57D3E"/>
    <w:rsid w:val="00D6014B"/>
    <w:rsid w:val="00D60EAE"/>
    <w:rsid w:val="00D61F5C"/>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112D"/>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57A54CA"/>
    <w:rsid w:val="096531E2"/>
    <w:rsid w:val="098C501E"/>
    <w:rsid w:val="0A412F0D"/>
    <w:rsid w:val="0B1B470A"/>
    <w:rsid w:val="0C8D0B1C"/>
    <w:rsid w:val="0DB2633E"/>
    <w:rsid w:val="0E170F1D"/>
    <w:rsid w:val="1096558D"/>
    <w:rsid w:val="11B431FE"/>
    <w:rsid w:val="1400520D"/>
    <w:rsid w:val="167C7678"/>
    <w:rsid w:val="16CE0DE2"/>
    <w:rsid w:val="180C163C"/>
    <w:rsid w:val="1F44140D"/>
    <w:rsid w:val="22E13702"/>
    <w:rsid w:val="26865047"/>
    <w:rsid w:val="29175E93"/>
    <w:rsid w:val="29270DDD"/>
    <w:rsid w:val="29C651C2"/>
    <w:rsid w:val="2BD831ED"/>
    <w:rsid w:val="30ED3773"/>
    <w:rsid w:val="30F454E0"/>
    <w:rsid w:val="3A7D7082"/>
    <w:rsid w:val="3B0418F4"/>
    <w:rsid w:val="3DBE762D"/>
    <w:rsid w:val="3E842D9E"/>
    <w:rsid w:val="415D7B0A"/>
    <w:rsid w:val="42497455"/>
    <w:rsid w:val="469902C4"/>
    <w:rsid w:val="4BF27BEA"/>
    <w:rsid w:val="531410DD"/>
    <w:rsid w:val="5398783B"/>
    <w:rsid w:val="553E2EC3"/>
    <w:rsid w:val="56666A83"/>
    <w:rsid w:val="57E81BF9"/>
    <w:rsid w:val="59575F32"/>
    <w:rsid w:val="59A565CA"/>
    <w:rsid w:val="59F903C5"/>
    <w:rsid w:val="5B0A7487"/>
    <w:rsid w:val="5CA2370E"/>
    <w:rsid w:val="60E82B42"/>
    <w:rsid w:val="62472877"/>
    <w:rsid w:val="650B258F"/>
    <w:rsid w:val="65B03214"/>
    <w:rsid w:val="6959727F"/>
    <w:rsid w:val="6A1E27C4"/>
    <w:rsid w:val="6DF90163"/>
    <w:rsid w:val="6FA636AF"/>
    <w:rsid w:val="77132E88"/>
    <w:rsid w:val="77B708B5"/>
    <w:rsid w:val="79583F04"/>
    <w:rsid w:val="79C62E83"/>
    <w:rsid w:val="7B106F2E"/>
    <w:rsid w:val="7C4E6381"/>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1"/>
    <w:qFormat/>
    <w:uiPriority w:val="0"/>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9"/>
    <w:qFormat/>
    <w:uiPriority w:val="0"/>
    <w:pPr>
      <w:ind w:firstLine="420"/>
    </w:pPr>
    <w:rPr>
      <w:szCs w:val="20"/>
    </w:rPr>
  </w:style>
  <w:style w:type="paragraph" w:styleId="6">
    <w:name w:val="Document Map"/>
    <w:basedOn w:val="1"/>
    <w:link w:val="36"/>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8"/>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8">
    <w:name w:val="Title"/>
    <w:basedOn w:val="1"/>
    <w:next w:val="1"/>
    <w:link w:val="42"/>
    <w:qFormat/>
    <w:uiPriority w:val="0"/>
    <w:pPr>
      <w:spacing w:before="240" w:after="60"/>
      <w:jc w:val="center"/>
      <w:outlineLvl w:val="0"/>
    </w:pPr>
    <w:rPr>
      <w:rFonts w:asciiTheme="majorHAnsi" w:hAnsiTheme="majorHAnsi" w:eastAsiaTheme="majorEastAsia" w:cstheme="majorBidi"/>
      <w:b/>
      <w:bCs/>
      <w:sz w:val="32"/>
      <w:szCs w:val="32"/>
    </w:rPr>
  </w:style>
  <w:style w:type="paragraph" w:styleId="19">
    <w:name w:val="annotation subject"/>
    <w:basedOn w:val="7"/>
    <w:next w:val="7"/>
    <w:qFormat/>
    <w:uiPriority w:val="0"/>
    <w:rPr>
      <w:b/>
      <w:bCs/>
    </w:rPr>
  </w:style>
  <w:style w:type="table" w:styleId="21">
    <w:name w:val="Table Grid"/>
    <w:basedOn w:val="2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3">
    <w:name w:val="Strong"/>
    <w:basedOn w:val="22"/>
    <w:qFormat/>
    <w:uiPriority w:val="22"/>
    <w:rPr>
      <w:b/>
      <w:bCs/>
    </w:rPr>
  </w:style>
  <w:style w:type="character" w:styleId="24">
    <w:name w:val="page number"/>
    <w:basedOn w:val="22"/>
    <w:qFormat/>
    <w:uiPriority w:val="0"/>
  </w:style>
  <w:style w:type="character" w:styleId="25">
    <w:name w:val="Hyperlink"/>
    <w:qFormat/>
    <w:uiPriority w:val="0"/>
    <w:rPr>
      <w:color w:val="151515"/>
      <w:u w:val="none"/>
    </w:rPr>
  </w:style>
  <w:style w:type="character" w:styleId="26">
    <w:name w:val="annotation reference"/>
    <w:qFormat/>
    <w:uiPriority w:val="0"/>
    <w:rPr>
      <w:sz w:val="21"/>
      <w:szCs w:val="21"/>
    </w:rPr>
  </w:style>
  <w:style w:type="paragraph" w:customStyle="1" w:styleId="27">
    <w:name w:val="Char Char"/>
    <w:basedOn w:val="1"/>
    <w:qFormat/>
    <w:uiPriority w:val="0"/>
    <w:rPr>
      <w:rFonts w:ascii="Tahoma" w:hAnsi="Tahoma"/>
      <w:sz w:val="24"/>
      <w:szCs w:val="20"/>
    </w:rPr>
  </w:style>
  <w:style w:type="paragraph" w:styleId="2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Char"/>
    <w:basedOn w:val="1"/>
    <w:qFormat/>
    <w:uiPriority w:val="0"/>
    <w:rPr>
      <w:rFonts w:ascii="仿宋_GB2312" w:eastAsia="仿宋_GB2312"/>
      <w:b/>
      <w:sz w:val="32"/>
      <w:szCs w:val="32"/>
    </w:rPr>
  </w:style>
  <w:style w:type="paragraph" w:customStyle="1" w:styleId="30">
    <w:name w:val="_Style 19"/>
    <w:basedOn w:val="1"/>
    <w:qFormat/>
    <w:uiPriority w:val="0"/>
    <w:pPr>
      <w:tabs>
        <w:tab w:val="right" w:pos="-2120"/>
      </w:tabs>
      <w:snapToGrid w:val="0"/>
    </w:pPr>
  </w:style>
  <w:style w:type="paragraph" w:customStyle="1" w:styleId="31">
    <w:name w:val="排版"/>
    <w:basedOn w:val="1"/>
    <w:next w:val="8"/>
    <w:qFormat/>
    <w:uiPriority w:val="0"/>
    <w:pPr>
      <w:spacing w:line="600" w:lineRule="exact"/>
    </w:pPr>
    <w:rPr>
      <w:rFonts w:eastAsia="华文仿宋"/>
      <w:spacing w:val="6"/>
      <w:sz w:val="32"/>
    </w:rPr>
  </w:style>
  <w:style w:type="paragraph" w:customStyle="1" w:styleId="32">
    <w:name w:val="Char1"/>
    <w:basedOn w:val="1"/>
    <w:qFormat/>
    <w:uiPriority w:val="0"/>
    <w:pPr>
      <w:tabs>
        <w:tab w:val="right" w:pos="-2120"/>
      </w:tabs>
      <w:snapToGrid w:val="0"/>
    </w:pPr>
  </w:style>
  <w:style w:type="paragraph" w:customStyle="1" w:styleId="3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4">
    <w:name w:val="List Paragraph"/>
    <w:basedOn w:val="1"/>
    <w:qFormat/>
    <w:uiPriority w:val="34"/>
    <w:pPr>
      <w:ind w:firstLine="420" w:firstLineChars="200"/>
    </w:pPr>
  </w:style>
  <w:style w:type="character" w:customStyle="1" w:styleId="35">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6">
    <w:name w:val="文档结构图 字符"/>
    <w:basedOn w:val="22"/>
    <w:link w:val="6"/>
    <w:qFormat/>
    <w:uiPriority w:val="0"/>
    <w:rPr>
      <w:rFonts w:ascii="宋体"/>
      <w:kern w:val="2"/>
      <w:sz w:val="18"/>
      <w:szCs w:val="18"/>
    </w:rPr>
  </w:style>
  <w:style w:type="character" w:customStyle="1" w:styleId="37">
    <w:name w:val="font11"/>
    <w:qFormat/>
    <w:uiPriority w:val="0"/>
    <w:rPr>
      <w:rFonts w:ascii="Calibri" w:hAnsi="Calibri" w:cs="Calibri"/>
      <w:color w:val="000000"/>
      <w:sz w:val="20"/>
      <w:szCs w:val="20"/>
      <w:u w:val="none"/>
    </w:rPr>
  </w:style>
  <w:style w:type="character" w:customStyle="1" w:styleId="38">
    <w:name w:val="纯文本 字符"/>
    <w:link w:val="10"/>
    <w:qFormat/>
    <w:uiPriority w:val="0"/>
    <w:rPr>
      <w:rFonts w:ascii="宋体" w:hAnsi="Courier New" w:eastAsia="宋体" w:cs="Courier New"/>
      <w:kern w:val="2"/>
      <w:sz w:val="21"/>
      <w:szCs w:val="21"/>
      <w:lang w:val="en-US" w:eastAsia="zh-CN" w:bidi="ar-SA"/>
    </w:rPr>
  </w:style>
  <w:style w:type="character" w:customStyle="1" w:styleId="39">
    <w:name w:val="正文缩进 字符"/>
    <w:link w:val="5"/>
    <w:qFormat/>
    <w:uiPriority w:val="0"/>
    <w:rPr>
      <w:rFonts w:eastAsia="宋体"/>
      <w:kern w:val="2"/>
      <w:sz w:val="21"/>
      <w:lang w:val="en-US" w:eastAsia="zh-CN" w:bidi="ar-SA"/>
    </w:rPr>
  </w:style>
  <w:style w:type="character" w:customStyle="1" w:styleId="40">
    <w:name w:val="页眉 字符"/>
    <w:link w:val="13"/>
    <w:qFormat/>
    <w:uiPriority w:val="0"/>
    <w:rPr>
      <w:rFonts w:eastAsia="宋体"/>
      <w:kern w:val="2"/>
      <w:sz w:val="18"/>
      <w:szCs w:val="18"/>
      <w:lang w:val="en-US" w:eastAsia="zh-CN" w:bidi="ar-SA"/>
    </w:rPr>
  </w:style>
  <w:style w:type="character" w:customStyle="1" w:styleId="41">
    <w:name w:val="标题 3 字符"/>
    <w:basedOn w:val="22"/>
    <w:link w:val="4"/>
    <w:semiHidden/>
    <w:qFormat/>
    <w:uiPriority w:val="0"/>
    <w:rPr>
      <w:b/>
      <w:bCs/>
      <w:kern w:val="2"/>
      <w:sz w:val="32"/>
      <w:szCs w:val="32"/>
    </w:rPr>
  </w:style>
  <w:style w:type="character" w:customStyle="1" w:styleId="42">
    <w:name w:val="标题 字符"/>
    <w:basedOn w:val="22"/>
    <w:link w:val="18"/>
    <w:qFormat/>
    <w:uiPriority w:val="0"/>
    <w:rPr>
      <w:rFonts w:asciiTheme="majorHAnsi" w:hAnsiTheme="majorHAnsi" w:eastAsiaTheme="majorEastAsia" w:cstheme="majorBidi"/>
      <w:b/>
      <w:bCs/>
      <w:kern w:val="2"/>
      <w:sz w:val="32"/>
      <w:szCs w:val="32"/>
    </w:rPr>
  </w:style>
  <w:style w:type="paragraph" w:customStyle="1" w:styleId="43">
    <w:name w:val="Table Paragraph"/>
    <w:basedOn w:val="1"/>
    <w:qFormat/>
    <w:uiPriority w:val="1"/>
    <w:rPr>
      <w:rFonts w:ascii="宋体" w:hAnsi="宋体" w:cs="宋体"/>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1520</Words>
  <Characters>8668</Characters>
  <Lines>72</Lines>
  <Paragraphs>20</Paragraphs>
  <TotalTime>4</TotalTime>
  <ScaleCrop>false</ScaleCrop>
  <LinksUpToDate>false</LinksUpToDate>
  <CharactersWithSpaces>10168</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2020-06-23T04:16:00Z</dcterms:created>
  <dc:creator>微软用户</dc:creator>
  <cp:lastModifiedBy>口天马尧</cp:lastModifiedBy>
  <cp:lastPrinted>2020-06-23T05:34:00Z</cp:lastPrinted>
  <dcterms:modified xsi:type="dcterms:W3CDTF">2021-07-22T05:47:54Z</dcterms:modified>
  <dc:title>湖北省省级政府采购</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50DEC7F2C0F44FC2B4F390FBBFF469F8</vt:lpwstr>
  </property>
</Properties>
</file>