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pStyle w:val="4"/>
        <w:keepNext w:val="0"/>
        <w:keepLines w:val="0"/>
        <w:widowControl/>
        <w:spacing w:before="0" w:after="0" w:line="525" w:lineRule="atLeast"/>
        <w:ind w:left="1959" w:leftChars="266" w:hanging="1400" w:hangingChars="500"/>
        <w:rPr>
          <w:rFonts w:ascii="宋体" w:hAnsi="宋体" w:cs="宋体"/>
          <w:b w:val="0"/>
          <w:bCs w:val="0"/>
          <w:sz w:val="24"/>
          <w:szCs w:val="24"/>
        </w:rPr>
      </w:pPr>
      <w:r>
        <w:rPr>
          <w:rFonts w:hint="eastAsia"/>
          <w:b w:val="0"/>
          <w:bCs w:val="0"/>
          <w:sz w:val="28"/>
          <w:szCs w:val="28"/>
        </w:rPr>
        <w:t>项目名称：</w:t>
      </w:r>
      <w:r>
        <w:rPr>
          <w:rFonts w:hint="eastAsia" w:ascii="宋体" w:hAnsi="宋体" w:eastAsia="宋体" w:cs="宋体"/>
          <w:b w:val="0"/>
          <w:bCs w:val="0"/>
          <w:color w:val="3C4952"/>
          <w:kern w:val="0"/>
          <w:sz w:val="28"/>
          <w:szCs w:val="28"/>
        </w:rPr>
        <w:t>2024年兰州职业技术学院支持教师教学能力大赛技术服务项目</w:t>
      </w:r>
    </w:p>
    <w:p>
      <w:pPr>
        <w:ind w:firstLine="560" w:firstLineChars="200"/>
        <w:jc w:val="left"/>
        <w:rPr>
          <w:rFonts w:hint="default" w:eastAsia="宋体"/>
          <w:sz w:val="28"/>
          <w:szCs w:val="28"/>
          <w:lang w:val="en-US" w:eastAsia="zh-CN"/>
        </w:rPr>
      </w:pPr>
      <w:r>
        <w:rPr>
          <w:rFonts w:hint="eastAsia"/>
          <w:sz w:val="28"/>
          <w:szCs w:val="28"/>
        </w:rPr>
        <w:t>项目编号：</w:t>
      </w:r>
      <w:r>
        <w:rPr>
          <w:rFonts w:hint="eastAsia"/>
          <w:b w:val="0"/>
          <w:bCs w:val="0"/>
          <w:sz w:val="28"/>
          <w:szCs w:val="28"/>
        </w:rPr>
        <w:t>LZXJ--</w:t>
      </w:r>
      <w:r>
        <w:rPr>
          <w:rFonts w:hint="eastAsia"/>
          <w:b w:val="0"/>
          <w:bCs w:val="0"/>
          <w:sz w:val="28"/>
          <w:szCs w:val="28"/>
          <w:lang w:val="en-US" w:eastAsia="zh-CN"/>
        </w:rPr>
        <w:t>2024002</w:t>
      </w:r>
      <w:bookmarkStart w:id="14" w:name="_GoBack"/>
      <w:bookmarkEnd w:id="14"/>
    </w:p>
    <w:p>
      <w:pPr>
        <w:ind w:firstLine="560" w:firstLineChars="200"/>
        <w:jc w:val="left"/>
        <w:rPr>
          <w:sz w:val="28"/>
          <w:szCs w:val="28"/>
        </w:rPr>
      </w:pPr>
      <w:r>
        <w:rPr>
          <w:rFonts w:hint="eastAsia"/>
          <w:sz w:val="28"/>
          <w:szCs w:val="28"/>
        </w:rPr>
        <w:t>采购单位：兰州职业技术学院</w:t>
      </w:r>
    </w:p>
    <w:p>
      <w:pPr>
        <w:ind w:firstLine="560" w:firstLineChars="200"/>
        <w:jc w:val="left"/>
        <w:rPr>
          <w:rFonts w:hint="eastAsia" w:eastAsia="宋体"/>
          <w:sz w:val="28"/>
          <w:szCs w:val="28"/>
          <w:lang w:eastAsia="zh-CN"/>
        </w:rPr>
      </w:pPr>
      <w:r>
        <w:rPr>
          <w:rFonts w:hint="eastAsia"/>
          <w:sz w:val="28"/>
          <w:szCs w:val="28"/>
        </w:rPr>
        <w:t>采购时间：</w:t>
      </w:r>
      <w:r>
        <w:rPr>
          <w:rFonts w:hint="eastAsia"/>
          <w:b w:val="0"/>
          <w:bCs w:val="0"/>
          <w:sz w:val="28"/>
          <w:szCs w:val="28"/>
        </w:rPr>
        <w:t>202</w:t>
      </w:r>
      <w:r>
        <w:rPr>
          <w:rFonts w:hint="eastAsia"/>
          <w:b w:val="0"/>
          <w:bCs w:val="0"/>
          <w:sz w:val="28"/>
          <w:szCs w:val="28"/>
          <w:lang w:val="en-US" w:eastAsia="zh-CN"/>
        </w:rPr>
        <w:t>4</w:t>
      </w:r>
      <w:r>
        <w:rPr>
          <w:rFonts w:hint="eastAsia"/>
          <w:b w:val="0"/>
          <w:bCs w:val="0"/>
          <w:sz w:val="28"/>
          <w:szCs w:val="28"/>
        </w:rPr>
        <w:t>年</w:t>
      </w:r>
      <w:r>
        <w:rPr>
          <w:rFonts w:hint="eastAsia"/>
          <w:b w:val="0"/>
          <w:bCs w:val="0"/>
          <w:sz w:val="28"/>
          <w:szCs w:val="28"/>
          <w:lang w:val="en-US" w:eastAsia="zh-CN"/>
        </w:rPr>
        <w:t>5</w:t>
      </w:r>
      <w:r>
        <w:rPr>
          <w:rFonts w:hint="eastAsia"/>
          <w:b w:val="0"/>
          <w:bCs w:val="0"/>
          <w:sz w:val="28"/>
          <w:szCs w:val="28"/>
        </w:rPr>
        <w:t>月</w:t>
      </w:r>
      <w:r>
        <w:rPr>
          <w:rFonts w:hint="eastAsia"/>
          <w:b w:val="0"/>
          <w:bCs w:val="0"/>
          <w:sz w:val="28"/>
          <w:szCs w:val="28"/>
          <w:lang w:val="en-US" w:eastAsia="zh-CN"/>
        </w:rPr>
        <w:t>17</w:t>
      </w:r>
      <w:r>
        <w:rPr>
          <w:rFonts w:hint="eastAsia"/>
          <w:b w:val="0"/>
          <w:bCs w:val="0"/>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rFonts w:hint="default" w:eastAsia="宋体"/>
          <w:sz w:val="28"/>
          <w:szCs w:val="28"/>
          <w:lang w:val="en-US" w:eastAsia="zh-CN"/>
        </w:rPr>
      </w:pPr>
      <w:r>
        <w:rPr>
          <w:rFonts w:hint="eastAsia" w:ascii="宋体" w:hAnsi="宋体"/>
          <w:sz w:val="28"/>
          <w:szCs w:val="28"/>
        </w:rPr>
        <w:t>202</w:t>
      </w:r>
      <w:r>
        <w:rPr>
          <w:rFonts w:hint="eastAsia" w:ascii="宋体" w:hAnsi="宋体"/>
          <w:sz w:val="28"/>
          <w:szCs w:val="28"/>
          <w:lang w:val="en-US" w:eastAsia="zh-CN"/>
        </w:rPr>
        <w:t>4</w:t>
      </w:r>
      <w:r>
        <w:rPr>
          <w:rFonts w:hint="eastAsia" w:ascii="宋体" w:hAnsi="宋体"/>
          <w:sz w:val="28"/>
          <w:szCs w:val="28"/>
        </w:rPr>
        <w:t>年</w:t>
      </w:r>
      <w:r>
        <w:rPr>
          <w:rFonts w:hint="eastAsia" w:ascii="宋体" w:hAnsi="宋体"/>
          <w:sz w:val="28"/>
          <w:szCs w:val="28"/>
          <w:lang w:val="en-US" w:eastAsia="zh-CN"/>
        </w:rPr>
        <w:t>5</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80" w:firstLineChars="200"/>
        <w:rPr>
          <w:rFonts w:hint="eastAsia" w:ascii="宋体" w:hAnsi="宋体" w:cs="宋体"/>
          <w:sz w:val="24"/>
        </w:rPr>
      </w:pPr>
      <w:r>
        <w:rPr>
          <w:rFonts w:hint="eastAsia" w:ascii="宋体" w:hAnsi="宋体" w:cs="宋体"/>
          <w:sz w:val="24"/>
        </w:rPr>
        <w:t>根据</w:t>
      </w:r>
      <w:r>
        <w:rPr>
          <w:rFonts w:hint="eastAsia" w:ascii="宋体" w:hAnsi="宋体" w:cs="宋体"/>
          <w:color w:val="auto"/>
          <w:sz w:val="24"/>
        </w:rPr>
        <w:t>2024年兰州职业技术学院支持教师教学能力大赛</w:t>
      </w:r>
      <w:r>
        <w:rPr>
          <w:rFonts w:hint="eastAsia" w:ascii="宋体" w:hAnsi="宋体" w:cs="宋体"/>
          <w:b w:val="0"/>
          <w:bCs w:val="0"/>
          <w:color w:val="auto"/>
          <w:sz w:val="24"/>
          <w:lang w:val="en-US" w:eastAsia="zh-CN"/>
        </w:rPr>
        <w:t>开展</w:t>
      </w:r>
      <w:r>
        <w:rPr>
          <w:rFonts w:hint="eastAsia" w:ascii="宋体" w:hAnsi="宋体" w:cs="宋体"/>
          <w:sz w:val="24"/>
        </w:rPr>
        <w:t>需要，现拟对</w:t>
      </w:r>
      <w:r>
        <w:rPr>
          <w:rFonts w:hint="eastAsia" w:ascii="宋体" w:hAnsi="宋体" w:cs="宋体"/>
          <w:color w:val="auto"/>
          <w:sz w:val="24"/>
        </w:rPr>
        <w:t>2024年兰州职业技术学院支持教师教学能力大赛技术服务项目</w:t>
      </w:r>
      <w:r>
        <w:rPr>
          <w:rFonts w:hint="eastAsia" w:ascii="宋体" w:hAnsi="宋体" w:cs="宋体"/>
          <w:sz w:val="24"/>
        </w:rPr>
        <w:t>进行询价采购。欢迎满足资格要求的供应商前来参加，具体事宜公告如下：</w:t>
      </w:r>
    </w:p>
    <w:p>
      <w:pPr>
        <w:spacing w:line="360" w:lineRule="auto"/>
        <w:ind w:firstLine="480" w:firstLineChars="200"/>
        <w:rPr>
          <w:rFonts w:hint="default" w:ascii="宋体" w:hAnsi="宋体"/>
          <w:sz w:val="24"/>
          <w:lang w:val="en-US" w:eastAsia="zh-CN"/>
        </w:rPr>
      </w:pPr>
      <w:r>
        <w:rPr>
          <w:rFonts w:hint="eastAsia" w:ascii="宋体" w:hAnsi="宋体"/>
          <w:sz w:val="24"/>
        </w:rPr>
        <w:t>一、采购项目编号：LZXJ--</w:t>
      </w:r>
      <w:r>
        <w:rPr>
          <w:rFonts w:hint="eastAsia" w:ascii="宋体" w:hAnsi="宋体"/>
          <w:color w:val="auto"/>
          <w:sz w:val="24"/>
        </w:rPr>
        <w:t>202</w:t>
      </w:r>
      <w:r>
        <w:rPr>
          <w:rFonts w:hint="eastAsia" w:ascii="宋体" w:hAnsi="宋体"/>
          <w:color w:val="auto"/>
          <w:sz w:val="24"/>
          <w:lang w:val="en-US" w:eastAsia="zh-CN"/>
        </w:rPr>
        <w:t>4002</w:t>
      </w:r>
    </w:p>
    <w:p>
      <w:pPr>
        <w:spacing w:line="360" w:lineRule="auto"/>
        <w:ind w:left="479" w:leftChars="228" w:firstLine="0" w:firstLineChars="0"/>
        <w:rPr>
          <w:rFonts w:ascii="宋体" w:hAnsi="宋体"/>
          <w:sz w:val="24"/>
        </w:rPr>
      </w:pPr>
      <w:r>
        <w:rPr>
          <w:rFonts w:hint="eastAsia" w:ascii="宋体" w:hAnsi="宋体"/>
          <w:sz w:val="24"/>
        </w:rPr>
        <w:t>二、采购项目名称：</w:t>
      </w:r>
      <w:r>
        <w:rPr>
          <w:rFonts w:hint="eastAsia" w:ascii="宋体" w:hAnsi="宋体" w:cs="宋体"/>
          <w:color w:val="auto"/>
          <w:sz w:val="24"/>
        </w:rPr>
        <w:t>2024年兰州职业技术学院支持教师教学能力大赛技术服务项目</w:t>
      </w:r>
      <w:r>
        <w:rPr>
          <w:rFonts w:hint="eastAsia" w:ascii="宋体" w:hAnsi="宋体"/>
          <w:sz w:val="24"/>
        </w:rPr>
        <w:t>三、采购方式：询价采购</w:t>
      </w:r>
    </w:p>
    <w:p>
      <w:pPr>
        <w:spacing w:line="360" w:lineRule="auto"/>
        <w:ind w:firstLine="480" w:firstLineChars="200"/>
        <w:rPr>
          <w:rFonts w:hint="eastAsia" w:ascii="宋体" w:hAnsi="宋体" w:cs="宋体"/>
          <w:sz w:val="24"/>
        </w:rPr>
      </w:pPr>
      <w:r>
        <w:rPr>
          <w:rFonts w:hint="eastAsia" w:ascii="宋体" w:hAnsi="宋体" w:cs="宋体"/>
          <w:sz w:val="24"/>
        </w:rPr>
        <w:t>四、采购内容及预算金额：</w:t>
      </w:r>
    </w:p>
    <w:p>
      <w:pPr>
        <w:spacing w:line="360" w:lineRule="auto"/>
        <w:ind w:firstLine="480" w:firstLineChars="200"/>
        <w:rPr>
          <w:rFonts w:hint="eastAsia" w:ascii="宋体" w:hAnsi="宋体" w:cs="宋体"/>
          <w:sz w:val="24"/>
          <w:lang w:val="en-US" w:eastAsia="zh-CN"/>
        </w:rPr>
      </w:pPr>
      <w:r>
        <w:rPr>
          <w:rFonts w:hint="eastAsia" w:ascii="宋体" w:hAnsi="宋体" w:cs="宋体"/>
          <w:sz w:val="24"/>
        </w:rPr>
        <w:t xml:space="preserve">  1、2024年兰州职业技术学院支持教师教学能力大赛技术服务</w:t>
      </w:r>
    </w:p>
    <w:p>
      <w:pPr>
        <w:spacing w:line="360" w:lineRule="auto"/>
        <w:ind w:firstLine="480" w:firstLineChars="200"/>
        <w:rPr>
          <w:rFonts w:hint="default" w:ascii="宋体" w:hAnsi="宋体" w:cs="宋体"/>
          <w:sz w:val="24"/>
          <w:lang w:val="en-US" w:eastAsia="zh-CN"/>
        </w:rPr>
      </w:pPr>
      <w:r>
        <w:rPr>
          <w:rFonts w:hint="eastAsia" w:ascii="宋体" w:hAnsi="宋体" w:cs="宋体"/>
          <w:sz w:val="24"/>
        </w:rPr>
        <w:t> 2、预算金额：</w:t>
      </w:r>
      <w:r>
        <w:rPr>
          <w:rFonts w:hint="eastAsia" w:ascii="宋体" w:hAnsi="宋体" w:cs="宋体"/>
          <w:sz w:val="24"/>
          <w:lang w:val="en-US" w:eastAsia="zh-CN"/>
        </w:rPr>
        <w:t>150000</w:t>
      </w:r>
      <w:r>
        <w:rPr>
          <w:rFonts w:hint="eastAsia" w:ascii="宋体" w:hAnsi="宋体" w:cs="宋体"/>
          <w:sz w:val="24"/>
        </w:rPr>
        <w:t>元</w:t>
      </w:r>
    </w:p>
    <w:p>
      <w:pPr>
        <w:spacing w:line="360" w:lineRule="auto"/>
        <w:ind w:firstLine="480" w:firstLineChars="200"/>
        <w:rPr>
          <w:rFonts w:hint="eastAsia" w:ascii="宋体" w:hAnsi="宋体" w:cs="宋体"/>
          <w:sz w:val="24"/>
        </w:rPr>
      </w:pPr>
      <w:r>
        <w:rPr>
          <w:rFonts w:hint="eastAsia" w:ascii="宋体" w:hAnsi="宋体" w:cs="宋体"/>
          <w:sz w:val="24"/>
        </w:rPr>
        <w:t>五、资质要求（商务部分）：</w:t>
      </w:r>
    </w:p>
    <w:p>
      <w:pPr>
        <w:spacing w:line="360" w:lineRule="auto"/>
        <w:ind w:firstLine="480" w:firstLineChars="200"/>
        <w:rPr>
          <w:rFonts w:ascii="宋体" w:hAnsi="宋体"/>
          <w:sz w:val="24"/>
        </w:rPr>
      </w:pPr>
      <w:r>
        <w:rPr>
          <w:rFonts w:hint="eastAsia" w:ascii="宋体" w:hAnsi="宋体" w:cs="宋体"/>
          <w:sz w:val="24"/>
        </w:rPr>
        <w:t>1.供应商必须符合《中华人民共和国政府采购法》</w:t>
      </w:r>
      <w:r>
        <w:rPr>
          <w:rFonts w:hint="eastAsia" w:ascii="宋体" w:hAnsi="宋体"/>
          <w:sz w:val="24"/>
        </w:rPr>
        <w:t>第二十二条要求；</w:t>
      </w:r>
    </w:p>
    <w:p>
      <w:pPr>
        <w:spacing w:line="360" w:lineRule="auto"/>
        <w:ind w:firstLine="480" w:firstLineChars="200"/>
        <w:rPr>
          <w:rFonts w:hint="eastAsia" w:ascii="宋体" w:hAnsi="宋体" w:eastAsia="宋体" w:cs="Times New Roman"/>
          <w:sz w:val="24"/>
        </w:rPr>
      </w:pPr>
      <w:r>
        <w:rPr>
          <w:rFonts w:hint="eastAsia" w:ascii="宋体" w:hAnsi="宋体"/>
          <w:sz w:val="24"/>
        </w:rPr>
        <w:t>2.</w:t>
      </w:r>
      <w:r>
        <w:rPr>
          <w:rFonts w:hint="eastAsia" w:ascii="宋体" w:hAnsi="宋体" w:eastAsia="宋体" w:cs="Times New Roman"/>
          <w:sz w:val="24"/>
        </w:rPr>
        <w:t>应商应是在中华人民共和国境内注册取得营业执照的独立法人或其他组织，具有相应经营范围；</w:t>
      </w:r>
    </w:p>
    <w:p>
      <w:pPr>
        <w:spacing w:line="360" w:lineRule="auto"/>
        <w:ind w:firstLine="480" w:firstLineChars="200"/>
        <w:rPr>
          <w:rFonts w:ascii="宋体" w:hAnsi="宋体"/>
          <w:sz w:val="24"/>
        </w:rPr>
      </w:pPr>
      <w:r>
        <w:rPr>
          <w:rFonts w:hint="eastAsia" w:ascii="宋体" w:hAnsi="宋体"/>
          <w:sz w:val="24"/>
        </w:rPr>
        <w:t>3.营业执照副本（复印件）；</w:t>
      </w:r>
    </w:p>
    <w:p>
      <w:pPr>
        <w:spacing w:line="360" w:lineRule="auto"/>
        <w:ind w:firstLine="480" w:firstLineChars="200"/>
        <w:rPr>
          <w:rFonts w:ascii="宋体" w:hAnsi="宋体"/>
          <w:sz w:val="24"/>
        </w:rPr>
      </w:pPr>
      <w:r>
        <w:rPr>
          <w:rFonts w:hint="eastAsia" w:ascii="宋体" w:hAnsi="宋体"/>
          <w:sz w:val="24"/>
        </w:rPr>
        <w:t>4.法人代表身份证（正、反面复印件）；</w:t>
      </w:r>
    </w:p>
    <w:p>
      <w:pPr>
        <w:spacing w:line="360" w:lineRule="auto"/>
        <w:ind w:firstLine="480" w:firstLineChars="200"/>
        <w:rPr>
          <w:rFonts w:hint="eastAsia" w:ascii="宋体" w:hAnsi="宋体"/>
          <w:sz w:val="24"/>
        </w:rPr>
      </w:pPr>
      <w:r>
        <w:rPr>
          <w:rFonts w:hint="eastAsia" w:ascii="宋体" w:hAnsi="宋体"/>
          <w:sz w:val="24"/>
        </w:rPr>
        <w:t>5.法人授权函（原件）及被授权人身份证（正、反面复印件）；</w:t>
      </w:r>
    </w:p>
    <w:p>
      <w:pPr>
        <w:spacing w:line="360" w:lineRule="auto"/>
        <w:ind w:firstLine="480" w:firstLineChars="200"/>
        <w:rPr>
          <w:rFonts w:ascii="宋体" w:hAnsi="宋体"/>
          <w:sz w:val="24"/>
        </w:rPr>
      </w:pPr>
      <w:r>
        <w:rPr>
          <w:rFonts w:hint="eastAsia" w:ascii="宋体" w:hAnsi="宋体"/>
          <w:sz w:val="24"/>
          <w:lang w:val="en-US" w:eastAsia="zh-CN"/>
        </w:rPr>
        <w:t>6</w:t>
      </w:r>
      <w:r>
        <w:rPr>
          <w:rFonts w:hint="eastAsia" w:ascii="宋体" w:hAnsi="宋体"/>
          <w:sz w:val="24"/>
        </w:rPr>
        <w:t>.资格承诺函</w:t>
      </w:r>
    </w:p>
    <w:p>
      <w:pPr>
        <w:spacing w:line="360" w:lineRule="auto"/>
        <w:ind w:firstLine="480" w:firstLineChars="200"/>
        <w:rPr>
          <w:rFonts w:ascii="宋体" w:hAnsi="宋体"/>
          <w:sz w:val="24"/>
        </w:rPr>
      </w:pPr>
      <w:r>
        <w:rPr>
          <w:rFonts w:hint="eastAsia" w:ascii="宋体" w:hAnsi="宋体"/>
          <w:sz w:val="24"/>
          <w:lang w:val="en-US" w:eastAsia="zh-CN"/>
        </w:rPr>
        <w:t>7</w:t>
      </w:r>
      <w:r>
        <w:rPr>
          <w:rFonts w:hint="eastAsia" w:ascii="宋体" w:hAnsi="宋体"/>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lang w:val="en-US" w:eastAsia="zh-CN"/>
        </w:rPr>
        <w:t>8</w:t>
      </w:r>
      <w:r>
        <w:rPr>
          <w:rFonts w:hint="eastAsia" w:ascii="宋体" w:hAnsi="宋体"/>
          <w:sz w:val="24"/>
        </w:rPr>
        <w:t>.本项目不接受联合体竞价。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color w:val="FF0000"/>
          <w:sz w:val="24"/>
        </w:rPr>
      </w:pPr>
      <w:r>
        <w:rPr>
          <w:rFonts w:hint="eastAsia" w:ascii="宋体" w:hAnsi="宋体"/>
          <w:sz w:val="24"/>
        </w:rPr>
        <w:t>响应文件递交时间</w:t>
      </w:r>
      <w:r>
        <w:rPr>
          <w:rFonts w:hint="eastAsia" w:ascii="宋体" w:hAnsi="宋体"/>
          <w:color w:val="auto"/>
          <w:sz w:val="24"/>
        </w:rPr>
        <w:t>：202</w:t>
      </w:r>
      <w:r>
        <w:rPr>
          <w:rFonts w:hint="eastAsia" w:ascii="宋体" w:hAnsi="宋体"/>
          <w:color w:val="auto"/>
          <w:sz w:val="24"/>
          <w:lang w:val="en-US" w:eastAsia="zh-CN"/>
        </w:rPr>
        <w:t>4</w:t>
      </w:r>
      <w:r>
        <w:rPr>
          <w:rFonts w:hint="eastAsia" w:ascii="宋体" w:hAnsi="宋体"/>
          <w:color w:val="auto"/>
          <w:sz w:val="24"/>
        </w:rPr>
        <w:t>年</w:t>
      </w:r>
      <w:r>
        <w:rPr>
          <w:rFonts w:hint="eastAsia" w:ascii="宋体" w:hAnsi="宋体"/>
          <w:color w:val="auto"/>
          <w:sz w:val="24"/>
          <w:lang w:val="en-US" w:eastAsia="zh-CN"/>
        </w:rPr>
        <w:t>5</w:t>
      </w:r>
      <w:r>
        <w:rPr>
          <w:rFonts w:hint="eastAsia" w:ascii="宋体" w:hAnsi="宋体"/>
          <w:color w:val="auto"/>
          <w:sz w:val="24"/>
        </w:rPr>
        <w:t>月</w:t>
      </w:r>
      <w:r>
        <w:rPr>
          <w:rFonts w:hint="eastAsia" w:ascii="宋体" w:hAnsi="宋体"/>
          <w:color w:val="auto"/>
          <w:sz w:val="24"/>
          <w:lang w:val="en-US" w:eastAsia="zh-CN"/>
        </w:rPr>
        <w:t>27</w:t>
      </w:r>
      <w:r>
        <w:rPr>
          <w:rFonts w:hint="eastAsia" w:ascii="宋体" w:hAnsi="宋体"/>
          <w:color w:val="auto"/>
          <w:sz w:val="24"/>
        </w:rPr>
        <w:t>日</w:t>
      </w:r>
      <w:r>
        <w:rPr>
          <w:rFonts w:hint="eastAsia" w:ascii="宋体" w:hAnsi="宋体"/>
          <w:color w:val="auto"/>
          <w:sz w:val="24"/>
          <w:lang w:val="en-US" w:eastAsia="zh-CN"/>
        </w:rPr>
        <w:t>10</w:t>
      </w:r>
      <w:r>
        <w:rPr>
          <w:rFonts w:hint="eastAsia" w:ascii="宋体" w:hAnsi="宋体"/>
          <w:color w:val="auto"/>
          <w:sz w:val="24"/>
        </w:rPr>
        <w:t>:</w:t>
      </w:r>
      <w:r>
        <w:rPr>
          <w:rFonts w:hint="eastAsia" w:ascii="宋体" w:hAnsi="宋体"/>
          <w:color w:val="auto"/>
          <w:sz w:val="24"/>
          <w:lang w:val="en-US" w:eastAsia="zh-CN"/>
        </w:rPr>
        <w:t>0</w:t>
      </w:r>
      <w:r>
        <w:rPr>
          <w:rFonts w:hint="eastAsia" w:ascii="宋体" w:hAnsi="宋体"/>
          <w:color w:val="auto"/>
          <w:sz w:val="24"/>
        </w:rPr>
        <w:t>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w:t>
      </w:r>
      <w:r>
        <w:rPr>
          <w:rFonts w:hint="eastAsia" w:ascii="宋体" w:hAnsi="宋体"/>
          <w:sz w:val="24"/>
          <w:lang w:val="en-US" w:eastAsia="zh-CN"/>
        </w:rPr>
        <w:t>勤政</w:t>
      </w:r>
      <w:r>
        <w:rPr>
          <w:rFonts w:hint="eastAsia" w:ascii="宋体" w:hAnsi="宋体"/>
          <w:sz w:val="24"/>
        </w:rPr>
        <w:t>楼614室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w:t>
      </w:r>
      <w:r>
        <w:rPr>
          <w:rFonts w:hint="eastAsia" w:ascii="宋体" w:hAnsi="宋体"/>
          <w:sz w:val="24"/>
          <w:lang w:val="en-US" w:eastAsia="zh-CN"/>
        </w:rPr>
        <w:t>勤政</w:t>
      </w:r>
      <w:r>
        <w:rPr>
          <w:rFonts w:hint="eastAsia" w:ascii="宋体" w:hAnsi="宋体"/>
          <w:sz w:val="24"/>
        </w:rPr>
        <w:t>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hint="eastAsia" w:ascii="宋体" w:hAnsi="宋体"/>
          <w:color w:val="auto"/>
          <w:sz w:val="24"/>
        </w:rPr>
      </w:pPr>
      <w:r>
        <w:rPr>
          <w:rFonts w:ascii="宋体" w:hAnsi="宋体"/>
          <w:sz w:val="24"/>
        </w:rPr>
        <w:t>20</w:t>
      </w:r>
      <w:r>
        <w:rPr>
          <w:rFonts w:hint="eastAsia" w:ascii="宋体" w:hAnsi="宋体"/>
          <w:sz w:val="24"/>
        </w:rPr>
        <w:t>2</w:t>
      </w:r>
      <w:r>
        <w:rPr>
          <w:rFonts w:hint="eastAsia" w:ascii="宋体" w:hAnsi="宋体"/>
          <w:sz w:val="24"/>
          <w:lang w:val="en-US" w:eastAsia="zh-CN"/>
        </w:rPr>
        <w:t>4</w:t>
      </w:r>
      <w:r>
        <w:rPr>
          <w:rFonts w:ascii="宋体" w:hAnsi="宋体"/>
          <w:sz w:val="24"/>
        </w:rPr>
        <w:t>年</w:t>
      </w:r>
      <w:r>
        <w:rPr>
          <w:rFonts w:hint="eastAsia" w:ascii="宋体" w:hAnsi="宋体"/>
          <w:color w:val="auto"/>
          <w:sz w:val="24"/>
          <w:lang w:val="en-US" w:eastAsia="zh-CN"/>
        </w:rPr>
        <w:t>5</w:t>
      </w:r>
      <w:r>
        <w:rPr>
          <w:rFonts w:hint="eastAsia" w:ascii="宋体" w:hAnsi="宋体"/>
          <w:color w:val="auto"/>
          <w:sz w:val="24"/>
        </w:rPr>
        <w:t>月</w:t>
      </w:r>
      <w:r>
        <w:rPr>
          <w:rFonts w:hint="eastAsia" w:ascii="宋体" w:hAnsi="宋体"/>
          <w:color w:val="auto"/>
          <w:sz w:val="24"/>
          <w:lang w:val="en-US" w:eastAsia="zh-CN"/>
        </w:rPr>
        <w:t>17</w:t>
      </w:r>
      <w:r>
        <w:rPr>
          <w:rFonts w:hint="eastAsia" w:ascii="宋体" w:hAnsi="宋体"/>
          <w:color w:val="auto"/>
          <w:sz w:val="24"/>
        </w:rPr>
        <w:t>日</w:t>
      </w:r>
    </w:p>
    <w:p>
      <w:pPr>
        <w:pStyle w:val="2"/>
        <w:spacing w:before="0"/>
        <w:jc w:val="center"/>
        <w:rPr>
          <w:rFonts w:ascii="宋体" w:hAnsi="宋体"/>
          <w:color w:val="FF0000"/>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bookmarkStart w:id="0" w:name="_Toc416681035"/>
      <w:bookmarkEnd w:id="0"/>
      <w:r>
        <w:rPr>
          <w:rFonts w:hint="eastAsia" w:ascii="宋体" w:hAnsi="宋体"/>
        </w:rPr>
        <w:t xml:space="preserve">第二章 </w:t>
      </w:r>
      <w:bookmarkStart w:id="1" w:name="_Toc229456846"/>
      <w:r>
        <w:rPr>
          <w:rFonts w:hint="eastAsia" w:ascii="宋体" w:hAnsi="宋体"/>
        </w:rPr>
        <w:t>采购内容及技术要求</w:t>
      </w:r>
    </w:p>
    <w:bookmarkEnd w:id="1"/>
    <w:p>
      <w:pPr>
        <w:numPr>
          <w:ilvl w:val="0"/>
          <w:numId w:val="1"/>
        </w:numPr>
        <w:spacing w:line="360" w:lineRule="auto"/>
        <w:rPr>
          <w:rFonts w:ascii="宋体" w:hAnsi="宋体"/>
          <w:b/>
          <w:sz w:val="24"/>
        </w:rPr>
      </w:pPr>
      <w:bookmarkStart w:id="2" w:name="_Toc175733110"/>
      <w:r>
        <w:rPr>
          <w:rFonts w:hint="eastAsia" w:ascii="宋体" w:hAnsi="宋体"/>
          <w:b/>
          <w:sz w:val="24"/>
        </w:rPr>
        <w:t>服务内容及要求</w:t>
      </w:r>
    </w:p>
    <w:p>
      <w:pPr>
        <w:autoSpaceDE w:val="0"/>
        <w:autoSpaceDN w:val="0"/>
        <w:adjustRightInd w:val="0"/>
        <w:snapToGrid w:val="0"/>
        <w:spacing w:line="400" w:lineRule="exact"/>
        <w:ind w:left="239" w:leftChars="114" w:right="-178" w:rightChars="-85"/>
        <w:textAlignment w:val="bottom"/>
        <w:rPr>
          <w:rFonts w:ascii="宋体" w:hAnsi="宋体"/>
          <w:b/>
          <w:sz w:val="24"/>
          <w:highlight w:val="yellow"/>
        </w:rPr>
      </w:pPr>
      <w:r>
        <w:rPr>
          <w:rFonts w:hint="eastAsia" w:ascii="宋体" w:hAnsi="宋体"/>
          <w:b/>
          <w:sz w:val="24"/>
        </w:rPr>
        <w:t>1.服务内容清单</w:t>
      </w:r>
    </w:p>
    <w:bookmarkEnd w:id="2"/>
    <w:tbl>
      <w:tblPr>
        <w:tblStyle w:val="19"/>
        <w:tblW w:w="9640" w:type="dxa"/>
        <w:tblInd w:w="-34"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Layout w:type="fixed"/>
        <w:tblCellMar>
          <w:top w:w="0" w:type="dxa"/>
          <w:left w:w="108" w:type="dxa"/>
          <w:bottom w:w="0" w:type="dxa"/>
          <w:right w:w="108" w:type="dxa"/>
        </w:tblCellMar>
      </w:tblPr>
      <w:tblGrid>
        <w:gridCol w:w="851"/>
        <w:gridCol w:w="2126"/>
        <w:gridCol w:w="709"/>
        <w:gridCol w:w="709"/>
        <w:gridCol w:w="5245"/>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trPr>
        <w:tc>
          <w:tcPr>
            <w:tcW w:w="851" w:type="dxa"/>
            <w:shd w:val="clear" w:color="auto" w:fill="FFFFFF"/>
            <w:vAlign w:val="center"/>
          </w:tcPr>
          <w:p>
            <w:pPr>
              <w:ind w:left="-84" w:leftChars="-40" w:right="-107" w:rightChars="-51"/>
              <w:jc w:val="center"/>
              <w:rPr>
                <w:rFonts w:ascii="宋体" w:hAnsi="宋体"/>
                <w:b/>
                <w:color w:val="000000"/>
                <w:sz w:val="18"/>
                <w:szCs w:val="18"/>
              </w:rPr>
            </w:pPr>
            <w:r>
              <w:rPr>
                <w:rFonts w:hint="eastAsia" w:ascii="宋体" w:hAnsi="宋体"/>
                <w:b/>
                <w:color w:val="000000"/>
                <w:sz w:val="18"/>
                <w:szCs w:val="18"/>
              </w:rPr>
              <w:t>序号</w:t>
            </w:r>
          </w:p>
        </w:tc>
        <w:tc>
          <w:tcPr>
            <w:tcW w:w="2126" w:type="dxa"/>
            <w:shd w:val="clear" w:color="auto" w:fill="FFFFFF"/>
            <w:vAlign w:val="center"/>
          </w:tcPr>
          <w:p>
            <w:pPr>
              <w:jc w:val="center"/>
              <w:rPr>
                <w:rFonts w:ascii="宋体" w:hAnsi="宋体"/>
                <w:b/>
                <w:color w:val="000000"/>
                <w:sz w:val="18"/>
                <w:szCs w:val="18"/>
              </w:rPr>
            </w:pPr>
            <w:r>
              <w:rPr>
                <w:rFonts w:hint="eastAsia" w:ascii="宋体" w:hAnsi="宋体"/>
                <w:b/>
                <w:color w:val="000000"/>
                <w:sz w:val="18"/>
                <w:szCs w:val="18"/>
              </w:rPr>
              <w:t xml:space="preserve">名 称 </w:t>
            </w:r>
          </w:p>
        </w:tc>
        <w:tc>
          <w:tcPr>
            <w:tcW w:w="709" w:type="dxa"/>
            <w:shd w:val="clear" w:color="auto" w:fill="FFFFFF"/>
            <w:vAlign w:val="center"/>
          </w:tcPr>
          <w:p>
            <w:pPr>
              <w:jc w:val="center"/>
              <w:rPr>
                <w:rFonts w:ascii="宋体" w:hAnsi="宋体"/>
                <w:b/>
                <w:color w:val="000000"/>
                <w:w w:val="80"/>
                <w:sz w:val="18"/>
                <w:szCs w:val="18"/>
              </w:rPr>
            </w:pPr>
            <w:r>
              <w:rPr>
                <w:rFonts w:hint="eastAsia" w:ascii="宋体" w:hAnsi="宋体"/>
                <w:b/>
                <w:color w:val="000000"/>
                <w:sz w:val="18"/>
                <w:szCs w:val="18"/>
              </w:rPr>
              <w:t>数量</w:t>
            </w:r>
          </w:p>
        </w:tc>
        <w:tc>
          <w:tcPr>
            <w:tcW w:w="709" w:type="dxa"/>
            <w:tcBorders>
              <w:right w:val="single" w:color="auto" w:sz="4" w:space="0"/>
            </w:tcBorders>
            <w:shd w:val="clear" w:color="auto" w:fill="FFFFFF"/>
            <w:vAlign w:val="center"/>
          </w:tcPr>
          <w:p>
            <w:pPr>
              <w:jc w:val="center"/>
              <w:rPr>
                <w:rFonts w:ascii="宋体" w:hAnsi="宋体"/>
                <w:b/>
                <w:color w:val="000000"/>
                <w:sz w:val="18"/>
                <w:szCs w:val="18"/>
              </w:rPr>
            </w:pPr>
            <w:r>
              <w:rPr>
                <w:rFonts w:hint="eastAsia" w:ascii="宋体" w:hAnsi="宋体"/>
                <w:b/>
                <w:color w:val="000000"/>
                <w:sz w:val="18"/>
                <w:szCs w:val="18"/>
              </w:rPr>
              <w:t>单位</w:t>
            </w:r>
          </w:p>
        </w:tc>
        <w:tc>
          <w:tcPr>
            <w:tcW w:w="5245" w:type="dxa"/>
            <w:tcBorders>
              <w:left w:val="single" w:color="auto" w:sz="4" w:space="0"/>
            </w:tcBorders>
            <w:shd w:val="clear" w:color="auto" w:fill="FFFFFF"/>
            <w:vAlign w:val="center"/>
          </w:tcPr>
          <w:p>
            <w:pPr>
              <w:jc w:val="center"/>
              <w:rPr>
                <w:rFonts w:ascii="宋体" w:hAnsi="宋体"/>
                <w:b/>
                <w:color w:val="000000"/>
                <w:sz w:val="18"/>
                <w:szCs w:val="18"/>
              </w:rPr>
            </w:pPr>
            <w:r>
              <w:rPr>
                <w:rFonts w:hint="eastAsia" w:ascii="宋体" w:hAnsi="宋体"/>
                <w:b/>
                <w:color w:val="000000"/>
                <w:sz w:val="18"/>
                <w:szCs w:val="18"/>
              </w:rPr>
              <w:t>技术参数及</w:t>
            </w:r>
            <w:r>
              <w:rPr>
                <w:rFonts w:ascii="宋体" w:hAnsi="宋体"/>
                <w:b/>
                <w:color w:val="000000"/>
                <w:sz w:val="18"/>
                <w:szCs w:val="18"/>
              </w:rPr>
              <w:t>要求</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trPr>
        <w:tc>
          <w:tcPr>
            <w:tcW w:w="851" w:type="dxa"/>
            <w:shd w:val="clear" w:color="auto" w:fill="FFFFFF"/>
            <w:vAlign w:val="center"/>
          </w:tcPr>
          <w:p>
            <w:pPr>
              <w:pStyle w:val="44"/>
              <w:spacing w:line="288" w:lineRule="auto"/>
              <w:ind w:right="174"/>
              <w:jc w:val="center"/>
              <w:rPr>
                <w:bCs/>
                <w:szCs w:val="24"/>
              </w:rPr>
            </w:pPr>
            <w:r>
              <w:rPr>
                <w:rFonts w:hint="eastAsia"/>
                <w:bCs/>
                <w:szCs w:val="24"/>
              </w:rPr>
              <w:t>1</w:t>
            </w:r>
          </w:p>
        </w:tc>
        <w:tc>
          <w:tcPr>
            <w:tcW w:w="2126" w:type="dxa"/>
            <w:shd w:val="clear" w:color="auto" w:fill="FFFFFF"/>
            <w:vAlign w:val="center"/>
          </w:tcPr>
          <w:p>
            <w:pPr>
              <w:pStyle w:val="44"/>
              <w:spacing w:line="288" w:lineRule="auto"/>
              <w:ind w:right="174"/>
              <w:rPr>
                <w:bCs/>
                <w:szCs w:val="24"/>
                <w:lang w:val="zh-CN"/>
              </w:rPr>
            </w:pPr>
            <w:r>
              <w:rPr>
                <w:rFonts w:hint="eastAsia"/>
                <w:bCs/>
                <w:szCs w:val="24"/>
              </w:rPr>
              <w:t>2</w:t>
            </w:r>
            <w:r>
              <w:rPr>
                <w:rFonts w:hint="eastAsia"/>
                <w:bCs/>
                <w:szCs w:val="24"/>
                <w:lang w:val="zh-CN"/>
              </w:rPr>
              <w:t>02</w:t>
            </w:r>
            <w:r>
              <w:rPr>
                <w:bCs/>
                <w:szCs w:val="24"/>
              </w:rPr>
              <w:t>4</w:t>
            </w:r>
            <w:r>
              <w:rPr>
                <w:rFonts w:hint="eastAsia"/>
                <w:bCs/>
                <w:szCs w:val="24"/>
                <w:lang w:val="zh-CN"/>
              </w:rPr>
              <w:t>年兰州职业技术学院支持教师教学能力大赛技术服务项目</w:t>
            </w:r>
          </w:p>
        </w:tc>
        <w:tc>
          <w:tcPr>
            <w:tcW w:w="709" w:type="dxa"/>
            <w:shd w:val="clear" w:color="auto" w:fill="FFFFFF"/>
            <w:vAlign w:val="center"/>
          </w:tcPr>
          <w:p>
            <w:pPr>
              <w:pStyle w:val="44"/>
              <w:spacing w:line="288" w:lineRule="auto"/>
              <w:ind w:right="174"/>
              <w:jc w:val="center"/>
              <w:rPr>
                <w:bCs/>
                <w:szCs w:val="24"/>
                <w:lang w:val="zh-CN"/>
              </w:rPr>
            </w:pPr>
            <w:r>
              <w:rPr>
                <w:bCs/>
                <w:szCs w:val="24"/>
              </w:rPr>
              <w:t>13</w:t>
            </w:r>
          </w:p>
        </w:tc>
        <w:tc>
          <w:tcPr>
            <w:tcW w:w="709" w:type="dxa"/>
            <w:tcBorders>
              <w:right w:val="single" w:color="auto" w:sz="4" w:space="0"/>
            </w:tcBorders>
            <w:shd w:val="clear" w:color="auto" w:fill="FFFFFF"/>
            <w:vAlign w:val="center"/>
          </w:tcPr>
          <w:p>
            <w:pPr>
              <w:pStyle w:val="44"/>
              <w:spacing w:line="288" w:lineRule="auto"/>
              <w:ind w:right="174"/>
              <w:jc w:val="center"/>
              <w:rPr>
                <w:bCs/>
                <w:szCs w:val="24"/>
                <w:lang w:val="zh-CN"/>
              </w:rPr>
            </w:pPr>
            <w:r>
              <w:rPr>
                <w:rFonts w:hint="eastAsia"/>
                <w:bCs/>
                <w:szCs w:val="24"/>
                <w:lang w:val="zh-CN"/>
              </w:rPr>
              <w:t>组</w:t>
            </w:r>
          </w:p>
        </w:tc>
        <w:tc>
          <w:tcPr>
            <w:tcW w:w="5245" w:type="dxa"/>
            <w:tcBorders>
              <w:left w:val="single" w:color="auto" w:sz="4" w:space="0"/>
            </w:tcBorders>
            <w:shd w:val="clear" w:color="auto" w:fill="FFFFFF"/>
            <w:vAlign w:val="center"/>
          </w:tcPr>
          <w:p>
            <w:pPr>
              <w:pStyle w:val="44"/>
              <w:spacing w:line="288" w:lineRule="auto"/>
              <w:ind w:right="174"/>
              <w:rPr>
                <w:bCs/>
                <w:szCs w:val="24"/>
                <w:lang w:val="zh-CN"/>
              </w:rPr>
            </w:pPr>
            <w:r>
              <w:rPr>
                <w:rFonts w:hint="eastAsia"/>
                <w:bCs/>
                <w:szCs w:val="24"/>
                <w:lang w:val="zh-CN"/>
              </w:rPr>
              <w:t>推荐参加202</w:t>
            </w:r>
            <w:r>
              <w:rPr>
                <w:bCs/>
                <w:szCs w:val="24"/>
                <w:lang w:val="zh-CN"/>
              </w:rPr>
              <w:t>4</w:t>
            </w:r>
            <w:r>
              <w:rPr>
                <w:rFonts w:hint="eastAsia"/>
                <w:bCs/>
                <w:szCs w:val="24"/>
                <w:lang w:val="zh-CN"/>
              </w:rPr>
              <w:t>年全省教师教学能力大赛公共基础课程组、专业课程一组、专业课程二组共计1</w:t>
            </w:r>
            <w:r>
              <w:rPr>
                <w:bCs/>
                <w:szCs w:val="24"/>
                <w:lang w:val="zh-CN"/>
              </w:rPr>
              <w:t>3</w:t>
            </w:r>
            <w:r>
              <w:rPr>
                <w:rFonts w:hint="eastAsia"/>
                <w:bCs/>
                <w:szCs w:val="24"/>
                <w:lang w:val="zh-CN"/>
              </w:rPr>
              <w:t>组课程，1</w:t>
            </w:r>
            <w:r>
              <w:rPr>
                <w:bCs/>
                <w:szCs w:val="24"/>
                <w:lang w:val="zh-CN"/>
              </w:rPr>
              <w:t>3</w:t>
            </w:r>
            <w:r>
              <w:rPr>
                <w:rFonts w:hint="eastAsia"/>
                <w:bCs/>
                <w:szCs w:val="24"/>
                <w:lang w:val="zh-CN"/>
              </w:rPr>
              <w:t>组参赛课程均须符合“项目技术统一标准”（见表1）要求。</w:t>
            </w:r>
          </w:p>
        </w:tc>
      </w:tr>
    </w:tbl>
    <w:p>
      <w:pPr>
        <w:jc w:val="center"/>
        <w:rPr>
          <w:rFonts w:ascii="宋体" w:hAnsi="宋体" w:cs="宋体"/>
          <w:bCs/>
          <w:sz w:val="24"/>
          <w:lang w:val="zh-CN"/>
        </w:rPr>
      </w:pPr>
      <w:r>
        <w:rPr>
          <w:rFonts w:hint="eastAsia" w:ascii="宋体" w:hAnsi="宋体" w:cs="宋体"/>
          <w:bCs/>
          <w:sz w:val="24"/>
          <w:lang w:val="zh-CN"/>
        </w:rPr>
        <w:t>表1</w:t>
      </w:r>
      <w:r>
        <w:rPr>
          <w:rFonts w:ascii="宋体" w:hAnsi="宋体" w:cs="宋体"/>
          <w:bCs/>
          <w:sz w:val="24"/>
          <w:lang w:val="zh-CN"/>
        </w:rPr>
        <w:t xml:space="preserve"> </w:t>
      </w:r>
      <w:r>
        <w:rPr>
          <w:rFonts w:hint="eastAsia" w:ascii="宋体" w:hAnsi="宋体" w:cs="宋体"/>
          <w:bCs/>
          <w:sz w:val="24"/>
          <w:lang w:val="zh-CN"/>
        </w:rPr>
        <w:t>项目技术统一标准</w:t>
      </w:r>
    </w:p>
    <w:tbl>
      <w:tblPr>
        <w:tblStyle w:val="20"/>
        <w:tblW w:w="507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5"/>
        <w:gridCol w:w="1436"/>
        <w:gridCol w:w="73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pct"/>
            <w:vAlign w:val="center"/>
          </w:tcPr>
          <w:p>
            <w:pPr>
              <w:pStyle w:val="10"/>
              <w:snapToGrid w:val="0"/>
              <w:spacing w:line="360" w:lineRule="auto"/>
              <w:jc w:val="center"/>
              <w:rPr>
                <w:rFonts w:hAnsi="宋体" w:cs="宋体"/>
                <w:b/>
                <w:bCs/>
                <w:sz w:val="24"/>
                <w:szCs w:val="24"/>
              </w:rPr>
            </w:pPr>
            <w:r>
              <w:rPr>
                <w:rFonts w:hint="eastAsia" w:hAnsi="宋体" w:cs="宋体"/>
                <w:b/>
                <w:bCs/>
                <w:sz w:val="24"/>
                <w:szCs w:val="24"/>
              </w:rPr>
              <w:t>序号</w:t>
            </w:r>
          </w:p>
        </w:tc>
        <w:tc>
          <w:tcPr>
            <w:tcW w:w="747" w:type="pct"/>
            <w:vAlign w:val="center"/>
          </w:tcPr>
          <w:p>
            <w:pPr>
              <w:pStyle w:val="10"/>
              <w:snapToGrid w:val="0"/>
              <w:spacing w:line="360" w:lineRule="auto"/>
              <w:jc w:val="center"/>
              <w:rPr>
                <w:rFonts w:hAnsi="宋体" w:cs="宋体"/>
                <w:b/>
                <w:bCs/>
                <w:sz w:val="24"/>
                <w:szCs w:val="24"/>
              </w:rPr>
            </w:pPr>
            <w:r>
              <w:rPr>
                <w:rFonts w:hint="eastAsia" w:hAnsi="宋体" w:cs="宋体"/>
                <w:b/>
                <w:bCs/>
                <w:sz w:val="24"/>
                <w:szCs w:val="24"/>
              </w:rPr>
              <w:t>名称</w:t>
            </w:r>
          </w:p>
        </w:tc>
        <w:tc>
          <w:tcPr>
            <w:tcW w:w="3827" w:type="pct"/>
            <w:vAlign w:val="center"/>
          </w:tcPr>
          <w:p>
            <w:pPr>
              <w:pStyle w:val="10"/>
              <w:snapToGrid w:val="0"/>
              <w:spacing w:line="360" w:lineRule="auto"/>
              <w:jc w:val="center"/>
              <w:rPr>
                <w:rFonts w:hAnsi="宋体" w:cs="宋体"/>
                <w:b/>
                <w:bCs/>
                <w:sz w:val="24"/>
                <w:szCs w:val="24"/>
              </w:rPr>
            </w:pPr>
            <w:r>
              <w:rPr>
                <w:rFonts w:hint="eastAsia" w:hAnsi="宋体" w:cs="宋体"/>
                <w:b/>
                <w:bCs/>
                <w:sz w:val="24"/>
                <w:szCs w:val="24"/>
              </w:rPr>
              <w:t>技术参数与规格型号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pct"/>
            <w:vAlign w:val="center"/>
          </w:tcPr>
          <w:p>
            <w:pPr>
              <w:pStyle w:val="10"/>
              <w:snapToGrid w:val="0"/>
              <w:spacing w:line="360" w:lineRule="auto"/>
              <w:jc w:val="center"/>
              <w:rPr>
                <w:rFonts w:hAnsi="宋体" w:cs="宋体"/>
                <w:bCs/>
              </w:rPr>
            </w:pPr>
            <w:r>
              <w:rPr>
                <w:rFonts w:hint="eastAsia" w:hAnsi="宋体" w:cs="宋体"/>
                <w:bCs/>
              </w:rPr>
              <w:t>1</w:t>
            </w:r>
          </w:p>
        </w:tc>
        <w:tc>
          <w:tcPr>
            <w:tcW w:w="747" w:type="pct"/>
            <w:vAlign w:val="center"/>
          </w:tcPr>
          <w:p>
            <w:pPr>
              <w:pStyle w:val="10"/>
              <w:snapToGrid w:val="0"/>
              <w:spacing w:line="360" w:lineRule="auto"/>
              <w:jc w:val="center"/>
              <w:rPr>
                <w:rFonts w:hAnsi="宋体" w:cs="宋体"/>
                <w:bCs/>
              </w:rPr>
            </w:pPr>
            <w:r>
              <w:t>服务要求</w:t>
            </w:r>
          </w:p>
        </w:tc>
        <w:tc>
          <w:tcPr>
            <w:tcW w:w="3827" w:type="pct"/>
            <w:vAlign w:val="center"/>
          </w:tcPr>
          <w:p>
            <w:pPr>
              <w:pStyle w:val="44"/>
              <w:spacing w:line="288" w:lineRule="auto"/>
              <w:ind w:leftChars="-61" w:right="174" w:hanging="128" w:hangingChars="61"/>
              <w:jc w:val="left"/>
              <w:rPr>
                <w:bCs/>
                <w:szCs w:val="24"/>
                <w:lang w:val="zh-CN"/>
              </w:rPr>
            </w:pPr>
            <w:r>
              <w:rPr>
                <w:rFonts w:hint="eastAsia"/>
                <w:bCs/>
                <w:szCs w:val="24"/>
                <w:lang w:val="zh-CN"/>
              </w:rPr>
              <w:t>服务事项：</w:t>
            </w:r>
          </w:p>
          <w:p>
            <w:pPr>
              <w:pStyle w:val="44"/>
              <w:spacing w:line="288" w:lineRule="auto"/>
              <w:ind w:leftChars="-61" w:right="174" w:hanging="128" w:hangingChars="61"/>
              <w:jc w:val="left"/>
              <w:rPr>
                <w:bCs/>
                <w:szCs w:val="24"/>
                <w:lang w:val="zh-CN"/>
              </w:rPr>
            </w:pPr>
            <w:r>
              <w:rPr>
                <w:rFonts w:hint="eastAsia"/>
                <w:bCs/>
                <w:szCs w:val="24"/>
                <w:lang w:val="zh-CN"/>
              </w:rPr>
              <w:t>1.能对兰州职业技术学院参加202</w:t>
            </w:r>
            <w:r>
              <w:rPr>
                <w:bCs/>
                <w:szCs w:val="24"/>
              </w:rPr>
              <w:t>4</w:t>
            </w:r>
            <w:r>
              <w:rPr>
                <w:rFonts w:hint="eastAsia"/>
                <w:bCs/>
                <w:szCs w:val="24"/>
                <w:lang w:val="zh-CN"/>
              </w:rPr>
              <w:t>年全省及全国教师教学能力大赛进行培训、咨询、技术、服务等方面提供保障。</w:t>
            </w:r>
          </w:p>
          <w:p>
            <w:pPr>
              <w:pStyle w:val="44"/>
              <w:spacing w:line="288" w:lineRule="auto"/>
              <w:ind w:leftChars="-61" w:right="174" w:hanging="128" w:hangingChars="61"/>
              <w:jc w:val="left"/>
              <w:rPr>
                <w:bCs/>
                <w:szCs w:val="24"/>
                <w:lang w:val="zh-CN"/>
              </w:rPr>
            </w:pPr>
            <w:r>
              <w:rPr>
                <w:rFonts w:hint="eastAsia"/>
                <w:bCs/>
                <w:szCs w:val="24"/>
                <w:lang w:val="zh-CN"/>
              </w:rPr>
              <w:t>2.须具备本地化服务能力和贯彻始终的跟踪服务能力，从教学理念、教学设计、教学方法、教学实施、参赛作品建设等方面提供全方位的技术支持和服务。</w:t>
            </w:r>
          </w:p>
          <w:p>
            <w:pPr>
              <w:pStyle w:val="44"/>
              <w:spacing w:line="288" w:lineRule="auto"/>
              <w:ind w:leftChars="-61" w:right="174" w:hanging="128" w:hangingChars="61"/>
              <w:jc w:val="left"/>
              <w:rPr>
                <w:bCs/>
                <w:szCs w:val="24"/>
                <w:lang w:val="zh-CN"/>
              </w:rPr>
            </w:pPr>
            <w:r>
              <w:rPr>
                <w:rFonts w:hint="eastAsia"/>
                <w:bCs/>
                <w:szCs w:val="24"/>
                <w:lang w:val="zh-CN"/>
              </w:rPr>
              <w:t>3.对教师教学能力有显著提升，使教师具有获得全省及全国教学能力大赛优异成绩的能力。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pct"/>
            <w:vAlign w:val="center"/>
          </w:tcPr>
          <w:p>
            <w:pPr>
              <w:pStyle w:val="10"/>
              <w:snapToGrid w:val="0"/>
              <w:spacing w:line="360" w:lineRule="auto"/>
              <w:jc w:val="center"/>
              <w:rPr>
                <w:rFonts w:hAnsi="宋体" w:cs="宋体"/>
                <w:bCs/>
              </w:rPr>
            </w:pPr>
            <w:r>
              <w:rPr>
                <w:rFonts w:hint="eastAsia" w:hAnsi="宋体" w:cs="宋体"/>
                <w:bCs/>
              </w:rPr>
              <w:t>2</w:t>
            </w:r>
          </w:p>
        </w:tc>
        <w:tc>
          <w:tcPr>
            <w:tcW w:w="747" w:type="pct"/>
            <w:vAlign w:val="center"/>
          </w:tcPr>
          <w:p>
            <w:pPr>
              <w:pStyle w:val="10"/>
              <w:snapToGrid w:val="0"/>
              <w:spacing w:line="360" w:lineRule="auto"/>
              <w:jc w:val="center"/>
              <w:rPr>
                <w:rFonts w:hAnsi="宋体" w:cs="宋体"/>
              </w:rPr>
            </w:pPr>
            <w:r>
              <w:t>技术要求</w:t>
            </w:r>
          </w:p>
        </w:tc>
        <w:tc>
          <w:tcPr>
            <w:tcW w:w="3827" w:type="pct"/>
            <w:vAlign w:val="center"/>
          </w:tcPr>
          <w:p>
            <w:pPr>
              <w:pStyle w:val="44"/>
              <w:spacing w:line="288" w:lineRule="auto"/>
              <w:ind w:leftChars="-61" w:right="174" w:hanging="128" w:hangingChars="61"/>
              <w:jc w:val="left"/>
              <w:rPr>
                <w:bCs/>
                <w:szCs w:val="24"/>
                <w:lang w:val="zh-CN"/>
              </w:rPr>
            </w:pPr>
            <w:r>
              <w:rPr>
                <w:rFonts w:hint="eastAsia"/>
                <w:bCs/>
                <w:szCs w:val="24"/>
                <w:lang w:val="zh-CN"/>
              </w:rPr>
              <w:t>1.根据教师教学设计和实施报告中的问题和不足，要求由资深全国教师教学能力大赛专家进行赛前指导不少于2次。</w:t>
            </w:r>
          </w:p>
          <w:p>
            <w:pPr>
              <w:pStyle w:val="44"/>
              <w:spacing w:line="288" w:lineRule="auto"/>
              <w:ind w:leftChars="-61" w:right="174" w:hanging="128" w:hangingChars="61"/>
              <w:jc w:val="left"/>
              <w:rPr>
                <w:bCs/>
                <w:szCs w:val="24"/>
                <w:lang w:val="zh-CN"/>
              </w:rPr>
            </w:pPr>
            <w:r>
              <w:rPr>
                <w:rFonts w:hint="eastAsia"/>
                <w:bCs/>
                <w:szCs w:val="24"/>
                <w:lang w:val="zh-CN"/>
              </w:rPr>
              <w:t>2.解读政策变化，</w:t>
            </w:r>
            <w:r>
              <w:rPr>
                <w:bCs/>
                <w:szCs w:val="24"/>
                <w:lang w:val="zh-CN"/>
              </w:rPr>
              <w:t>帮老师构思和设计自己的教学设计</w:t>
            </w:r>
            <w:r>
              <w:rPr>
                <w:rFonts w:hint="eastAsia"/>
                <w:bCs/>
                <w:szCs w:val="24"/>
                <w:lang w:val="zh-CN"/>
              </w:rPr>
              <w:t>，</w:t>
            </w:r>
            <w:r>
              <w:rPr>
                <w:bCs/>
                <w:szCs w:val="24"/>
                <w:lang w:val="zh-CN"/>
              </w:rPr>
              <w:t>贯穿项目全程，包括培训前的学习资源发放；培训中的案例解析与参考，</w:t>
            </w:r>
            <w:r>
              <w:rPr>
                <w:rFonts w:hint="eastAsia"/>
                <w:bCs/>
                <w:szCs w:val="24"/>
                <w:lang w:val="zh-CN"/>
              </w:rPr>
              <w:t>问题反馈、修改，</w:t>
            </w:r>
            <w:r>
              <w:rPr>
                <w:bCs/>
                <w:szCs w:val="24"/>
                <w:lang w:val="zh-CN"/>
              </w:rPr>
              <w:t>培训后的答疑和作品评审和修改；培训全程由专家团队解答老师疑问，指导老师</w:t>
            </w:r>
            <w:r>
              <w:rPr>
                <w:rFonts w:hint="eastAsia"/>
                <w:bCs/>
                <w:szCs w:val="24"/>
                <w:lang w:val="zh-CN"/>
              </w:rPr>
              <w:t>进行教学设计和实施报告的调整，</w:t>
            </w:r>
            <w:r>
              <w:rPr>
                <w:bCs/>
                <w:szCs w:val="24"/>
                <w:lang w:val="zh-CN"/>
              </w:rPr>
              <w:t>对作品进一步完善。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pct"/>
            <w:vAlign w:val="center"/>
          </w:tcPr>
          <w:p>
            <w:pPr>
              <w:pStyle w:val="10"/>
              <w:snapToGrid w:val="0"/>
              <w:spacing w:line="360" w:lineRule="auto"/>
              <w:jc w:val="center"/>
              <w:rPr>
                <w:rFonts w:hAnsi="宋体" w:cs="宋体"/>
                <w:bCs/>
              </w:rPr>
            </w:pPr>
            <w:r>
              <w:rPr>
                <w:rFonts w:hAnsi="宋体" w:cs="宋体"/>
                <w:bCs/>
              </w:rPr>
              <w:t>3</w:t>
            </w:r>
          </w:p>
        </w:tc>
        <w:tc>
          <w:tcPr>
            <w:tcW w:w="747" w:type="pct"/>
            <w:vAlign w:val="center"/>
          </w:tcPr>
          <w:p>
            <w:pPr>
              <w:pStyle w:val="10"/>
              <w:snapToGrid w:val="0"/>
              <w:spacing w:line="360" w:lineRule="auto"/>
              <w:jc w:val="center"/>
            </w:pPr>
            <w:r>
              <w:rPr>
                <w:rFonts w:hint="eastAsia"/>
              </w:rPr>
              <w:t>视频录制</w:t>
            </w:r>
          </w:p>
          <w:p>
            <w:pPr>
              <w:pStyle w:val="10"/>
              <w:snapToGrid w:val="0"/>
              <w:spacing w:line="360" w:lineRule="auto"/>
              <w:jc w:val="center"/>
              <w:rPr>
                <w:rFonts w:hAnsi="宋体" w:cs="宋体"/>
              </w:rPr>
            </w:pPr>
            <w:r>
              <w:rPr>
                <w:rFonts w:hint="eastAsia"/>
              </w:rPr>
              <w:t>要求</w:t>
            </w:r>
          </w:p>
        </w:tc>
        <w:tc>
          <w:tcPr>
            <w:tcW w:w="3827" w:type="pct"/>
            <w:vAlign w:val="center"/>
          </w:tcPr>
          <w:p>
            <w:pPr>
              <w:pStyle w:val="44"/>
              <w:spacing w:line="288" w:lineRule="auto"/>
              <w:ind w:leftChars="-61" w:right="174" w:hanging="128" w:hangingChars="61"/>
              <w:jc w:val="left"/>
              <w:rPr>
                <w:bCs/>
                <w:szCs w:val="24"/>
                <w:lang w:val="zh-CN"/>
              </w:rPr>
            </w:pPr>
            <w:r>
              <w:rPr>
                <w:rFonts w:hint="eastAsia"/>
                <w:bCs/>
                <w:szCs w:val="24"/>
                <w:lang w:val="zh-CN"/>
              </w:rPr>
              <w:t>1.</w:t>
            </w:r>
            <w:r>
              <w:rPr>
                <w:bCs/>
                <w:szCs w:val="24"/>
                <w:lang w:val="zh-CN"/>
              </w:rPr>
              <w:t>视频资源开发技术要求：</w:t>
            </w:r>
            <w:r>
              <w:rPr>
                <w:rFonts w:hint="eastAsia"/>
                <w:bCs/>
                <w:szCs w:val="24"/>
                <w:lang w:val="zh-CN"/>
              </w:rPr>
              <w:t>每组教学团队（4人）按照教学设计实施课堂教学（或专周实习实训、岗位实习教学），每人录制 1 学时（具体时长与教案中的学时安排保持一致）的课堂教学视频。课堂教学应在实际教学场所，班级全体学生参加（实施分班教学需有说明）。课堂教学视频应呈现课程属性特质、反映团队成员教学风格。专业课程二组至少有 2 个视频呈现教师实操演示与教学指导。</w:t>
            </w:r>
          </w:p>
          <w:p>
            <w:pPr>
              <w:pStyle w:val="44"/>
              <w:spacing w:line="288" w:lineRule="auto"/>
              <w:ind w:leftChars="-61" w:right="174" w:hanging="128" w:hangingChars="61"/>
              <w:jc w:val="left"/>
              <w:rPr>
                <w:rFonts w:hint="eastAsia"/>
                <w:bCs/>
                <w:szCs w:val="24"/>
                <w:lang w:val="zh-CN"/>
              </w:rPr>
            </w:pPr>
            <w:r>
              <w:rPr>
                <w:rFonts w:hint="eastAsia"/>
                <w:bCs/>
                <w:szCs w:val="24"/>
                <w:lang w:val="zh-CN"/>
              </w:rPr>
              <w:t>2.</w:t>
            </w:r>
            <w:r>
              <w:rPr>
                <w:bCs/>
                <w:szCs w:val="24"/>
                <w:lang w:val="zh-CN"/>
              </w:rPr>
              <w:t>录制要求</w:t>
            </w:r>
            <w:r>
              <w:rPr>
                <w:rFonts w:hint="eastAsia"/>
                <w:bCs/>
                <w:szCs w:val="24"/>
                <w:lang w:val="zh-CN"/>
              </w:rPr>
              <w:t>：课堂实录视频须采用 3 机位全程连续录制，镜头固定，其中一个机位对准黑板和屏幕，另两个机位根据教学实际固定镜头位置，须覆盖教室全景（1 学时教学需要两个教学场所的，每个教学场所均须安放固定镜头，机位总数为 3 个）。3 机位须同步录制，保证音视频准确同步。录课过程中拍摄及其他人员不在场，提交的视频从拍摄人员离场开始到拍摄人员停机为止（1 学时之外的录制时长不超过 2 分钟）。所有机位拍摄的视频须保证音轨连续，不另行剪辑及配音，不加片头片尾、字幕注解。视频采用MP4 格式封装，单个视频文件大小不超过 500M。每段视频文件以“教案序号+第几学时+教案页码+教学环节名称”来命名（其中教案页码以教案 PDF 文件顶部显示的页码为准），含教师实操演示与教学指导的视频文件以“教案序号+第几学时+教案页码+教学环节名称+实操起始时间 n'm" -实操结束时间 n'm" ”来命名（实操起止时间可以多段，用“+”连接）。视频录制采用 H.264/AVC 编码格式压缩，动态比特率（码流）不低于 1024Kbps，分辨率设定为 1280*720，采用逐行扫描，帧速率为 25 帧/秒。音频采用 AAC 格式压缩，采样率 48KHz，比特率（码流）128Kbps(恒定)。</w:t>
            </w:r>
          </w:p>
          <w:p>
            <w:pPr>
              <w:pStyle w:val="44"/>
              <w:spacing w:line="288" w:lineRule="auto"/>
              <w:ind w:leftChars="-61" w:right="174" w:hanging="128" w:hangingChars="61"/>
              <w:jc w:val="left"/>
              <w:rPr>
                <w:bCs/>
                <w:szCs w:val="24"/>
                <w:lang w:val="zh-CN"/>
              </w:rPr>
            </w:pPr>
            <w:r>
              <w:rPr>
                <w:rFonts w:hint="eastAsia"/>
                <w:bCs/>
                <w:szCs w:val="24"/>
                <w:lang w:val="zh-CN"/>
              </w:rPr>
              <w:t>3.</w:t>
            </w:r>
            <w:r>
              <w:rPr>
                <w:bCs/>
                <w:szCs w:val="24"/>
                <w:lang w:val="zh-CN"/>
              </w:rPr>
              <w:t>后期制作</w:t>
            </w:r>
            <w:r>
              <w:rPr>
                <w:rFonts w:hint="eastAsia"/>
                <w:bCs/>
                <w:szCs w:val="24"/>
                <w:lang w:val="zh-CN"/>
              </w:rPr>
              <w:t>：</w:t>
            </w:r>
            <w:r>
              <w:rPr>
                <w:bCs/>
                <w:szCs w:val="24"/>
                <w:lang w:val="zh-CN"/>
              </w:rPr>
              <w:t>使用专业的非线性编辑系统EDIUS对源音视频进行最基本的处理（如颜色校正、双声道处理）。TMPGEncVideo视频编辑系统进行视频降噪、音频降噪，以保证满足教育部对视频画面的严格要求，具体技术指标要求如下：视频信号源</w:t>
            </w:r>
            <w:r>
              <w:rPr>
                <w:rFonts w:hint="eastAsia"/>
                <w:bCs/>
                <w:szCs w:val="24"/>
                <w:lang w:val="zh-CN"/>
              </w:rPr>
              <w:t>：</w:t>
            </w:r>
            <w:r>
              <w:rPr>
                <w:bCs/>
                <w:szCs w:val="24"/>
                <w:lang w:val="zh-CN"/>
              </w:rPr>
              <w:fldChar w:fldCharType="begin"/>
            </w:r>
            <w:r>
              <w:rPr>
                <w:bCs/>
                <w:szCs w:val="24"/>
                <w:lang w:val="zh-CN"/>
              </w:rPr>
              <w:instrText xml:space="preserve"> </w:instrText>
            </w:r>
            <w:r>
              <w:rPr>
                <w:rFonts w:hint="eastAsia"/>
                <w:bCs/>
                <w:szCs w:val="24"/>
                <w:lang w:val="zh-CN"/>
              </w:rPr>
              <w:instrText xml:space="preserve">= 1 \* GB3</w:instrText>
            </w:r>
            <w:r>
              <w:rPr>
                <w:bCs/>
                <w:szCs w:val="24"/>
                <w:lang w:val="zh-CN"/>
              </w:rPr>
              <w:instrText xml:space="preserve"> </w:instrText>
            </w:r>
            <w:r>
              <w:rPr>
                <w:bCs/>
                <w:szCs w:val="24"/>
                <w:lang w:val="zh-CN"/>
              </w:rPr>
              <w:fldChar w:fldCharType="separate"/>
            </w:r>
            <w:r>
              <w:rPr>
                <w:rFonts w:hint="eastAsia"/>
                <w:bCs/>
                <w:szCs w:val="24"/>
                <w:lang w:val="zh-CN"/>
              </w:rPr>
              <w:t>①</w:t>
            </w:r>
            <w:r>
              <w:rPr>
                <w:bCs/>
                <w:szCs w:val="24"/>
                <w:lang w:val="zh-CN"/>
              </w:rPr>
              <w:fldChar w:fldCharType="end"/>
            </w:r>
            <w:r>
              <w:rPr>
                <w:bCs/>
                <w:szCs w:val="24"/>
                <w:lang w:val="zh-CN"/>
              </w:rPr>
              <w:t>稳定性：全片图像同步性能稳定，无失步现象，CTL同步控制信号连续；图像无抖动跳跃，色彩无突变，编辑点处图像稳定。信噪比：图像信噪比不低于55dB，无明显杂波。</w:t>
            </w:r>
            <w:r>
              <w:rPr>
                <w:bCs/>
                <w:szCs w:val="24"/>
                <w:lang w:val="zh-CN"/>
              </w:rPr>
              <w:fldChar w:fldCharType="begin"/>
            </w:r>
            <w:r>
              <w:rPr>
                <w:bCs/>
                <w:szCs w:val="24"/>
                <w:lang w:val="zh-CN"/>
              </w:rPr>
              <w:instrText xml:space="preserve"> </w:instrText>
            </w:r>
            <w:r>
              <w:rPr>
                <w:rFonts w:hint="eastAsia"/>
                <w:bCs/>
                <w:szCs w:val="24"/>
                <w:lang w:val="zh-CN"/>
              </w:rPr>
              <w:instrText xml:space="preserve">= 2 \* GB3</w:instrText>
            </w:r>
            <w:r>
              <w:rPr>
                <w:bCs/>
                <w:szCs w:val="24"/>
                <w:lang w:val="zh-CN"/>
              </w:rPr>
              <w:instrText xml:space="preserve"> </w:instrText>
            </w:r>
            <w:r>
              <w:rPr>
                <w:bCs/>
                <w:szCs w:val="24"/>
                <w:lang w:val="zh-CN"/>
              </w:rPr>
              <w:fldChar w:fldCharType="separate"/>
            </w:r>
            <w:r>
              <w:rPr>
                <w:rFonts w:hint="eastAsia"/>
                <w:bCs/>
                <w:szCs w:val="24"/>
                <w:lang w:val="zh-CN"/>
              </w:rPr>
              <w:t>②</w:t>
            </w:r>
            <w:r>
              <w:rPr>
                <w:bCs/>
                <w:szCs w:val="24"/>
                <w:lang w:val="zh-CN"/>
              </w:rPr>
              <w:fldChar w:fldCharType="end"/>
            </w:r>
            <w:r>
              <w:rPr>
                <w:bCs/>
                <w:szCs w:val="24"/>
                <w:lang w:val="zh-CN"/>
              </w:rPr>
              <w:t>色调：白平衡正确，无明显偏色。</w:t>
            </w:r>
            <w:r>
              <w:rPr>
                <w:bCs/>
                <w:szCs w:val="24"/>
                <w:lang w:val="zh-CN"/>
              </w:rPr>
              <w:fldChar w:fldCharType="begin"/>
            </w:r>
            <w:r>
              <w:rPr>
                <w:bCs/>
                <w:szCs w:val="24"/>
                <w:lang w:val="zh-CN"/>
              </w:rPr>
              <w:instrText xml:space="preserve"> </w:instrText>
            </w:r>
            <w:r>
              <w:rPr>
                <w:rFonts w:hint="eastAsia"/>
                <w:bCs/>
                <w:szCs w:val="24"/>
                <w:lang w:val="zh-CN"/>
              </w:rPr>
              <w:instrText xml:space="preserve">= 3 \* GB3</w:instrText>
            </w:r>
            <w:r>
              <w:rPr>
                <w:bCs/>
                <w:szCs w:val="24"/>
                <w:lang w:val="zh-CN"/>
              </w:rPr>
              <w:instrText xml:space="preserve"> </w:instrText>
            </w:r>
            <w:r>
              <w:rPr>
                <w:bCs/>
                <w:szCs w:val="24"/>
                <w:lang w:val="zh-CN"/>
              </w:rPr>
              <w:fldChar w:fldCharType="separate"/>
            </w:r>
            <w:r>
              <w:rPr>
                <w:rFonts w:hint="eastAsia"/>
                <w:bCs/>
                <w:szCs w:val="24"/>
                <w:lang w:val="zh-CN"/>
              </w:rPr>
              <w:t>③</w:t>
            </w:r>
            <w:r>
              <w:rPr>
                <w:bCs/>
                <w:szCs w:val="24"/>
                <w:lang w:val="zh-CN"/>
              </w:rPr>
              <w:fldChar w:fldCharType="end"/>
            </w:r>
            <w:r>
              <w:rPr>
                <w:bCs/>
                <w:szCs w:val="24"/>
                <w:lang w:val="zh-CN"/>
              </w:rPr>
              <w:t>视频电平：视频全讯号幅度为1Ⅴp-p，最大不超过1.1Ⅴp-p。其中，消隐电平为0V时，白电平幅度0.7Ⅴp-p，同步信号-0.3V，色同步信号幅度0.3Vp-p(以消隐线上下对称)，全片一致。</w:t>
            </w:r>
            <w:r>
              <w:rPr>
                <w:bCs/>
                <w:szCs w:val="24"/>
                <w:lang w:val="zh-CN"/>
              </w:rPr>
              <w:fldChar w:fldCharType="begin"/>
            </w:r>
            <w:r>
              <w:rPr>
                <w:bCs/>
                <w:szCs w:val="24"/>
                <w:lang w:val="zh-CN"/>
              </w:rPr>
              <w:instrText xml:space="preserve"> </w:instrText>
            </w:r>
            <w:r>
              <w:rPr>
                <w:rFonts w:hint="eastAsia"/>
                <w:bCs/>
                <w:szCs w:val="24"/>
                <w:lang w:val="zh-CN"/>
              </w:rPr>
              <w:instrText xml:space="preserve">= 4 \* GB3</w:instrText>
            </w:r>
            <w:r>
              <w:rPr>
                <w:bCs/>
                <w:szCs w:val="24"/>
                <w:lang w:val="zh-CN"/>
              </w:rPr>
              <w:instrText xml:space="preserve"> </w:instrText>
            </w:r>
            <w:r>
              <w:rPr>
                <w:bCs/>
                <w:szCs w:val="24"/>
                <w:lang w:val="zh-CN"/>
              </w:rPr>
              <w:fldChar w:fldCharType="separate"/>
            </w:r>
            <w:r>
              <w:rPr>
                <w:rFonts w:hint="eastAsia"/>
                <w:bCs/>
                <w:szCs w:val="24"/>
                <w:lang w:val="zh-CN"/>
              </w:rPr>
              <w:t>④</w:t>
            </w:r>
            <w:r>
              <w:rPr>
                <w:bCs/>
                <w:szCs w:val="24"/>
                <w:lang w:val="zh-CN"/>
              </w:rPr>
              <w:fldChar w:fldCharType="end"/>
            </w:r>
            <w:r>
              <w:rPr>
                <w:bCs/>
                <w:szCs w:val="24"/>
                <w:lang w:val="zh-CN"/>
              </w:rPr>
              <w:t>音频信号源</w:t>
            </w:r>
            <w:r>
              <w:rPr>
                <w:rFonts w:hint="eastAsia"/>
                <w:bCs/>
                <w:szCs w:val="24"/>
                <w:lang w:val="zh-CN"/>
              </w:rPr>
              <w:t>，</w:t>
            </w:r>
            <w:r>
              <w:rPr>
                <w:bCs/>
                <w:szCs w:val="24"/>
                <w:lang w:val="zh-CN"/>
              </w:rPr>
              <w:t>声道：中文内容音频信号记录于第1声道，音乐、音效、同期声记录于第2声道，若有其他文字解说记录于第3声道（如录音设备无第3声道，则录于第2声道）。电平指标：-2db—-8db声音应无明显失真、放音过冲、过弱。音频信噪比不低于48db。声音和画面要求同步，无交流声或其他杂音等缺陷</w:t>
            </w:r>
            <w:r>
              <w:rPr>
                <w:rFonts w:hint="eastAsia"/>
                <w:bCs/>
                <w:szCs w:val="24"/>
                <w:lang w:val="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pct"/>
            <w:vAlign w:val="center"/>
          </w:tcPr>
          <w:p>
            <w:pPr>
              <w:pStyle w:val="10"/>
              <w:snapToGrid w:val="0"/>
              <w:spacing w:line="360" w:lineRule="auto"/>
              <w:jc w:val="center"/>
              <w:rPr>
                <w:rFonts w:hAnsi="宋体" w:cs="宋体"/>
                <w:bCs/>
              </w:rPr>
            </w:pPr>
            <w:r>
              <w:rPr>
                <w:rFonts w:hAnsi="宋体" w:cs="宋体"/>
                <w:bCs/>
              </w:rPr>
              <w:t>4</w:t>
            </w:r>
          </w:p>
        </w:tc>
        <w:tc>
          <w:tcPr>
            <w:tcW w:w="747" w:type="pct"/>
            <w:vAlign w:val="center"/>
          </w:tcPr>
          <w:p>
            <w:pPr>
              <w:pStyle w:val="10"/>
              <w:snapToGrid w:val="0"/>
              <w:spacing w:line="360" w:lineRule="auto"/>
              <w:jc w:val="center"/>
              <w:rPr>
                <w:rFonts w:hAnsi="宋体" w:cs="宋体"/>
              </w:rPr>
            </w:pPr>
            <w:r>
              <w:t>跟踪</w:t>
            </w:r>
            <w:r>
              <w:rPr>
                <w:rFonts w:hint="eastAsia"/>
              </w:rPr>
              <w:t>及售后服务承诺</w:t>
            </w:r>
          </w:p>
        </w:tc>
        <w:tc>
          <w:tcPr>
            <w:tcW w:w="3827" w:type="pct"/>
            <w:vAlign w:val="center"/>
          </w:tcPr>
          <w:p>
            <w:pPr>
              <w:pStyle w:val="44"/>
              <w:spacing w:line="288" w:lineRule="auto"/>
              <w:ind w:left="-129" w:leftChars="-62" w:right="174" w:hanging="1"/>
              <w:jc w:val="left"/>
              <w:rPr>
                <w:bCs/>
                <w:szCs w:val="24"/>
                <w:lang w:val="zh-CN"/>
              </w:rPr>
            </w:pPr>
            <w:r>
              <w:rPr>
                <w:rFonts w:hint="eastAsia"/>
                <w:bCs/>
                <w:szCs w:val="24"/>
                <w:lang w:val="zh-CN"/>
              </w:rPr>
              <w:t>1.提供跟踪服务方案，方案须涉及以下内容：</w:t>
            </w:r>
          </w:p>
          <w:p>
            <w:pPr>
              <w:pStyle w:val="44"/>
              <w:spacing w:line="288" w:lineRule="auto"/>
              <w:ind w:left="-129" w:leftChars="-62" w:right="174" w:hanging="1"/>
              <w:jc w:val="left"/>
              <w:rPr>
                <w:bCs/>
                <w:szCs w:val="24"/>
                <w:lang w:val="zh-CN"/>
              </w:rPr>
            </w:pPr>
            <w:r>
              <w:rPr>
                <w:bCs/>
                <w:szCs w:val="24"/>
                <w:lang w:val="zh-CN"/>
              </w:rPr>
              <w:t>每个作品配备一名</w:t>
            </w:r>
            <w:r>
              <w:rPr>
                <w:rFonts w:hint="eastAsia"/>
                <w:bCs/>
                <w:szCs w:val="24"/>
                <w:lang w:val="zh-CN"/>
              </w:rPr>
              <w:t>服务</w:t>
            </w:r>
            <w:r>
              <w:rPr>
                <w:bCs/>
                <w:szCs w:val="24"/>
                <w:lang w:val="zh-CN"/>
              </w:rPr>
              <w:t>人员全程跟踪对接相关工作：跟老师沟通需要准备哪些材料、协助老师进行作品脚本的设计、拍摄环境的选择、拍摄过程中的记录、工作用餐、学生统一着装等，具体分工如下：</w:t>
            </w:r>
          </w:p>
          <w:p>
            <w:pPr>
              <w:pStyle w:val="44"/>
              <w:spacing w:line="288" w:lineRule="auto"/>
              <w:ind w:left="-129" w:leftChars="-62" w:right="174" w:hanging="1"/>
              <w:jc w:val="left"/>
              <w:rPr>
                <w:bCs/>
                <w:szCs w:val="24"/>
                <w:lang w:val="zh-CN"/>
              </w:rPr>
            </w:pPr>
            <w:r>
              <w:rPr>
                <w:bCs/>
                <w:szCs w:val="24"/>
                <w:lang w:val="zh-CN"/>
              </w:rPr>
              <w:t>教</w:t>
            </w:r>
            <w:r>
              <w:rPr>
                <w:rFonts w:hint="eastAsia"/>
                <w:bCs/>
                <w:szCs w:val="24"/>
                <w:lang w:val="zh-CN"/>
              </w:rPr>
              <w:t>师内</w:t>
            </w:r>
            <w:r>
              <w:rPr>
                <w:bCs/>
                <w:szCs w:val="24"/>
                <w:lang w:val="zh-CN"/>
              </w:rPr>
              <w:t>容组织按参赛选题进行教学设计、提出教学过程中所学要的资源，搜集现有材料给编辑人员。责任编导全程把控收集资料，整体把控，资源可用</w:t>
            </w:r>
            <w:r>
              <w:rPr>
                <w:rFonts w:hint="eastAsia"/>
                <w:bCs/>
                <w:szCs w:val="24"/>
                <w:lang w:val="zh-CN"/>
              </w:rPr>
              <w:t>。</w:t>
            </w:r>
            <w:r>
              <w:rPr>
                <w:bCs/>
                <w:szCs w:val="24"/>
                <w:lang w:val="zh-CN"/>
              </w:rPr>
              <w:t>作品设计根据教师提供的离散化知识体系形成原始脚本，供教师二次开发使用将教师二次开发后的脚本所有步骤细节化</w:t>
            </w:r>
            <w:r>
              <w:rPr>
                <w:rFonts w:hint="eastAsia"/>
                <w:bCs/>
                <w:szCs w:val="24"/>
                <w:lang w:val="zh-CN"/>
              </w:rPr>
              <w:t>。</w:t>
            </w:r>
            <w:r>
              <w:rPr>
                <w:bCs/>
                <w:szCs w:val="24"/>
                <w:lang w:val="zh-CN"/>
              </w:rPr>
              <w:t>设计编导风格特效根据课程布置灯光舞台、化妆、设计实现课程风格</w:t>
            </w:r>
            <w:r>
              <w:rPr>
                <w:rFonts w:hint="eastAsia"/>
                <w:bCs/>
                <w:szCs w:val="24"/>
                <w:lang w:val="zh-CN"/>
              </w:rPr>
              <w:t>。</w:t>
            </w:r>
            <w:r>
              <w:rPr>
                <w:bCs/>
                <w:szCs w:val="24"/>
                <w:lang w:val="zh-CN"/>
              </w:rPr>
              <w:t>摄像视频拍摄根据脚本及编导要求进行拍摄</w:t>
            </w:r>
            <w:r>
              <w:rPr>
                <w:rFonts w:hint="eastAsia"/>
                <w:bCs/>
                <w:szCs w:val="24"/>
                <w:lang w:val="zh-CN"/>
              </w:rPr>
              <w:t>。</w:t>
            </w:r>
            <w:r>
              <w:rPr>
                <w:bCs/>
                <w:szCs w:val="24"/>
                <w:lang w:val="zh-CN"/>
              </w:rPr>
              <w:t>后期制作课程设计根据脚本和编导的要求进行视频制作、富媒体资源的再加工</w:t>
            </w:r>
            <w:r>
              <w:rPr>
                <w:rFonts w:hint="eastAsia"/>
                <w:bCs/>
                <w:szCs w:val="24"/>
                <w:lang w:val="zh-CN"/>
              </w:rPr>
              <w:t>。</w:t>
            </w:r>
            <w:r>
              <w:rPr>
                <w:bCs/>
                <w:szCs w:val="24"/>
                <w:lang w:val="zh-CN"/>
              </w:rPr>
              <w:t>视频剪辑编导对制作完成好的内容统一审核</w:t>
            </w:r>
            <w:r>
              <w:rPr>
                <w:rFonts w:hint="eastAsia"/>
                <w:bCs/>
                <w:szCs w:val="24"/>
                <w:lang w:val="zh-CN"/>
              </w:rPr>
              <w:t>。</w:t>
            </w:r>
            <w:r>
              <w:rPr>
                <w:bCs/>
                <w:szCs w:val="24"/>
                <w:lang w:val="zh-CN"/>
              </w:rPr>
              <w:t>格式转换 编辑根据老师的意见修改形成成片</w:t>
            </w:r>
            <w:r>
              <w:rPr>
                <w:rFonts w:hint="eastAsia"/>
                <w:bCs/>
                <w:szCs w:val="24"/>
                <w:lang w:val="zh-CN"/>
              </w:rPr>
              <w:t>。</w:t>
            </w:r>
            <w:r>
              <w:rPr>
                <w:bCs/>
                <w:szCs w:val="24"/>
                <w:lang w:val="zh-CN"/>
              </w:rPr>
              <w:t>作品上线 编辑将视频和富媒体资源进行美化排版上线</w:t>
            </w:r>
            <w:r>
              <w:rPr>
                <w:rFonts w:hint="eastAsia"/>
                <w:bCs/>
                <w:szCs w:val="24"/>
                <w:lang w:val="zh-CN"/>
              </w:rPr>
              <w:t>。</w:t>
            </w:r>
            <w:r>
              <w:rPr>
                <w:bCs/>
                <w:szCs w:val="24"/>
                <w:lang w:val="zh-CN"/>
              </w:rPr>
              <w:t>运行编导作品运行辅助教师使用平台运行课程，导入名单、设置教学入名单、设置教学分析、移动教学开展智慧课堂等教学任务</w:t>
            </w:r>
            <w:r>
              <w:rPr>
                <w:rFonts w:hint="eastAsia"/>
                <w:bCs/>
                <w:szCs w:val="24"/>
                <w:lang w:val="zh-CN"/>
              </w:rPr>
              <w:t>。</w:t>
            </w:r>
          </w:p>
          <w:p>
            <w:pPr>
              <w:pStyle w:val="44"/>
              <w:spacing w:line="288" w:lineRule="auto"/>
              <w:ind w:left="-130" w:leftChars="-62" w:right="174" w:firstLine="1"/>
              <w:jc w:val="left"/>
              <w:rPr>
                <w:bCs/>
                <w:szCs w:val="24"/>
                <w:lang w:val="zh-CN"/>
              </w:rPr>
            </w:pPr>
            <w:r>
              <w:rPr>
                <w:rFonts w:hint="eastAsia"/>
                <w:bCs/>
                <w:szCs w:val="24"/>
                <w:lang w:val="zh-CN"/>
              </w:rPr>
              <w:t>2.提供售后服务及承诺方案，方案详细、系统，满足服务教学能力大赛得要求、须涉及以下内容：明确项目技术支持人员，故障处理时限，现场服务条件及到位时间等信息。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pct"/>
            <w:vAlign w:val="center"/>
          </w:tcPr>
          <w:p>
            <w:pPr>
              <w:pStyle w:val="10"/>
              <w:snapToGrid w:val="0"/>
              <w:spacing w:line="360" w:lineRule="auto"/>
              <w:jc w:val="center"/>
              <w:rPr>
                <w:rFonts w:hAnsi="宋体" w:cs="宋体"/>
                <w:bCs/>
              </w:rPr>
            </w:pPr>
            <w:r>
              <w:rPr>
                <w:rFonts w:hAnsi="宋体" w:cs="宋体"/>
                <w:bCs/>
              </w:rPr>
              <w:t>5</w:t>
            </w:r>
          </w:p>
        </w:tc>
        <w:tc>
          <w:tcPr>
            <w:tcW w:w="747" w:type="pct"/>
            <w:vAlign w:val="center"/>
          </w:tcPr>
          <w:p>
            <w:pPr>
              <w:pStyle w:val="44"/>
              <w:spacing w:before="10"/>
              <w:ind w:firstLine="742"/>
              <w:jc w:val="center"/>
              <w:rPr>
                <w:rFonts w:ascii="微软雅黑"/>
                <w:b/>
                <w:szCs w:val="21"/>
              </w:rPr>
            </w:pPr>
          </w:p>
          <w:p>
            <w:pPr>
              <w:pStyle w:val="10"/>
              <w:snapToGrid w:val="0"/>
              <w:spacing w:line="360" w:lineRule="auto"/>
              <w:jc w:val="center"/>
              <w:rPr>
                <w:rFonts w:hAnsi="宋体" w:cs="宋体"/>
              </w:rPr>
            </w:pPr>
            <w:r>
              <w:rPr>
                <w:rFonts w:hint="eastAsia"/>
              </w:rPr>
              <w:t>平台技术</w:t>
            </w:r>
            <w:r>
              <w:t>要求</w:t>
            </w:r>
          </w:p>
        </w:tc>
        <w:tc>
          <w:tcPr>
            <w:tcW w:w="3827" w:type="pct"/>
            <w:vAlign w:val="center"/>
          </w:tcPr>
          <w:p>
            <w:pPr>
              <w:pStyle w:val="44"/>
              <w:spacing w:line="288" w:lineRule="auto"/>
              <w:ind w:leftChars="-61" w:right="174" w:hanging="128" w:hangingChars="61"/>
              <w:jc w:val="left"/>
              <w:rPr>
                <w:bCs/>
                <w:szCs w:val="24"/>
                <w:lang w:val="zh-CN"/>
              </w:rPr>
            </w:pPr>
            <w:r>
              <w:rPr>
                <w:rFonts w:hint="eastAsia"/>
                <w:bCs/>
                <w:szCs w:val="24"/>
                <w:lang w:val="zh-CN"/>
              </w:rPr>
              <w:t>需提供满足教师教学能力大赛需求的信息化教学平台，并配备独立的移动教学app，平台需具备以下核心功能：</w:t>
            </w:r>
          </w:p>
          <w:p>
            <w:pPr>
              <w:pStyle w:val="44"/>
              <w:spacing w:line="288" w:lineRule="auto"/>
              <w:ind w:leftChars="-61" w:right="174" w:hanging="128" w:hangingChars="61"/>
              <w:jc w:val="left"/>
              <w:rPr>
                <w:bCs/>
                <w:szCs w:val="24"/>
                <w:lang w:val="zh-CN"/>
              </w:rPr>
            </w:pPr>
            <w:r>
              <w:rPr>
                <w:rFonts w:hint="eastAsia"/>
                <w:bCs/>
                <w:szCs w:val="24"/>
                <w:lang w:val="zh-CN"/>
              </w:rPr>
              <w:t>1．教材教参：教师可以从备课资源库中查找并添加课程相关的教学参考书，推荐给学生，图书可以直接进行在线阅读。</w:t>
            </w:r>
          </w:p>
          <w:p>
            <w:pPr>
              <w:pStyle w:val="44"/>
              <w:spacing w:line="288" w:lineRule="auto"/>
              <w:ind w:leftChars="-61" w:right="174" w:hanging="128" w:hangingChars="61"/>
              <w:jc w:val="left"/>
              <w:rPr>
                <w:bCs/>
                <w:szCs w:val="24"/>
                <w:lang w:val="zh-CN"/>
              </w:rPr>
            </w:pPr>
            <w:r>
              <w:rPr>
                <w:rFonts w:hint="eastAsia"/>
                <w:bCs/>
                <w:szCs w:val="24"/>
                <w:lang w:val="zh-CN"/>
              </w:rPr>
              <w:t>2．推荐视频：教师可以从备课资源库中查找并添加课程相关的学术视频，推荐给学生直接进行在线观看。</w:t>
            </w:r>
          </w:p>
          <w:p>
            <w:pPr>
              <w:pStyle w:val="44"/>
              <w:spacing w:line="288" w:lineRule="auto"/>
              <w:ind w:leftChars="-61" w:right="174" w:hanging="128" w:hangingChars="61"/>
              <w:jc w:val="left"/>
              <w:rPr>
                <w:bCs/>
                <w:szCs w:val="24"/>
                <w:lang w:val="zh-CN"/>
              </w:rPr>
            </w:pPr>
            <w:r>
              <w:rPr>
                <w:rFonts w:hint="eastAsia"/>
                <w:bCs/>
                <w:szCs w:val="24"/>
                <w:lang w:val="zh-CN"/>
              </w:rPr>
              <w:t>3．支持视频中任意时间点插入测验：上传视频后，可以在任意时间点插入测试题，包含单选题、多选题和对错题。</w:t>
            </w:r>
          </w:p>
          <w:p>
            <w:pPr>
              <w:pStyle w:val="44"/>
              <w:spacing w:line="288" w:lineRule="auto"/>
              <w:ind w:leftChars="-61" w:right="174" w:hanging="128" w:hangingChars="61"/>
              <w:jc w:val="left"/>
              <w:rPr>
                <w:bCs/>
                <w:szCs w:val="24"/>
                <w:lang w:val="zh-CN"/>
              </w:rPr>
            </w:pPr>
            <w:r>
              <w:rPr>
                <w:rFonts w:hint="eastAsia"/>
                <w:bCs/>
                <w:szCs w:val="24"/>
                <w:lang w:val="zh-CN"/>
              </w:rPr>
              <w:t>4．支持视频中任意时间点插入图片或PPT：可以在任意时间点插入图片或PPT，同时支持对插入的内容在时间轴上随意拖动。插入的PPT可以任意拖动位置，并可以跟视频窗口进行切换。</w:t>
            </w:r>
          </w:p>
          <w:p>
            <w:pPr>
              <w:pStyle w:val="44"/>
              <w:spacing w:line="288" w:lineRule="auto"/>
              <w:ind w:leftChars="-61" w:right="174" w:hanging="128" w:hangingChars="61"/>
              <w:jc w:val="left"/>
              <w:rPr>
                <w:bCs/>
                <w:szCs w:val="24"/>
                <w:lang w:val="zh-CN"/>
              </w:rPr>
            </w:pPr>
            <w:r>
              <w:rPr>
                <w:rFonts w:hint="eastAsia"/>
                <w:bCs/>
                <w:szCs w:val="24"/>
                <w:lang w:val="zh-CN"/>
              </w:rPr>
              <w:t>5．支持知识点拓展阅读功能，可以根据一个关键词自动生成相关知识点的知识树，插入到课程单元中，并自动推送知识点相关的图书、期刊、论文等资料。</w:t>
            </w:r>
          </w:p>
          <w:p>
            <w:pPr>
              <w:pStyle w:val="44"/>
              <w:spacing w:line="288" w:lineRule="auto"/>
              <w:ind w:leftChars="-61" w:right="174" w:hanging="128" w:hangingChars="61"/>
              <w:jc w:val="left"/>
              <w:rPr>
                <w:bCs/>
                <w:szCs w:val="24"/>
                <w:lang w:val="zh-CN"/>
              </w:rPr>
            </w:pPr>
            <w:r>
              <w:rPr>
                <w:rFonts w:hint="eastAsia"/>
                <w:bCs/>
                <w:szCs w:val="24"/>
                <w:lang w:val="zh-CN"/>
              </w:rPr>
              <w:t>6．支持任务点设计，教师可以将课程章节内视频、图书、作业等内容设置为任务点，灵活控制学生学习的情况。学生端可以看到整个课程和每个章节需要完成的任务点情况，每完成一个任务，数量会自动减一。</w:t>
            </w:r>
          </w:p>
          <w:p>
            <w:pPr>
              <w:pStyle w:val="44"/>
              <w:spacing w:line="288" w:lineRule="auto"/>
              <w:ind w:leftChars="-61" w:right="174" w:hanging="128" w:hangingChars="61"/>
              <w:jc w:val="left"/>
              <w:rPr>
                <w:bCs/>
                <w:szCs w:val="24"/>
                <w:lang w:val="zh-CN"/>
              </w:rPr>
            </w:pPr>
            <w:r>
              <w:rPr>
                <w:rFonts w:hint="eastAsia"/>
                <w:bCs/>
                <w:szCs w:val="24"/>
                <w:lang w:val="zh-CN"/>
              </w:rPr>
              <w:t>7．全国课程资源中心：整合全国高校各院系的本、专科课程信息，课程目录包含教育部规定的13个学科门类的课程。并以课程为中心，整合与课程相关的各种精品资源，包括各高校的名师视频课程、网络精品共享课程，以及与课程相关的电子图书、期刊、论文、视频讲座等。</w:t>
            </w:r>
          </w:p>
          <w:p>
            <w:pPr>
              <w:pStyle w:val="44"/>
              <w:spacing w:line="288" w:lineRule="auto"/>
              <w:ind w:leftChars="-61" w:right="174" w:hanging="128" w:hangingChars="61"/>
              <w:jc w:val="left"/>
              <w:rPr>
                <w:bCs/>
                <w:szCs w:val="24"/>
                <w:lang w:val="zh-CN"/>
              </w:rPr>
            </w:pPr>
            <w:r>
              <w:rPr>
                <w:rFonts w:hint="eastAsia"/>
                <w:bCs/>
                <w:szCs w:val="24"/>
                <w:lang w:val="zh-CN"/>
              </w:rPr>
              <w:t>8．支持将资源先批量上传至个人云盘中，然后在课程中引用。</w:t>
            </w:r>
          </w:p>
          <w:p>
            <w:pPr>
              <w:pStyle w:val="44"/>
              <w:spacing w:line="288" w:lineRule="auto"/>
              <w:ind w:leftChars="-61" w:right="174" w:hanging="128" w:hangingChars="61"/>
              <w:jc w:val="left"/>
              <w:rPr>
                <w:bCs/>
                <w:szCs w:val="24"/>
                <w:lang w:val="zh-CN"/>
              </w:rPr>
            </w:pPr>
            <w:r>
              <w:rPr>
                <w:rFonts w:hint="eastAsia"/>
                <w:bCs/>
                <w:szCs w:val="24"/>
                <w:lang w:val="zh-CN"/>
              </w:rPr>
              <w:t>9．考试客户端，支持使用客户端进行独立考试。</w:t>
            </w:r>
          </w:p>
          <w:p>
            <w:pPr>
              <w:pStyle w:val="44"/>
              <w:spacing w:line="288" w:lineRule="auto"/>
              <w:ind w:leftChars="-61" w:right="174" w:hanging="128" w:hangingChars="61"/>
              <w:jc w:val="left"/>
              <w:rPr>
                <w:bCs/>
                <w:szCs w:val="24"/>
                <w:lang w:val="zh-CN"/>
              </w:rPr>
            </w:pPr>
            <w:r>
              <w:rPr>
                <w:rFonts w:hint="eastAsia"/>
                <w:bCs/>
                <w:szCs w:val="24"/>
                <w:lang w:val="zh-CN"/>
              </w:rPr>
              <w:t>10．教案：教师可以在移动客户端编辑教案，在教案中添加签到、抢答、问卷、讨论、选人等教学控件。</w:t>
            </w:r>
          </w:p>
          <w:p>
            <w:pPr>
              <w:pStyle w:val="44"/>
              <w:spacing w:line="288" w:lineRule="auto"/>
              <w:ind w:leftChars="-61" w:right="174" w:hanging="128" w:hangingChars="61"/>
              <w:jc w:val="left"/>
              <w:rPr>
                <w:bCs/>
                <w:szCs w:val="24"/>
                <w:lang w:val="zh-CN"/>
              </w:rPr>
            </w:pPr>
            <w:r>
              <w:rPr>
                <w:rFonts w:hint="eastAsia"/>
                <w:bCs/>
                <w:szCs w:val="24"/>
                <w:lang w:val="zh-CN"/>
              </w:rPr>
              <w:t>11．课堂签到：教师可以利用手机发起课堂签到，学生用手机完成签到，可以将学生签到情况显示到大屏。</w:t>
            </w:r>
          </w:p>
          <w:p>
            <w:pPr>
              <w:pStyle w:val="44"/>
              <w:spacing w:line="288" w:lineRule="auto"/>
              <w:ind w:leftChars="-61" w:right="174" w:hanging="128" w:hangingChars="61"/>
              <w:jc w:val="left"/>
              <w:rPr>
                <w:bCs/>
                <w:szCs w:val="24"/>
                <w:lang w:val="zh-CN"/>
              </w:rPr>
            </w:pPr>
            <w:r>
              <w:rPr>
                <w:rFonts w:hint="eastAsia"/>
                <w:bCs/>
                <w:szCs w:val="24"/>
                <w:lang w:val="zh-CN"/>
              </w:rPr>
              <w:t>12．通知：可以在移动客户端选择给指定的人发送通知，并统计已读和未读名单。</w:t>
            </w:r>
          </w:p>
          <w:p>
            <w:pPr>
              <w:pStyle w:val="44"/>
              <w:spacing w:line="288" w:lineRule="auto"/>
              <w:ind w:leftChars="-61" w:right="174" w:hanging="128" w:hangingChars="61"/>
              <w:jc w:val="left"/>
              <w:rPr>
                <w:bCs/>
                <w:szCs w:val="24"/>
                <w:lang w:val="zh-CN"/>
              </w:rPr>
            </w:pPr>
            <w:r>
              <w:rPr>
                <w:rFonts w:hint="eastAsia"/>
                <w:bCs/>
                <w:szCs w:val="24"/>
                <w:lang w:val="zh-CN"/>
              </w:rPr>
              <w:t>13．视频直播：移动客户端教师可以发起视频直播。</w:t>
            </w:r>
          </w:p>
          <w:p>
            <w:pPr>
              <w:pStyle w:val="44"/>
              <w:spacing w:line="288" w:lineRule="auto"/>
              <w:ind w:leftChars="-61" w:right="174" w:hanging="128" w:hangingChars="61"/>
              <w:jc w:val="left"/>
              <w:rPr>
                <w:bCs/>
                <w:szCs w:val="24"/>
                <w:lang w:val="zh-CN"/>
              </w:rPr>
            </w:pPr>
            <w:r>
              <w:rPr>
                <w:rFonts w:hint="eastAsia"/>
                <w:bCs/>
                <w:szCs w:val="24"/>
                <w:lang w:val="zh-CN"/>
              </w:rPr>
              <w:t>14．支持手机端投屏功能且不局限于同个WIFI网络才能实现，教师轻松通过投屏进行签到、选人、抢答等教学环节。</w:t>
            </w:r>
          </w:p>
          <w:p>
            <w:pPr>
              <w:pStyle w:val="44"/>
              <w:spacing w:line="288" w:lineRule="auto"/>
              <w:ind w:leftChars="-61" w:right="174" w:hanging="128" w:hangingChars="61"/>
              <w:jc w:val="left"/>
              <w:rPr>
                <w:bCs/>
                <w:szCs w:val="24"/>
                <w:lang w:val="zh-CN"/>
              </w:rPr>
            </w:pPr>
            <w:r>
              <w:rPr>
                <w:rFonts w:hint="eastAsia"/>
                <w:bCs/>
                <w:szCs w:val="24"/>
                <w:lang w:val="zh-CN"/>
              </w:rPr>
              <w:t>15．支持强大PPT演示功能，PPT投屏演示保留动画效果，播放流畅。PPT文件来源多种渠道，可以通过电脑端把文件直接发送至移动端，提高资源展示的便捷性。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pct"/>
            <w:vAlign w:val="center"/>
          </w:tcPr>
          <w:p>
            <w:pPr>
              <w:pStyle w:val="10"/>
              <w:snapToGrid w:val="0"/>
              <w:spacing w:line="360" w:lineRule="auto"/>
              <w:jc w:val="center"/>
              <w:rPr>
                <w:rFonts w:hAnsi="宋体" w:cs="宋体"/>
                <w:bCs/>
              </w:rPr>
            </w:pPr>
            <w:r>
              <w:rPr>
                <w:rFonts w:hint="eastAsia" w:hAnsi="宋体" w:cs="宋体"/>
                <w:bCs/>
              </w:rPr>
              <w:t>6</w:t>
            </w:r>
          </w:p>
        </w:tc>
        <w:tc>
          <w:tcPr>
            <w:tcW w:w="747" w:type="pct"/>
            <w:vAlign w:val="center"/>
          </w:tcPr>
          <w:p>
            <w:pPr>
              <w:pStyle w:val="17"/>
              <w:tabs>
                <w:tab w:val="left" w:pos="4515"/>
              </w:tabs>
              <w:snapToGrid w:val="0"/>
              <w:spacing w:line="360" w:lineRule="auto"/>
              <w:jc w:val="center"/>
              <w:rPr>
                <w:bCs/>
                <w:sz w:val="21"/>
                <w:szCs w:val="21"/>
              </w:rPr>
            </w:pPr>
            <w:r>
              <w:rPr>
                <w:rFonts w:hint="eastAsia"/>
                <w:bCs/>
                <w:sz w:val="21"/>
                <w:szCs w:val="21"/>
              </w:rPr>
              <w:t>业绩要求</w:t>
            </w:r>
          </w:p>
        </w:tc>
        <w:tc>
          <w:tcPr>
            <w:tcW w:w="3827" w:type="pct"/>
            <w:vAlign w:val="center"/>
          </w:tcPr>
          <w:p>
            <w:pPr>
              <w:pStyle w:val="44"/>
              <w:spacing w:line="288" w:lineRule="auto"/>
              <w:ind w:leftChars="-61" w:right="174" w:hanging="128" w:hangingChars="61"/>
              <w:jc w:val="left"/>
              <w:rPr>
                <w:bCs/>
                <w:szCs w:val="24"/>
                <w:lang w:val="zh-CN"/>
              </w:rPr>
            </w:pPr>
            <w:r>
              <w:rPr>
                <w:rFonts w:hint="eastAsia"/>
                <w:bCs/>
                <w:szCs w:val="24"/>
                <w:lang w:val="zh-CN"/>
              </w:rPr>
              <w:t>提供近</w:t>
            </w:r>
            <w:r>
              <w:rPr>
                <w:bCs/>
                <w:szCs w:val="24"/>
                <w:lang w:val="zh-CN"/>
              </w:rPr>
              <w:t>3</w:t>
            </w:r>
            <w:r>
              <w:rPr>
                <w:rFonts w:hint="eastAsia"/>
                <w:bCs/>
                <w:szCs w:val="24"/>
                <w:lang w:val="zh-CN"/>
              </w:rPr>
              <w:t>年同类省级或省级以上教师教学能力大赛服务合同，合同数量</w:t>
            </w:r>
            <w:r>
              <w:rPr>
                <w:bCs/>
                <w:szCs w:val="24"/>
                <w:lang w:val="zh-CN"/>
              </w:rPr>
              <w:t>5</w:t>
            </w:r>
            <w:r>
              <w:rPr>
                <w:rFonts w:hint="eastAsia"/>
                <w:bCs/>
                <w:szCs w:val="24"/>
                <w:lang w:val="zh-CN"/>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pct"/>
            <w:vAlign w:val="center"/>
          </w:tcPr>
          <w:p>
            <w:pPr>
              <w:pStyle w:val="10"/>
              <w:snapToGrid w:val="0"/>
              <w:spacing w:line="360" w:lineRule="auto"/>
              <w:jc w:val="center"/>
              <w:rPr>
                <w:rFonts w:hAnsi="宋体" w:cs="宋体"/>
                <w:bCs/>
              </w:rPr>
            </w:pPr>
            <w:r>
              <w:rPr>
                <w:rFonts w:hint="eastAsia" w:hAnsi="宋体" w:cs="宋体"/>
                <w:bCs/>
              </w:rPr>
              <w:t>7</w:t>
            </w:r>
          </w:p>
        </w:tc>
        <w:tc>
          <w:tcPr>
            <w:tcW w:w="747" w:type="pct"/>
            <w:vAlign w:val="center"/>
          </w:tcPr>
          <w:p>
            <w:pPr>
              <w:pStyle w:val="17"/>
              <w:tabs>
                <w:tab w:val="left" w:pos="4515"/>
              </w:tabs>
              <w:snapToGrid w:val="0"/>
              <w:spacing w:line="360" w:lineRule="auto"/>
              <w:jc w:val="center"/>
              <w:rPr>
                <w:bCs/>
                <w:sz w:val="21"/>
                <w:szCs w:val="21"/>
              </w:rPr>
            </w:pPr>
            <w:r>
              <w:rPr>
                <w:rFonts w:hint="eastAsia"/>
                <w:bCs/>
                <w:sz w:val="21"/>
                <w:szCs w:val="21"/>
              </w:rPr>
              <w:t>资质证书</w:t>
            </w:r>
          </w:p>
        </w:tc>
        <w:tc>
          <w:tcPr>
            <w:tcW w:w="3827" w:type="pct"/>
            <w:vAlign w:val="center"/>
          </w:tcPr>
          <w:p>
            <w:pPr>
              <w:pStyle w:val="44"/>
              <w:spacing w:line="288" w:lineRule="auto"/>
              <w:ind w:leftChars="-61" w:right="174" w:hanging="128" w:hangingChars="61"/>
              <w:jc w:val="left"/>
              <w:rPr>
                <w:sz w:val="24"/>
              </w:rPr>
            </w:pPr>
            <w:r>
              <w:rPr>
                <w:rFonts w:hint="eastAsia"/>
                <w:bCs/>
                <w:szCs w:val="24"/>
                <w:lang w:val="zh-CN"/>
              </w:rPr>
              <w:t>用于支持信息化教学的平台需具备名师讲坛数据库系统、网络教学平台、智慧课堂系统软件产品证书。</w:t>
            </w:r>
          </w:p>
        </w:tc>
      </w:tr>
    </w:tbl>
    <w:p>
      <w:pPr>
        <w:autoSpaceDE w:val="0"/>
        <w:autoSpaceDN w:val="0"/>
        <w:adjustRightInd w:val="0"/>
        <w:snapToGrid w:val="0"/>
        <w:spacing w:line="400" w:lineRule="exact"/>
        <w:ind w:left="239" w:leftChars="114" w:right="-178" w:rightChars="-85"/>
        <w:textAlignment w:val="bottom"/>
        <w:rPr>
          <w:rFonts w:ascii="宋体" w:hAnsi="宋体"/>
          <w:b/>
          <w:sz w:val="24"/>
        </w:rPr>
      </w:pPr>
      <w:r>
        <w:rPr>
          <w:rFonts w:hint="eastAsia" w:ascii="宋体" w:hAnsi="宋体"/>
          <w:b/>
          <w:sz w:val="24"/>
        </w:rPr>
        <w:t>2. 跟踪及售后服务要求：</w:t>
      </w:r>
    </w:p>
    <w:p>
      <w:pPr>
        <w:spacing w:line="360" w:lineRule="auto"/>
        <w:ind w:firstLine="480" w:firstLineChars="200"/>
        <w:rPr>
          <w:rFonts w:ascii="宋体" w:hAnsi="宋体"/>
          <w:sz w:val="24"/>
        </w:rPr>
      </w:pPr>
      <w:r>
        <w:rPr>
          <w:rFonts w:hint="eastAsia" w:ascii="宋体" w:hAnsi="宋体"/>
          <w:sz w:val="24"/>
        </w:rPr>
        <w:t>按照“项目技术统一标准”（表1）第4条执行，须按规定的时日内，完成项目服务内容，方可进行项目验收。</w:t>
      </w:r>
    </w:p>
    <w:p>
      <w:pPr>
        <w:autoSpaceDE w:val="0"/>
        <w:autoSpaceDN w:val="0"/>
        <w:adjustRightInd w:val="0"/>
        <w:snapToGrid w:val="0"/>
        <w:spacing w:line="400" w:lineRule="exact"/>
        <w:ind w:left="239" w:leftChars="114" w:right="-178" w:rightChars="-85"/>
        <w:textAlignment w:val="bottom"/>
        <w:rPr>
          <w:rFonts w:ascii="宋体" w:hAnsi="宋体"/>
          <w:b/>
          <w:sz w:val="24"/>
        </w:rPr>
      </w:pPr>
      <w:r>
        <w:rPr>
          <w:rFonts w:hint="eastAsia" w:ascii="宋体" w:hAnsi="宋体"/>
          <w:b/>
          <w:sz w:val="24"/>
        </w:rPr>
        <w:t>3.其他要求：</w:t>
      </w:r>
    </w:p>
    <w:p>
      <w:pPr>
        <w:spacing w:line="360" w:lineRule="auto"/>
        <w:ind w:firstLine="496" w:firstLineChars="207"/>
        <w:rPr>
          <w:rFonts w:hint="eastAsia" w:ascii="宋体" w:hAnsi="宋体"/>
          <w:color w:val="auto"/>
          <w:sz w:val="24"/>
        </w:rPr>
      </w:pPr>
      <w:r>
        <w:rPr>
          <w:rFonts w:hint="eastAsia" w:ascii="宋体" w:hAnsi="宋体"/>
          <w:sz w:val="24"/>
        </w:rPr>
        <w:t>（1）</w:t>
      </w:r>
      <w:r>
        <w:rPr>
          <w:rFonts w:hint="eastAsia" w:ascii="宋体" w:hAnsi="宋体"/>
          <w:color w:val="auto"/>
          <w:sz w:val="24"/>
        </w:rPr>
        <w:t>服务课程须按照“项目技术统一标准”（表1）要求，提供服务及技术支持。</w:t>
      </w:r>
    </w:p>
    <w:p>
      <w:pPr>
        <w:spacing w:line="360" w:lineRule="auto"/>
        <w:ind w:firstLine="496" w:firstLineChars="207"/>
        <w:rPr>
          <w:rFonts w:hint="eastAsia" w:ascii="宋体" w:hAnsi="宋体"/>
          <w:color w:val="auto"/>
          <w:sz w:val="24"/>
          <w:lang w:eastAsia="zh-CN"/>
        </w:rPr>
      </w:pPr>
      <w:r>
        <w:rPr>
          <w:rFonts w:hint="eastAsia" w:ascii="宋体" w:hAnsi="宋体"/>
          <w:color w:val="auto"/>
          <w:sz w:val="24"/>
        </w:rPr>
        <w:t>（2）技术资料：供应商必须保证响应文件所提供的全部技术资料真实可靠，不得用虚假材料进行响应，并接受评标委员会对其中任何资料进一步审查。如有虚假应标，将视为无效投标，并追究相关法律责任。</w:t>
      </w:r>
    </w:p>
    <w:p>
      <w:pPr>
        <w:spacing w:line="360" w:lineRule="auto"/>
        <w:ind w:firstLine="480" w:firstLineChars="200"/>
        <w:rPr>
          <w:rFonts w:ascii="宋体" w:hAnsi="宋体"/>
          <w:sz w:val="24"/>
        </w:rPr>
      </w:pPr>
      <w:r>
        <w:rPr>
          <w:rFonts w:hint="eastAsia" w:ascii="宋体" w:hAnsi="宋体"/>
          <w:sz w:val="24"/>
        </w:rPr>
        <w:t>（3）参加202</w:t>
      </w:r>
      <w:r>
        <w:rPr>
          <w:rFonts w:ascii="宋体" w:hAnsi="宋体"/>
          <w:sz w:val="24"/>
        </w:rPr>
        <w:t>4</w:t>
      </w:r>
      <w:r>
        <w:rPr>
          <w:rFonts w:hint="eastAsia" w:ascii="宋体" w:hAnsi="宋体"/>
          <w:sz w:val="24"/>
        </w:rPr>
        <w:t>年省级教师教学能力大赛的队伍数以1</w:t>
      </w:r>
      <w:r>
        <w:rPr>
          <w:rFonts w:ascii="宋体" w:hAnsi="宋体"/>
          <w:sz w:val="24"/>
        </w:rPr>
        <w:t>3</w:t>
      </w:r>
      <w:r>
        <w:rPr>
          <w:rFonts w:hint="eastAsia" w:ascii="宋体" w:hAnsi="宋体"/>
          <w:sz w:val="24"/>
        </w:rPr>
        <w:t>个组来计算，若参加202</w:t>
      </w:r>
      <w:r>
        <w:rPr>
          <w:rFonts w:ascii="宋体" w:hAnsi="宋体"/>
          <w:sz w:val="24"/>
        </w:rPr>
        <w:t>4</w:t>
      </w:r>
      <w:r>
        <w:rPr>
          <w:rFonts w:hint="eastAsia" w:ascii="宋体" w:hAnsi="宋体"/>
          <w:sz w:val="24"/>
        </w:rPr>
        <w:t>年省级教师教学能力大赛的队伍数超过1</w:t>
      </w:r>
      <w:r>
        <w:rPr>
          <w:rFonts w:ascii="宋体" w:hAnsi="宋体"/>
          <w:sz w:val="24"/>
        </w:rPr>
        <w:t>3</w:t>
      </w:r>
      <w:r>
        <w:rPr>
          <w:rFonts w:hint="eastAsia" w:ascii="宋体" w:hAnsi="宋体"/>
          <w:sz w:val="24"/>
        </w:rPr>
        <w:t>个，超过部分按照“项目技术统一标准”（表1）执行，不再另行支付费用。其中若有入围202</w:t>
      </w:r>
      <w:r>
        <w:rPr>
          <w:rFonts w:ascii="宋体" w:hAnsi="宋体"/>
          <w:sz w:val="24"/>
        </w:rPr>
        <w:t>4</w:t>
      </w:r>
      <w:r>
        <w:rPr>
          <w:rFonts w:hint="eastAsia" w:ascii="宋体" w:hAnsi="宋体"/>
          <w:sz w:val="24"/>
        </w:rPr>
        <w:t>年全国教师教学能力大赛的，按照全国大赛技术文件要求，必须继续提供技术服务及技术支持，不再另行支付费用。</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1．合同签订后，供应商应以采购人具体通知时间完成项目的所需服务内容或货物的安装、调试、验收，直至交付采购人可以正常使用。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2．供应商按采购人要求完成服务内容或货物的安装调试，并经采购人验收合格后付合同金额。成交金额即为合同金额，除非采购货物的数量发生变更，否则不允许变更合同金额。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三、对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cs="宋体"/>
          <w:sz w:val="24"/>
        </w:rPr>
      </w:pPr>
      <w:r>
        <w:rPr>
          <w:rFonts w:hint="eastAsia" w:ascii="宋体" w:hAnsi="宋体" w:cs="宋体"/>
          <w:sz w:val="24"/>
        </w:rPr>
        <w:t>4、对询价过程和拟成交结果的质疑</w:t>
      </w:r>
      <w:bookmarkEnd w:id="4"/>
      <w:r>
        <w:rPr>
          <w:rFonts w:hint="eastAsia" w:ascii="宋体" w:hAnsi="宋体" w:cs="宋体"/>
          <w:sz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rPr>
        <w:t>四、响应文件的编制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Start w:id="9" w:name="_Toc238276242"/>
      <w:bookmarkStart w:id="10" w:name="_Toc236473298"/>
      <w:bookmarkStart w:id="11" w:name="_Toc265109445"/>
      <w:bookmarkStart w:id="12" w:name="_Toc327371177"/>
      <w:bookmarkStart w:id="13" w:name="_Toc294609003"/>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2"/>
        </w:numPr>
        <w:rPr>
          <w:rFonts w:ascii="宋体" w:hAnsi="宋体"/>
          <w:sz w:val="24"/>
          <w:szCs w:val="24"/>
        </w:rPr>
      </w:pPr>
      <w:r>
        <w:rPr>
          <w:rFonts w:hint="eastAsia" w:ascii="宋体" w:hAnsi="宋体"/>
          <w:sz w:val="24"/>
          <w:szCs w:val="24"/>
        </w:rPr>
        <w:t>所有价格均用人民币表示，单位为元。</w:t>
      </w:r>
    </w:p>
    <w:p>
      <w:pPr>
        <w:pStyle w:val="5"/>
        <w:numPr>
          <w:ilvl w:val="0"/>
          <w:numId w:val="2"/>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2"/>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3"/>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附件七：</w:t>
      </w:r>
    </w:p>
    <w:p>
      <w:pPr>
        <w:spacing w:line="360" w:lineRule="auto"/>
        <w:rPr>
          <w:rFonts w:ascii="宋体" w:hAnsi="宋体" w:cs="宋体"/>
          <w:b/>
          <w:sz w:val="32"/>
          <w:szCs w:val="32"/>
        </w:rPr>
      </w:pPr>
      <w:r>
        <w:rPr>
          <w:rFonts w:hint="eastAsia" w:ascii="宋体" w:hAnsi="宋体" w:cs="宋体"/>
          <w:b/>
          <w:sz w:val="32"/>
          <w:szCs w:val="32"/>
        </w:rPr>
        <w:t xml:space="preserve">1、资格承诺声明函（参考格式） </w:t>
      </w:r>
    </w:p>
    <w:p>
      <w:pPr>
        <w:spacing w:line="360" w:lineRule="auto"/>
        <w:rPr>
          <w:rFonts w:ascii="宋体" w:hAnsi="宋体" w:cs="宋体"/>
          <w:szCs w:val="21"/>
        </w:rPr>
      </w:pPr>
    </w:p>
    <w:p>
      <w:pPr>
        <w:spacing w:line="360" w:lineRule="auto"/>
        <w:jc w:val="center"/>
        <w:rPr>
          <w:rFonts w:ascii="宋体" w:hAnsi="宋体" w:cs="宋体"/>
          <w:sz w:val="28"/>
          <w:szCs w:val="28"/>
        </w:rPr>
      </w:pPr>
      <w:r>
        <w:rPr>
          <w:rFonts w:hint="eastAsia" w:ascii="宋体" w:hAnsi="宋体" w:cs="宋体"/>
          <w:sz w:val="28"/>
          <w:szCs w:val="28"/>
        </w:rPr>
        <w:t>资格承诺声明函</w:t>
      </w: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致本项目采购单位及招标代理机构： </w:t>
      </w:r>
    </w:p>
    <w:p>
      <w:pPr>
        <w:widowControl/>
        <w:spacing w:line="360" w:lineRule="auto"/>
        <w:ind w:firstLine="420" w:firstLineChars="200"/>
        <w:rPr>
          <w:rFonts w:ascii="宋体" w:hAnsi="宋体" w:cs="宋体"/>
          <w:szCs w:val="21"/>
        </w:rPr>
      </w:pPr>
      <w:r>
        <w:rPr>
          <w:rFonts w:hint="eastAsia" w:ascii="宋体" w:hAnsi="宋体" w:cs="宋体"/>
          <w:szCs w:val="21"/>
        </w:rPr>
        <w:t>按照《中华人民共和国政府采购法》第二十二条及采购文件的规定，我单位郑重声明如下： </w:t>
      </w:r>
    </w:p>
    <w:p>
      <w:pPr>
        <w:widowControl/>
        <w:spacing w:line="360" w:lineRule="auto"/>
        <w:ind w:firstLine="420" w:firstLineChars="200"/>
        <w:rPr>
          <w:rFonts w:ascii="宋体" w:hAnsi="宋体" w:cs="宋体"/>
          <w:szCs w:val="21"/>
        </w:rPr>
      </w:pPr>
      <w:r>
        <w:rPr>
          <w:rFonts w:hint="eastAsia" w:ascii="宋体" w:hAnsi="宋体" w:cs="宋体"/>
          <w:szCs w:val="21"/>
        </w:rPr>
        <w:t>一、我单位全称为</w:t>
      </w:r>
      <w:r>
        <w:rPr>
          <w:rFonts w:hint="eastAsia" w:ascii="宋体" w:hAnsi="宋体" w:cs="宋体"/>
          <w:szCs w:val="21"/>
          <w:u w:val="single"/>
        </w:rPr>
        <w:t>                      </w:t>
      </w:r>
      <w:r>
        <w:rPr>
          <w:rFonts w:hint="eastAsia" w:ascii="宋体" w:hAnsi="宋体" w:cs="宋体"/>
          <w:szCs w:val="21"/>
        </w:rPr>
        <w:t>，注册地点为</w:t>
      </w:r>
      <w:r>
        <w:rPr>
          <w:rFonts w:hint="eastAsia" w:ascii="宋体" w:hAnsi="宋体" w:cs="宋体"/>
          <w:szCs w:val="21"/>
          <w:u w:val="single"/>
        </w:rPr>
        <w:t>                       </w:t>
      </w:r>
      <w:r>
        <w:rPr>
          <w:rFonts w:hint="eastAsia" w:ascii="宋体" w:hAnsi="宋体" w:cs="宋体"/>
          <w:szCs w:val="21"/>
        </w:rPr>
        <w:t>，统一社会信用代码为</w:t>
      </w:r>
      <w:r>
        <w:rPr>
          <w:rFonts w:hint="eastAsia" w:ascii="宋体" w:hAnsi="宋体" w:cs="宋体"/>
          <w:szCs w:val="21"/>
          <w:u w:val="single"/>
        </w:rPr>
        <w:t>                   </w:t>
      </w:r>
      <w:r>
        <w:rPr>
          <w:rFonts w:hint="eastAsia" w:ascii="宋体" w:hAnsi="宋体" w:cs="宋体"/>
          <w:szCs w:val="21"/>
        </w:rPr>
        <w:t>，法定代表人（单位负责人）为</w:t>
      </w:r>
      <w:r>
        <w:rPr>
          <w:rFonts w:hint="eastAsia" w:ascii="宋体" w:hAnsi="宋体" w:cs="宋体"/>
          <w:szCs w:val="21"/>
          <w:u w:val="single"/>
        </w:rPr>
        <w:t>         </w:t>
      </w:r>
      <w:r>
        <w:rPr>
          <w:rFonts w:hint="eastAsia" w:ascii="宋体" w:hAnsi="宋体" w:cs="宋体"/>
          <w:szCs w:val="21"/>
        </w:rPr>
        <w:t>。     二、我单位具有独立承担民事责任的能力。 </w:t>
      </w:r>
    </w:p>
    <w:p>
      <w:pPr>
        <w:widowControl/>
        <w:spacing w:line="360" w:lineRule="auto"/>
        <w:ind w:firstLine="420" w:firstLineChars="200"/>
        <w:rPr>
          <w:rFonts w:ascii="宋体" w:hAnsi="宋体" w:cs="宋体"/>
          <w:szCs w:val="21"/>
        </w:rPr>
      </w:pPr>
      <w:r>
        <w:rPr>
          <w:rFonts w:hint="eastAsia" w:ascii="宋体" w:hAnsi="宋体" w:cs="宋体"/>
          <w:szCs w:val="21"/>
        </w:rPr>
        <w:t>三、我单位具有良好的商业信誉和健全的财务会计制度。 </w:t>
      </w:r>
    </w:p>
    <w:p>
      <w:pPr>
        <w:widowControl/>
        <w:spacing w:line="360" w:lineRule="auto"/>
        <w:ind w:firstLine="420" w:firstLineChars="200"/>
        <w:rPr>
          <w:rFonts w:ascii="宋体" w:hAnsi="宋体" w:cs="宋体"/>
          <w:szCs w:val="21"/>
        </w:rPr>
      </w:pPr>
      <w:r>
        <w:rPr>
          <w:rFonts w:hint="eastAsia" w:ascii="宋体" w:hAnsi="宋体" w:cs="宋体"/>
          <w:szCs w:val="21"/>
        </w:rPr>
        <w:t>四、我单位具有履行合同所必需的设备和专业技术能力。 </w:t>
      </w:r>
    </w:p>
    <w:p>
      <w:pPr>
        <w:widowControl/>
        <w:spacing w:line="360" w:lineRule="auto"/>
        <w:ind w:firstLine="420" w:firstLineChars="200"/>
        <w:rPr>
          <w:rFonts w:ascii="宋体" w:hAnsi="宋体" w:cs="宋体"/>
          <w:szCs w:val="21"/>
        </w:rPr>
      </w:pPr>
      <w:r>
        <w:rPr>
          <w:rFonts w:hint="eastAsia" w:ascii="宋体" w:hAnsi="宋体" w:cs="宋体"/>
          <w:szCs w:val="21"/>
        </w:rPr>
        <w:t>五、我单位有依法缴纳税收和社会保障资金的良好记录。 </w:t>
      </w:r>
    </w:p>
    <w:p>
      <w:pPr>
        <w:widowControl/>
        <w:spacing w:line="360" w:lineRule="auto"/>
        <w:ind w:firstLine="420" w:firstLineChars="200"/>
        <w:rPr>
          <w:rFonts w:ascii="宋体" w:hAnsi="宋体" w:cs="宋体"/>
          <w:szCs w:val="21"/>
        </w:rPr>
      </w:pPr>
      <w:r>
        <w:rPr>
          <w:rFonts w:hint="eastAsia" w:ascii="宋体" w:hAnsi="宋体" w:cs="宋体"/>
          <w:szCs w:val="21"/>
        </w:rPr>
        <w:t>六、我单位参加政府采购活动前三年内，在经营活动中没有重大违法记录。（重大违法记录，是指供应商因违法经营受到刑事处罚或者责令停产停业、吊销许可证或者执照、较大数额罚款等行政处罚。） </w:t>
      </w:r>
    </w:p>
    <w:p>
      <w:pPr>
        <w:widowControl/>
        <w:spacing w:line="360" w:lineRule="auto"/>
        <w:ind w:firstLine="420" w:firstLineChars="200"/>
        <w:rPr>
          <w:rFonts w:ascii="宋体" w:hAnsi="宋体" w:cs="宋体"/>
          <w:szCs w:val="21"/>
        </w:rPr>
      </w:pPr>
      <w:r>
        <w:rPr>
          <w:rFonts w:hint="eastAsia" w:ascii="宋体" w:hAnsi="宋体" w:cs="宋体"/>
          <w:szCs w:val="21"/>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ascii="宋体" w:hAnsi="宋体" w:cs="宋体"/>
          <w:szCs w:val="21"/>
        </w:rPr>
      </w:pPr>
    </w:p>
    <w:p>
      <w:pPr>
        <w:spacing w:line="360" w:lineRule="auto"/>
        <w:ind w:firstLine="3780" w:firstLineChars="1800"/>
        <w:rPr>
          <w:rFonts w:ascii="宋体" w:hAnsi="宋体" w:cs="宋体"/>
          <w:szCs w:val="21"/>
        </w:rPr>
      </w:pPr>
      <w:r>
        <w:rPr>
          <w:rFonts w:hint="eastAsia" w:ascii="宋体" w:hAnsi="宋体" w:cs="宋体"/>
          <w:szCs w:val="21"/>
        </w:rPr>
        <w:t>承诺单位（盖章）：     </w:t>
      </w:r>
    </w:p>
    <w:p>
      <w:pPr>
        <w:spacing w:line="360" w:lineRule="auto"/>
        <w:ind w:firstLine="3780" w:firstLineChars="1800"/>
        <w:rPr>
          <w:rFonts w:ascii="宋体" w:hAnsi="宋体" w:cs="宋体"/>
          <w:szCs w:val="21"/>
        </w:rPr>
      </w:pPr>
      <w:r>
        <w:rPr>
          <w:rFonts w:hint="eastAsia" w:ascii="宋体" w:hAnsi="宋体" w:cs="宋体"/>
          <w:szCs w:val="21"/>
        </w:rPr>
        <w:t>法定代表人或授权代表（签名或盖章）：      </w:t>
      </w:r>
    </w:p>
    <w:p>
      <w:pPr>
        <w:spacing w:line="360" w:lineRule="auto"/>
        <w:ind w:firstLine="3780" w:firstLineChars="1800"/>
        <w:rPr>
          <w:rFonts w:ascii="宋体" w:hAnsi="宋体" w:cs="宋体"/>
          <w:szCs w:val="21"/>
        </w:rPr>
      </w:pPr>
      <w:r>
        <w:rPr>
          <w:rFonts w:hint="eastAsia" w:ascii="宋体" w:hAnsi="宋体" w:cs="宋体"/>
          <w:szCs w:val="21"/>
        </w:rPr>
        <w:t>日期：    年   月   日</w:t>
      </w:r>
    </w:p>
    <w:p/>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pStyle w:val="3"/>
        <w:pageBreakBefore/>
        <w:spacing w:line="415" w:lineRule="auto"/>
        <w:contextualSpacing/>
        <w:rPr>
          <w:rFonts w:ascii="宋体" w:hAnsi="宋体"/>
          <w:b w:val="0"/>
          <w:bCs w:val="0"/>
        </w:rPr>
      </w:pPr>
      <w:r>
        <w:rPr>
          <w:rFonts w:hint="eastAsia" w:ascii="宋体" w:hAnsi="宋体"/>
          <w:b w:val="0"/>
          <w:bCs w:val="0"/>
        </w:rPr>
        <w:t>附件八：</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jNmNiMmNkNGUxYmFiNTc1ODQwZDc2MmJhMzM3OTUifQ=="/>
    <w:docVar w:name="KSO_WPS_MARK_KEY" w:val="4b422579-f0a2-443e-9328-e45390498e28"/>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C7FD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0D80"/>
    <w:rsid w:val="003020B3"/>
    <w:rsid w:val="003025BA"/>
    <w:rsid w:val="003027B5"/>
    <w:rsid w:val="00312CA1"/>
    <w:rsid w:val="00320397"/>
    <w:rsid w:val="00321142"/>
    <w:rsid w:val="00324479"/>
    <w:rsid w:val="00324FDA"/>
    <w:rsid w:val="00331970"/>
    <w:rsid w:val="00332D48"/>
    <w:rsid w:val="003355BB"/>
    <w:rsid w:val="00335940"/>
    <w:rsid w:val="00335BE1"/>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42DE"/>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4BFF"/>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02A5"/>
    <w:rsid w:val="024C2861"/>
    <w:rsid w:val="02EB4EBA"/>
    <w:rsid w:val="04765BFE"/>
    <w:rsid w:val="07875D27"/>
    <w:rsid w:val="08765BE6"/>
    <w:rsid w:val="0916744E"/>
    <w:rsid w:val="098A3470"/>
    <w:rsid w:val="098C501E"/>
    <w:rsid w:val="0A412F0D"/>
    <w:rsid w:val="0B1B470A"/>
    <w:rsid w:val="0C882A07"/>
    <w:rsid w:val="0C8D0B1C"/>
    <w:rsid w:val="0D346EF0"/>
    <w:rsid w:val="0DB2633E"/>
    <w:rsid w:val="0E170F1D"/>
    <w:rsid w:val="1096558D"/>
    <w:rsid w:val="10CD186C"/>
    <w:rsid w:val="134E57DE"/>
    <w:rsid w:val="14352964"/>
    <w:rsid w:val="159421BB"/>
    <w:rsid w:val="15E16849"/>
    <w:rsid w:val="167C7678"/>
    <w:rsid w:val="16CE0DE2"/>
    <w:rsid w:val="17EC4792"/>
    <w:rsid w:val="180C163C"/>
    <w:rsid w:val="1A386E1E"/>
    <w:rsid w:val="1B7F6D28"/>
    <w:rsid w:val="1C71158A"/>
    <w:rsid w:val="1E2A6E74"/>
    <w:rsid w:val="1ED7744D"/>
    <w:rsid w:val="200334C2"/>
    <w:rsid w:val="22E13702"/>
    <w:rsid w:val="24024ACF"/>
    <w:rsid w:val="26AA2005"/>
    <w:rsid w:val="29175E93"/>
    <w:rsid w:val="29A711D1"/>
    <w:rsid w:val="29C651C2"/>
    <w:rsid w:val="2BD831ED"/>
    <w:rsid w:val="2DBC24BA"/>
    <w:rsid w:val="2F470442"/>
    <w:rsid w:val="30ED3773"/>
    <w:rsid w:val="30F454E0"/>
    <w:rsid w:val="31BC6D32"/>
    <w:rsid w:val="31C17923"/>
    <w:rsid w:val="3A7D7082"/>
    <w:rsid w:val="3AA935B2"/>
    <w:rsid w:val="3B0418F4"/>
    <w:rsid w:val="3D0F63E5"/>
    <w:rsid w:val="3E842D9E"/>
    <w:rsid w:val="40241F49"/>
    <w:rsid w:val="42497455"/>
    <w:rsid w:val="469902C4"/>
    <w:rsid w:val="46FC37FA"/>
    <w:rsid w:val="4BF27BEA"/>
    <w:rsid w:val="531410DD"/>
    <w:rsid w:val="5398783B"/>
    <w:rsid w:val="54D062C6"/>
    <w:rsid w:val="553E2EC3"/>
    <w:rsid w:val="56666A83"/>
    <w:rsid w:val="59483A75"/>
    <w:rsid w:val="59575F32"/>
    <w:rsid w:val="59A565CA"/>
    <w:rsid w:val="59F903C5"/>
    <w:rsid w:val="5A052782"/>
    <w:rsid w:val="5A893CB7"/>
    <w:rsid w:val="5B0A7487"/>
    <w:rsid w:val="5CA2370E"/>
    <w:rsid w:val="5D4612FA"/>
    <w:rsid w:val="5DA93C4C"/>
    <w:rsid w:val="5DC07C86"/>
    <w:rsid w:val="62472877"/>
    <w:rsid w:val="64EA13AD"/>
    <w:rsid w:val="650B258F"/>
    <w:rsid w:val="65B03214"/>
    <w:rsid w:val="681B0A3D"/>
    <w:rsid w:val="6959727F"/>
    <w:rsid w:val="6C7B1448"/>
    <w:rsid w:val="6FA636AF"/>
    <w:rsid w:val="708977CC"/>
    <w:rsid w:val="73605A15"/>
    <w:rsid w:val="7366462F"/>
    <w:rsid w:val="74BE4F55"/>
    <w:rsid w:val="74FE666A"/>
    <w:rsid w:val="7665227B"/>
    <w:rsid w:val="76D433C2"/>
    <w:rsid w:val="77B708B5"/>
    <w:rsid w:val="784177C4"/>
    <w:rsid w:val="79C62E83"/>
    <w:rsid w:val="7B106F2E"/>
    <w:rsid w:val="7CEB4A44"/>
    <w:rsid w:val="7DA119A0"/>
    <w:rsid w:val="7DA72BF9"/>
    <w:rsid w:val="7DEF6CC3"/>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9"/>
    <w:qFormat/>
    <w:uiPriority w:val="0"/>
    <w:pPr>
      <w:ind w:firstLine="420"/>
    </w:pPr>
    <w:rPr>
      <w:szCs w:val="20"/>
    </w:rPr>
  </w:style>
  <w:style w:type="paragraph" w:styleId="6">
    <w:name w:val="Document Map"/>
    <w:basedOn w:val="1"/>
    <w:link w:val="36"/>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8"/>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TOC2"/>
    <w:basedOn w:val="1"/>
    <w:next w:val="1"/>
    <w:qFormat/>
    <w:uiPriority w:val="0"/>
    <w:pPr>
      <w:ind w:left="210"/>
      <w:jc w:val="left"/>
      <w:textAlignment w:val="baseline"/>
    </w:pPr>
    <w:rPr>
      <w:rFonts w:ascii="Calibri" w:hAnsi="Calibri"/>
      <w:smallCaps/>
      <w:sz w:val="20"/>
      <w:szCs w:val="20"/>
    </w:rPr>
  </w:style>
  <w:style w:type="paragraph" w:customStyle="1" w:styleId="27">
    <w:name w:val="Char Char"/>
    <w:basedOn w:val="1"/>
    <w:qFormat/>
    <w:uiPriority w:val="0"/>
    <w:rPr>
      <w:rFonts w:ascii="Tahoma" w:hAnsi="Tahoma"/>
      <w:sz w:val="24"/>
      <w:szCs w:val="20"/>
    </w:rPr>
  </w:style>
  <w:style w:type="paragraph" w:styleId="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Char"/>
    <w:basedOn w:val="1"/>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8"/>
    <w:qFormat/>
    <w:uiPriority w:val="0"/>
    <w:pPr>
      <w:spacing w:line="600" w:lineRule="exact"/>
    </w:pPr>
    <w:rPr>
      <w:rFonts w:eastAsia="华文仿宋"/>
      <w:spacing w:val="6"/>
      <w:sz w:val="32"/>
    </w:rPr>
  </w:style>
  <w:style w:type="paragraph" w:customStyle="1" w:styleId="32">
    <w:name w:val="Char1"/>
    <w:basedOn w:val="1"/>
    <w:qFormat/>
    <w:uiPriority w:val="0"/>
    <w:pPr>
      <w:tabs>
        <w:tab w:val="right" w:pos="-2120"/>
      </w:tabs>
      <w:snapToGrid w:val="0"/>
    </w:p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字符"/>
    <w:basedOn w:val="21"/>
    <w:link w:val="6"/>
    <w:qFormat/>
    <w:uiPriority w:val="0"/>
    <w:rPr>
      <w:rFonts w:ascii="宋体"/>
      <w:kern w:val="2"/>
      <w:sz w:val="18"/>
      <w:szCs w:val="18"/>
    </w:rPr>
  </w:style>
  <w:style w:type="character" w:customStyle="1" w:styleId="37">
    <w:name w:val="font11"/>
    <w:qFormat/>
    <w:uiPriority w:val="0"/>
    <w:rPr>
      <w:rFonts w:ascii="Calibri" w:hAnsi="Calibri" w:cs="Calibri"/>
      <w:color w:val="000000"/>
      <w:sz w:val="20"/>
      <w:szCs w:val="20"/>
      <w:u w:val="none"/>
    </w:rPr>
  </w:style>
  <w:style w:type="character" w:customStyle="1" w:styleId="38">
    <w:name w:val="纯文本 字符"/>
    <w:link w:val="10"/>
    <w:qFormat/>
    <w:uiPriority w:val="0"/>
    <w:rPr>
      <w:rFonts w:ascii="宋体" w:hAnsi="Courier New" w:eastAsia="宋体" w:cs="Courier New"/>
      <w:kern w:val="2"/>
      <w:sz w:val="21"/>
      <w:szCs w:val="21"/>
      <w:lang w:val="en-US" w:eastAsia="zh-CN" w:bidi="ar-SA"/>
    </w:rPr>
  </w:style>
  <w:style w:type="character" w:customStyle="1" w:styleId="39">
    <w:name w:val="正文缩进 字符"/>
    <w:link w:val="5"/>
    <w:qFormat/>
    <w:uiPriority w:val="0"/>
    <w:rPr>
      <w:rFonts w:eastAsia="宋体"/>
      <w:kern w:val="2"/>
      <w:sz w:val="21"/>
      <w:lang w:val="en-US" w:eastAsia="zh-CN" w:bidi="ar-SA"/>
    </w:rPr>
  </w:style>
  <w:style w:type="character" w:customStyle="1" w:styleId="40">
    <w:name w:val="页眉 字符"/>
    <w:link w:val="13"/>
    <w:qFormat/>
    <w:uiPriority w:val="0"/>
    <w:rPr>
      <w:rFonts w:eastAsia="宋体"/>
      <w:kern w:val="2"/>
      <w:sz w:val="18"/>
      <w:szCs w:val="18"/>
      <w:lang w:val="en-US" w:eastAsia="zh-CN" w:bidi="ar-SA"/>
    </w:rPr>
  </w:style>
  <w:style w:type="character" w:customStyle="1" w:styleId="41">
    <w:name w:val="标题 3 字符"/>
    <w:basedOn w:val="21"/>
    <w:link w:val="4"/>
    <w:semiHidden/>
    <w:qFormat/>
    <w:uiPriority w:val="0"/>
    <w:rPr>
      <w:b/>
      <w:bCs/>
      <w:kern w:val="2"/>
      <w:sz w:val="32"/>
      <w:szCs w:val="32"/>
    </w:rPr>
  </w:style>
  <w:style w:type="character" w:customStyle="1" w:styleId="42">
    <w:name w:val="font01"/>
    <w:basedOn w:val="21"/>
    <w:qFormat/>
    <w:uiPriority w:val="0"/>
    <w:rPr>
      <w:rFonts w:hint="eastAsia" w:ascii="宋体" w:hAnsi="宋体" w:eastAsia="宋体" w:cs="宋体"/>
      <w:color w:val="000000"/>
      <w:sz w:val="21"/>
      <w:szCs w:val="21"/>
      <w:u w:val="none"/>
    </w:rPr>
  </w:style>
  <w:style w:type="character" w:customStyle="1" w:styleId="43">
    <w:name w:val="font21"/>
    <w:basedOn w:val="21"/>
    <w:qFormat/>
    <w:uiPriority w:val="0"/>
    <w:rPr>
      <w:rFonts w:hint="eastAsia" w:ascii="宋体" w:hAnsi="宋体" w:eastAsia="宋体" w:cs="宋体"/>
      <w:color w:val="000000"/>
      <w:sz w:val="21"/>
      <w:szCs w:val="21"/>
      <w:u w:val="none"/>
    </w:rPr>
  </w:style>
  <w:style w:type="paragraph" w:customStyle="1" w:styleId="44">
    <w:name w:val="Table Paragraph"/>
    <w:basedOn w:val="1"/>
    <w:qFormat/>
    <w:uiPriority w:val="1"/>
    <w:rPr>
      <w:rFonts w:ascii="宋体" w:hAnsi="宋体" w:cs="宋体"/>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20</Pages>
  <Words>9035</Words>
  <Characters>9398</Characters>
  <Lines>55</Lines>
  <Paragraphs>15</Paragraphs>
  <TotalTime>10</TotalTime>
  <ScaleCrop>false</ScaleCrop>
  <LinksUpToDate>false</LinksUpToDate>
  <CharactersWithSpaces>10053</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2023-11-01T07:01:00Z</dcterms:created>
  <dc:creator>微软用户</dc:creator>
  <cp:lastModifiedBy>hp</cp:lastModifiedBy>
  <cp:lastPrinted>2024-03-28T07:21:00Z</cp:lastPrinted>
  <dcterms:modified xsi:type="dcterms:W3CDTF">2024-05-17T08:49:35Z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038E38EDAB2D44EF9663259C0D4937A0_13</vt:lpwstr>
  </property>
</Properties>
</file>