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spacing w:line="360" w:lineRule="auto"/>
        <w:jc w:val="center"/>
        <w:rPr>
          <w:rFonts w:ascii="宋体" w:hAnsi="宋体" w:cs="宋体"/>
          <w:b/>
          <w:w w:val="90"/>
          <w:sz w:val="44"/>
          <w:szCs w:val="44"/>
        </w:rPr>
      </w:pPr>
    </w:p>
    <w:p>
      <w:pPr>
        <w:jc w:val="center"/>
        <w:rPr>
          <w:rFonts w:ascii="仿宋" w:hAnsi="仿宋" w:eastAsia="仿宋" w:cs="仿宋"/>
          <w:b/>
          <w:w w:val="90"/>
          <w:sz w:val="44"/>
          <w:szCs w:val="44"/>
        </w:rPr>
      </w:pPr>
      <w:bookmarkStart w:id="0" w:name="_Hlk107324724"/>
      <w:r>
        <w:rPr>
          <w:rFonts w:hint="eastAsia" w:ascii="仿宋" w:hAnsi="仿宋" w:eastAsia="仿宋" w:cs="仿宋"/>
          <w:b/>
          <w:w w:val="90"/>
          <w:sz w:val="44"/>
          <w:szCs w:val="44"/>
        </w:rPr>
        <w:t>兰州职业技术学院建设企业财务管理在线开放课程项目</w:t>
      </w:r>
    </w:p>
    <w:bookmarkEnd w:id="0"/>
    <w:p>
      <w:pPr>
        <w:spacing w:line="360" w:lineRule="auto"/>
        <w:rPr>
          <w:rFonts w:ascii="仿宋" w:hAnsi="仿宋" w:eastAsia="仿宋" w:cs="仿宋"/>
          <w:b/>
          <w:sz w:val="36"/>
          <w:szCs w:val="36"/>
        </w:rPr>
      </w:pP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10"/>
        <w:rPr>
          <w:rFonts w:ascii="仿宋" w:hAnsi="仿宋" w:eastAsia="仿宋" w:cs="仿宋"/>
          <w:szCs w:val="21"/>
        </w:rPr>
      </w:pPr>
    </w:p>
    <w:p>
      <w:pPr>
        <w:pStyle w:val="10"/>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eastAsia"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3</w:t>
      </w:r>
      <w:r>
        <w:rPr>
          <w:rFonts w:hint="eastAsia" w:ascii="仿宋" w:hAnsi="仿宋" w:eastAsia="仿宋" w:cs="仿宋"/>
          <w:b/>
          <w:sz w:val="36"/>
          <w:szCs w:val="36"/>
        </w:rPr>
        <w:t>00</w:t>
      </w:r>
      <w:r>
        <w:rPr>
          <w:rFonts w:hint="eastAsia" w:ascii="仿宋" w:hAnsi="仿宋" w:eastAsia="仿宋" w:cs="仿宋"/>
          <w:b/>
          <w:sz w:val="36"/>
          <w:szCs w:val="36"/>
          <w:lang w:val="en-US" w:eastAsia="zh-CN"/>
        </w:rPr>
        <w:t>2</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10"/>
        <w:ind w:firstLine="640"/>
        <w:rPr>
          <w:rFonts w:ascii="仿宋" w:hAnsi="仿宋" w:eastAsia="仿宋" w:cs="仿宋"/>
          <w:sz w:val="32"/>
          <w:szCs w:val="32"/>
        </w:rPr>
      </w:pPr>
    </w:p>
    <w:p>
      <w:pPr>
        <w:pStyle w:val="10"/>
        <w:ind w:firstLine="640"/>
        <w:rPr>
          <w:rFonts w:ascii="仿宋" w:hAnsi="仿宋" w:eastAsia="仿宋" w:cs="仿宋"/>
          <w:sz w:val="32"/>
          <w:szCs w:val="32"/>
        </w:rPr>
      </w:pPr>
    </w:p>
    <w:p>
      <w:pPr>
        <w:pStyle w:val="10"/>
        <w:ind w:firstLine="640"/>
        <w:rPr>
          <w:rFonts w:ascii="仿宋" w:hAnsi="仿宋" w:eastAsia="仿宋" w:cs="仿宋"/>
          <w:sz w:val="32"/>
          <w:szCs w:val="32"/>
        </w:rPr>
      </w:pPr>
    </w:p>
    <w:p>
      <w:pPr>
        <w:pStyle w:val="10"/>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1" w:name="_Toc30172"/>
      <w:bookmarkStart w:id="2" w:name="_Toc465152700"/>
      <w:bookmarkStart w:id="3" w:name="_Toc432437621"/>
      <w:r>
        <w:rPr>
          <w:rFonts w:hint="eastAsia" w:ascii="仿宋" w:hAnsi="仿宋" w:eastAsia="仿宋" w:cs="仿宋"/>
          <w:b/>
          <w:sz w:val="36"/>
          <w:szCs w:val="36"/>
        </w:rPr>
        <w:t>202</w:t>
      </w:r>
      <w:r>
        <w:rPr>
          <w:rFonts w:hint="eastAsia" w:ascii="仿宋" w:hAnsi="仿宋" w:eastAsia="仿宋" w:cs="仿宋"/>
          <w:b/>
          <w:sz w:val="36"/>
          <w:szCs w:val="36"/>
          <w:lang w:val="en-US" w:eastAsia="zh-CN"/>
        </w:rPr>
        <w:t>3</w:t>
      </w:r>
      <w:r>
        <w:rPr>
          <w:rFonts w:hint="eastAsia" w:ascii="仿宋" w:hAnsi="仿宋" w:eastAsia="仿宋" w:cs="仿宋"/>
          <w:b/>
          <w:sz w:val="36"/>
          <w:szCs w:val="36"/>
        </w:rPr>
        <w:t>年</w:t>
      </w:r>
      <w:r>
        <w:rPr>
          <w:rFonts w:hint="eastAsia" w:ascii="仿宋" w:hAnsi="仿宋" w:eastAsia="仿宋" w:cs="仿宋"/>
          <w:b/>
          <w:sz w:val="36"/>
          <w:szCs w:val="36"/>
          <w:lang w:val="en-US" w:eastAsia="zh-CN"/>
        </w:rPr>
        <w:t>5</w:t>
      </w:r>
      <w:r>
        <w:rPr>
          <w:rFonts w:hint="eastAsia" w:ascii="仿宋" w:hAnsi="仿宋" w:eastAsia="仿宋" w:cs="仿宋"/>
          <w:b/>
          <w:sz w:val="36"/>
          <w:szCs w:val="36"/>
        </w:rPr>
        <w:t>月</w:t>
      </w:r>
      <w:bookmarkEnd w:id="1"/>
      <w:bookmarkStart w:id="4" w:name="_Toc361769627"/>
      <w:bookmarkStart w:id="5" w:name="_Toc361769761"/>
    </w:p>
    <w:p>
      <w:pPr>
        <w:spacing w:line="360" w:lineRule="auto"/>
        <w:rPr>
          <w:rFonts w:ascii="仿宋" w:hAnsi="仿宋" w:eastAsia="仿宋" w:cs="仿宋"/>
          <w:bCs/>
        </w:rPr>
      </w:pPr>
    </w:p>
    <w:p>
      <w:pPr>
        <w:pStyle w:val="4"/>
        <w:snapToGrid w:val="0"/>
        <w:spacing w:before="0" w:after="0" w:line="360" w:lineRule="auto"/>
        <w:jc w:val="center"/>
        <w:rPr>
          <w:rFonts w:ascii="仿宋" w:hAnsi="仿宋" w:eastAsia="仿宋" w:cs="仿宋"/>
          <w:bCs w:val="0"/>
        </w:rPr>
      </w:pPr>
      <w:bookmarkStart w:id="6" w:name="_Toc4104"/>
      <w:bookmarkStart w:id="7" w:name="_Toc10210"/>
      <w:r>
        <w:rPr>
          <w:rFonts w:hint="eastAsia" w:ascii="仿宋" w:hAnsi="仿宋" w:eastAsia="仿宋" w:cs="仿宋"/>
          <w:bCs w:val="0"/>
        </w:rPr>
        <w:t>目   录</w:t>
      </w:r>
      <w:bookmarkEnd w:id="2"/>
      <w:bookmarkEnd w:id="3"/>
      <w:bookmarkEnd w:id="4"/>
      <w:bookmarkEnd w:id="5"/>
      <w:bookmarkEnd w:id="6"/>
      <w:bookmarkEnd w:id="7"/>
    </w:p>
    <w:p>
      <w:pPr>
        <w:spacing w:line="360" w:lineRule="auto"/>
        <w:rPr>
          <w:rFonts w:ascii="仿宋" w:hAnsi="仿宋" w:eastAsia="仿宋" w:cs="仿宋"/>
        </w:rPr>
      </w:pPr>
    </w:p>
    <w:p>
      <w:pPr>
        <w:pStyle w:val="27"/>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sz w:val="24"/>
          <w:szCs w:val="24"/>
        </w:rPr>
        <w:fldChar w:fldCharType="end"/>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8" w:name="_Toc361769628"/>
      <w:bookmarkStart w:id="9" w:name="_Toc361769762"/>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4"/>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4"/>
        <w:spacing w:line="360" w:lineRule="auto"/>
        <w:jc w:val="center"/>
        <w:rPr>
          <w:rFonts w:ascii="仿宋" w:hAnsi="仿宋" w:eastAsia="仿宋" w:cs="仿宋"/>
          <w:bCs w:val="0"/>
        </w:rPr>
      </w:pPr>
    </w:p>
    <w:p>
      <w:pPr>
        <w:pStyle w:val="4"/>
        <w:spacing w:line="360" w:lineRule="auto"/>
        <w:jc w:val="center"/>
        <w:rPr>
          <w:rFonts w:ascii="仿宋" w:hAnsi="仿宋" w:eastAsia="仿宋" w:cs="仿宋"/>
          <w:bCs w:val="0"/>
        </w:rPr>
      </w:pPr>
    </w:p>
    <w:p>
      <w:pPr>
        <w:pStyle w:val="4"/>
        <w:spacing w:line="360" w:lineRule="auto"/>
        <w:jc w:val="center"/>
        <w:rPr>
          <w:rFonts w:ascii="仿宋" w:hAnsi="仿宋" w:eastAsia="仿宋" w:cs="仿宋"/>
          <w:bCs w:val="0"/>
        </w:rPr>
      </w:pPr>
    </w:p>
    <w:p>
      <w:pPr>
        <w:pStyle w:val="4"/>
        <w:spacing w:line="360" w:lineRule="auto"/>
        <w:jc w:val="center"/>
        <w:rPr>
          <w:rFonts w:ascii="仿宋" w:hAnsi="仿宋" w:eastAsia="仿宋" w:cs="仿宋"/>
          <w:bCs w:val="0"/>
        </w:rPr>
      </w:pPr>
    </w:p>
    <w:p>
      <w:pPr>
        <w:pStyle w:val="4"/>
        <w:spacing w:line="360" w:lineRule="auto"/>
        <w:jc w:val="center"/>
        <w:rPr>
          <w:rFonts w:ascii="宋体" w:hAnsi="宋体" w:cs="宋体"/>
          <w:bCs w:val="0"/>
        </w:rPr>
      </w:pPr>
      <w:bookmarkStart w:id="10" w:name="_Toc19901"/>
      <w:r>
        <w:rPr>
          <w:rFonts w:hint="eastAsia" w:ascii="宋体" w:hAnsi="宋体" w:cs="宋体"/>
          <w:bCs w:val="0"/>
        </w:rPr>
        <w:t xml:space="preserve">第一部分  </w:t>
      </w:r>
      <w:bookmarkEnd w:id="8"/>
      <w:bookmarkEnd w:id="9"/>
      <w:r>
        <w:rPr>
          <w:rFonts w:hint="eastAsia" w:ascii="宋体" w:hAnsi="宋体" w:cs="宋体"/>
        </w:rPr>
        <w:t>竞争性磋商</w:t>
      </w:r>
      <w:bookmarkEnd w:id="10"/>
      <w:r>
        <w:rPr>
          <w:rFonts w:hint="eastAsia" w:ascii="宋体" w:hAnsi="宋体" w:cs="宋体"/>
        </w:rPr>
        <w:t>公告</w:t>
      </w:r>
    </w:p>
    <w:p>
      <w:pPr>
        <w:jc w:val="center"/>
        <w:rPr>
          <w:rFonts w:hint="eastAsia" w:ascii="宋体" w:hAnsi="宋体" w:eastAsia="宋体" w:cs="宋体"/>
          <w:b/>
          <w:bCs/>
          <w:sz w:val="28"/>
          <w:szCs w:val="32"/>
        </w:rPr>
      </w:pPr>
      <w:r>
        <w:rPr>
          <w:rFonts w:hint="eastAsia" w:ascii="仿宋" w:hAnsi="仿宋" w:eastAsia="仿宋" w:cs="仿宋"/>
          <w:b/>
          <w:bCs/>
          <w:sz w:val="44"/>
        </w:rPr>
        <w:br w:type="page"/>
      </w:r>
      <w:r>
        <w:rPr>
          <w:rFonts w:hint="eastAsia" w:ascii="宋体" w:hAnsi="宋体" w:eastAsia="宋体" w:cs="宋体"/>
          <w:b/>
          <w:bCs/>
          <w:sz w:val="28"/>
          <w:szCs w:val="32"/>
        </w:rPr>
        <w:t>兰州职业技术学院建设企业财务管理在线开放课程项目公告</w:t>
      </w:r>
    </w:p>
    <w:p>
      <w:pPr>
        <w:pStyle w:val="45"/>
        <w:rPr>
          <w:rFonts w:hint="eastAsia" w:ascii="宋体" w:hAnsi="宋体" w:eastAsia="宋体" w:cs="宋体"/>
          <w:b/>
          <w:bCs/>
          <w:sz w:val="28"/>
          <w:szCs w:val="32"/>
        </w:rPr>
      </w:pPr>
    </w:p>
    <w:p/>
    <w:p>
      <w:pPr>
        <w:jc w:val="left"/>
        <w:rPr>
          <w:rFonts w:hint="eastAsia" w:ascii="宋体" w:hAnsi="宋体" w:cs="宋体"/>
          <w:szCs w:val="21"/>
        </w:rPr>
      </w:pPr>
      <w:r>
        <w:rPr>
          <w:rFonts w:hint="eastAsia" w:ascii="宋体" w:hAnsi="宋体" w:cs="宋体"/>
          <w:sz w:val="24"/>
        </w:rPr>
        <w:t xml:space="preserve">   </w:t>
      </w:r>
      <w:r>
        <w:rPr>
          <w:rFonts w:hint="eastAsia" w:ascii="宋体" w:hAnsi="宋体" w:cs="宋体"/>
          <w:szCs w:val="21"/>
        </w:rPr>
        <w:t xml:space="preserve"> 兰州职业技术学院建设企业财务管理在线开放课程项目</w:t>
      </w:r>
      <w:r>
        <w:rPr>
          <w:rFonts w:hint="eastAsia" w:ascii="宋体" w:hAnsi="宋体" w:cs="宋体"/>
          <w:szCs w:val="21"/>
        </w:rPr>
        <w:t>以竞争性磋商方式进行采购，欢迎符合资格条件的供应商前来参加。</w:t>
      </w:r>
    </w:p>
    <w:p>
      <w:pPr>
        <w:numPr>
          <w:ilvl w:val="0"/>
          <w:numId w:val="4"/>
        </w:numPr>
        <w:snapToGrid w:val="0"/>
        <w:spacing w:line="360" w:lineRule="auto"/>
        <w:ind w:firstLine="422"/>
        <w:rPr>
          <w:rFonts w:ascii="宋体" w:hAnsi="宋体" w:cs="宋体"/>
          <w:b/>
          <w:szCs w:val="21"/>
        </w:rPr>
      </w:pPr>
      <w:r>
        <w:rPr>
          <w:rFonts w:hint="eastAsia" w:ascii="宋体" w:hAnsi="宋体" w:cs="宋体"/>
          <w:b/>
          <w:szCs w:val="21"/>
        </w:rPr>
        <w:t>磋商文件编号：LZCS—202</w:t>
      </w:r>
      <w:r>
        <w:rPr>
          <w:rFonts w:hint="eastAsia" w:ascii="宋体" w:hAnsi="宋体" w:cs="宋体"/>
          <w:b/>
          <w:szCs w:val="21"/>
          <w:lang w:val="en-US" w:eastAsia="zh-CN"/>
        </w:rPr>
        <w:t>3</w:t>
      </w:r>
      <w:r>
        <w:rPr>
          <w:rFonts w:hint="eastAsia" w:ascii="宋体" w:hAnsi="宋体" w:cs="宋体"/>
          <w:b/>
          <w:szCs w:val="21"/>
        </w:rPr>
        <w:t>00</w:t>
      </w:r>
      <w:r>
        <w:rPr>
          <w:rFonts w:hint="eastAsia" w:ascii="宋体" w:hAnsi="宋体" w:cs="宋体"/>
          <w:b/>
          <w:szCs w:val="21"/>
          <w:lang w:val="en-US" w:eastAsia="zh-CN"/>
        </w:rPr>
        <w:t>2</w:t>
      </w:r>
    </w:p>
    <w:p>
      <w:pPr>
        <w:numPr>
          <w:ilvl w:val="0"/>
          <w:numId w:val="4"/>
        </w:numPr>
        <w:snapToGrid w:val="0"/>
        <w:spacing w:line="360" w:lineRule="auto"/>
        <w:ind w:left="420" w:firstLine="422" w:firstLineChars="200"/>
        <w:jc w:val="left"/>
        <w:rPr>
          <w:rFonts w:ascii="宋体" w:hAnsi="宋体" w:cs="宋体"/>
          <w:b/>
          <w:szCs w:val="21"/>
        </w:rPr>
      </w:pPr>
      <w:r>
        <w:rPr>
          <w:rFonts w:hint="eastAsia" w:ascii="宋体" w:hAnsi="宋体" w:cs="宋体"/>
          <w:b/>
          <w:szCs w:val="21"/>
        </w:rPr>
        <w:t>磋商内容：</w:t>
      </w:r>
      <w:r>
        <w:rPr>
          <w:rFonts w:hint="eastAsia" w:ascii="宋体" w:hAnsi="宋体" w:cs="宋体"/>
          <w:szCs w:val="21"/>
        </w:rPr>
        <w:t>建设企业财务管理在线开放课程项目</w:t>
      </w:r>
    </w:p>
    <w:p>
      <w:pPr>
        <w:snapToGrid w:val="0"/>
        <w:spacing w:line="360" w:lineRule="auto"/>
        <w:ind w:left="842"/>
        <w:jc w:val="left"/>
        <w:rPr>
          <w:rFonts w:ascii="宋体" w:hAnsi="宋体" w:cs="宋体"/>
          <w:b/>
          <w:szCs w:val="21"/>
        </w:rPr>
      </w:pPr>
      <w:r>
        <w:rPr>
          <w:rFonts w:hint="eastAsia" w:ascii="宋体" w:hAnsi="宋体" w:cs="宋体"/>
          <w:b/>
          <w:szCs w:val="21"/>
        </w:rPr>
        <w:t>三、供应商资格要求：</w:t>
      </w:r>
    </w:p>
    <w:p>
      <w:pPr>
        <w:ind w:firstLine="420" w:firstLineChars="200"/>
        <w:jc w:val="left"/>
        <w:rPr>
          <w:rFonts w:ascii="宋体" w:hAnsi="宋体" w:cs="宋体"/>
          <w:szCs w:val="21"/>
        </w:rPr>
      </w:pPr>
      <w:r>
        <w:rPr>
          <w:rFonts w:hint="eastAsia" w:ascii="宋体" w:hAnsi="宋体" w:cs="宋体"/>
          <w:szCs w:val="21"/>
        </w:rPr>
        <w:t>1.供应商必须符合《中华人民共和国政府采购法》第二十二条要求；</w:t>
      </w:r>
    </w:p>
    <w:p>
      <w:pPr>
        <w:ind w:firstLine="420" w:firstLineChars="200"/>
        <w:jc w:val="left"/>
        <w:rPr>
          <w:rFonts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hint="default" w:ascii="宋体" w:hAnsi="宋体" w:eastAsia="宋体" w:cs="宋体"/>
          <w:szCs w:val="21"/>
          <w:lang w:val="en-US" w:eastAsia="zh-CN"/>
        </w:rPr>
      </w:pPr>
      <w:r>
        <w:rPr>
          <w:rFonts w:hint="eastAsia" w:ascii="宋体" w:hAnsi="宋体" w:cs="宋体"/>
          <w:szCs w:val="21"/>
        </w:rPr>
        <w:t>6.</w:t>
      </w:r>
      <w:r>
        <w:rPr>
          <w:rFonts w:hint="eastAsia" w:ascii="宋体" w:hAnsi="宋体" w:cs="宋体"/>
          <w:szCs w:val="21"/>
          <w:lang w:val="en-US" w:eastAsia="zh-CN"/>
        </w:rPr>
        <w:t>资格承诺函</w:t>
      </w:r>
    </w:p>
    <w:p>
      <w:pPr>
        <w:ind w:firstLine="420" w:firstLineChars="200"/>
        <w:jc w:val="lef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10"/>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10"/>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29</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29</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29</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default" w:ascii="宋体" w:hAnsi="宋体" w:cs="宋体"/>
          <w:szCs w:val="21"/>
          <w:lang w:val="en-US"/>
        </w:rPr>
      </w:pPr>
      <w:r>
        <w:rPr>
          <w:rFonts w:hint="eastAsia" w:ascii="宋体" w:hAnsi="宋体" w:cs="宋体"/>
          <w:szCs w:val="21"/>
          <w:lang w:val="en-US" w:eastAsia="zh-CN"/>
        </w:rPr>
        <w:t>项目联系人：陶</w:t>
      </w:r>
      <w:r>
        <w:rPr>
          <w:rFonts w:hint="eastAsia" w:ascii="宋体" w:hAnsi="宋体" w:cs="宋体"/>
          <w:szCs w:val="21"/>
        </w:rPr>
        <w:t xml:space="preserve">老师 </w:t>
      </w:r>
      <w:r>
        <w:rPr>
          <w:rFonts w:hint="eastAsia" w:ascii="宋体" w:hAnsi="宋体" w:cs="宋体"/>
          <w:szCs w:val="21"/>
          <w:lang w:val="en-US" w:eastAsia="zh-CN"/>
        </w:rPr>
        <w:t>13220404240</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吴老师</w:t>
      </w:r>
      <w:r>
        <w:rPr>
          <w:rFonts w:hint="eastAsia" w:ascii="宋体" w:hAnsi="宋体" w:cs="宋体"/>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r>
        <w:rPr>
          <w:rFonts w:hint="eastAsia" w:ascii="宋体" w:hAnsi="宋体" w:cs="宋体"/>
          <w:szCs w:val="21"/>
        </w:rPr>
        <w:t>联系电话：0931-7619761</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18</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4"/>
        <w:spacing w:line="360" w:lineRule="auto"/>
        <w:jc w:val="center"/>
        <w:rPr>
          <w:rFonts w:ascii="仿宋" w:hAnsi="仿宋" w:eastAsia="仿宋" w:cs="仿宋"/>
          <w:bCs w:val="0"/>
        </w:rPr>
      </w:pPr>
      <w:bookmarkStart w:id="11" w:name="_Toc361769763"/>
      <w:bookmarkStart w:id="12" w:name="_Toc361769629"/>
    </w:p>
    <w:p/>
    <w:p>
      <w:pPr>
        <w:pStyle w:val="4"/>
        <w:spacing w:line="360" w:lineRule="auto"/>
        <w:jc w:val="center"/>
        <w:rPr>
          <w:rFonts w:ascii="仿宋" w:hAnsi="仿宋" w:eastAsia="仿宋" w:cs="仿宋"/>
          <w:bCs w:val="0"/>
        </w:rPr>
      </w:pPr>
    </w:p>
    <w:p>
      <w:pPr>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10"/>
        <w:rPr>
          <w:rFonts w:ascii="仿宋" w:hAnsi="仿宋" w:eastAsia="仿宋" w:cs="仿宋"/>
          <w:bCs/>
        </w:rPr>
      </w:pPr>
    </w:p>
    <w:p>
      <w:pPr>
        <w:pStyle w:val="4"/>
        <w:spacing w:line="360" w:lineRule="auto"/>
        <w:jc w:val="center"/>
        <w:rPr>
          <w:rFonts w:ascii="宋体" w:hAnsi="宋体" w:cs="宋体"/>
          <w:bCs w:val="0"/>
        </w:rPr>
      </w:pPr>
    </w:p>
    <w:p>
      <w:pPr>
        <w:pStyle w:val="4"/>
        <w:spacing w:line="360" w:lineRule="auto"/>
        <w:jc w:val="center"/>
        <w:rPr>
          <w:rFonts w:ascii="宋体" w:hAnsi="宋体" w:cs="宋体"/>
          <w:bCs w:val="0"/>
        </w:rPr>
      </w:pPr>
      <w:bookmarkStart w:id="13" w:name="_Toc25306"/>
      <w:r>
        <w:rPr>
          <w:rFonts w:hint="eastAsia" w:ascii="宋体" w:hAnsi="宋体" w:cs="宋体"/>
          <w:bCs w:val="0"/>
        </w:rPr>
        <w:t>第二部分  供应商须知</w:t>
      </w:r>
      <w:bookmarkEnd w:id="11"/>
      <w:bookmarkEnd w:id="12"/>
      <w:bookmarkEnd w:id="13"/>
    </w:p>
    <w:p>
      <w:pPr>
        <w:pStyle w:val="20"/>
        <w:spacing w:line="360" w:lineRule="auto"/>
        <w:jc w:val="center"/>
        <w:rPr>
          <w:rFonts w:ascii="仿宋" w:hAnsi="仿宋" w:eastAsia="仿宋" w:cs="仿宋"/>
          <w:b/>
          <w:bCs/>
          <w:sz w:val="32"/>
          <w:szCs w:val="32"/>
        </w:rPr>
      </w:pPr>
      <w:bookmarkStart w:id="14" w:name="_Toc361769630"/>
      <w:bookmarkStart w:id="15" w:name="_Toc361769764"/>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2"/>
        <w:ind w:firstLine="321"/>
        <w:rPr>
          <w:rFonts w:ascii="仿宋" w:hAnsi="仿宋" w:eastAsia="仿宋" w:cs="仿宋"/>
          <w:b/>
          <w:bCs/>
          <w:color w:val="auto"/>
          <w:sz w:val="32"/>
          <w:szCs w:val="32"/>
        </w:rPr>
      </w:pPr>
    </w:p>
    <w:p>
      <w:pPr>
        <w:pStyle w:val="2"/>
        <w:ind w:firstLine="321"/>
        <w:rPr>
          <w:rFonts w:ascii="仿宋" w:hAnsi="仿宋" w:eastAsia="仿宋" w:cs="仿宋"/>
          <w:b/>
          <w:bCs/>
          <w:color w:val="auto"/>
          <w:sz w:val="32"/>
          <w:szCs w:val="32"/>
        </w:rPr>
      </w:pPr>
    </w:p>
    <w:p>
      <w:pPr>
        <w:pStyle w:val="2"/>
        <w:ind w:firstLine="321"/>
        <w:rPr>
          <w:rFonts w:ascii="仿宋" w:hAnsi="仿宋" w:eastAsia="仿宋" w:cs="仿宋"/>
          <w:b/>
          <w:bCs/>
          <w:color w:val="auto"/>
          <w:sz w:val="32"/>
          <w:szCs w:val="32"/>
        </w:rPr>
      </w:pPr>
    </w:p>
    <w:p>
      <w:pPr>
        <w:pStyle w:val="2"/>
        <w:ind w:firstLine="321"/>
        <w:rPr>
          <w:rFonts w:ascii="仿宋" w:hAnsi="仿宋" w:eastAsia="仿宋" w:cs="仿宋"/>
          <w:b/>
          <w:bCs/>
          <w:color w:val="auto"/>
          <w:sz w:val="32"/>
          <w:szCs w:val="32"/>
        </w:rPr>
      </w:pPr>
    </w:p>
    <w:p>
      <w:pPr>
        <w:pStyle w:val="10"/>
        <w:ind w:firstLine="0" w:firstLineChars="0"/>
        <w:rPr>
          <w:rFonts w:ascii="仿宋" w:hAnsi="仿宋" w:eastAsia="仿宋" w:cs="仿宋"/>
          <w:b/>
          <w:bCs/>
          <w:sz w:val="32"/>
          <w:szCs w:val="32"/>
        </w:rPr>
      </w:pPr>
    </w:p>
    <w:p>
      <w:pPr>
        <w:pStyle w:val="10"/>
        <w:ind w:firstLine="0" w:firstLineChars="0"/>
        <w:rPr>
          <w:rFonts w:ascii="仿宋" w:hAnsi="仿宋" w:eastAsia="仿宋" w:cs="仿宋"/>
          <w:b/>
          <w:bCs/>
          <w:sz w:val="32"/>
          <w:szCs w:val="32"/>
        </w:rPr>
      </w:pPr>
    </w:p>
    <w:p>
      <w:pPr>
        <w:pStyle w:val="10"/>
        <w:ind w:firstLine="0" w:firstLineChars="0"/>
        <w:rPr>
          <w:rFonts w:ascii="仿宋" w:hAnsi="仿宋" w:eastAsia="仿宋" w:cs="仿宋"/>
          <w:b/>
          <w:bCs/>
          <w:sz w:val="32"/>
          <w:szCs w:val="32"/>
        </w:rPr>
      </w:pPr>
    </w:p>
    <w:p>
      <w:pPr>
        <w:pStyle w:val="10"/>
        <w:ind w:firstLine="0" w:firstLineChars="0"/>
        <w:rPr>
          <w:rFonts w:ascii="仿宋" w:hAnsi="仿宋" w:eastAsia="仿宋" w:cs="仿宋"/>
          <w:b/>
          <w:bCs/>
          <w:sz w:val="32"/>
          <w:szCs w:val="32"/>
        </w:rPr>
      </w:pPr>
    </w:p>
    <w:p>
      <w:pPr>
        <w:pStyle w:val="10"/>
        <w:ind w:firstLine="0" w:firstLineChars="0"/>
        <w:rPr>
          <w:rFonts w:ascii="仿宋" w:hAnsi="仿宋" w:eastAsia="仿宋" w:cs="仿宋"/>
          <w:b/>
          <w:bCs/>
          <w:sz w:val="32"/>
          <w:szCs w:val="32"/>
        </w:rPr>
      </w:pPr>
    </w:p>
    <w:p>
      <w:pPr>
        <w:rPr>
          <w:rFonts w:ascii="仿宋" w:hAnsi="仿宋" w:eastAsia="仿宋" w:cs="仿宋"/>
        </w:rPr>
      </w:pPr>
    </w:p>
    <w:p>
      <w:pPr>
        <w:pStyle w:val="20"/>
        <w:spacing w:line="360" w:lineRule="auto"/>
        <w:jc w:val="center"/>
        <w:outlineLvl w:val="1"/>
        <w:rPr>
          <w:rFonts w:hint="eastAsia" w:hAnsi="宋体" w:cs="宋体"/>
          <w:b/>
          <w:sz w:val="32"/>
          <w:szCs w:val="32"/>
        </w:rPr>
      </w:pPr>
      <w:bookmarkStart w:id="16" w:name="_Toc17640"/>
      <w:bookmarkStart w:id="17" w:name="_Toc14913"/>
    </w:p>
    <w:p>
      <w:pPr>
        <w:pStyle w:val="20"/>
        <w:spacing w:line="360" w:lineRule="auto"/>
        <w:jc w:val="center"/>
        <w:outlineLvl w:val="1"/>
        <w:rPr>
          <w:rFonts w:hint="eastAsia" w:hAnsi="宋体" w:cs="宋体"/>
          <w:b/>
          <w:sz w:val="32"/>
          <w:szCs w:val="32"/>
        </w:rPr>
      </w:pPr>
    </w:p>
    <w:p>
      <w:pPr>
        <w:pStyle w:val="20"/>
        <w:spacing w:line="360" w:lineRule="auto"/>
        <w:jc w:val="center"/>
        <w:outlineLvl w:val="1"/>
        <w:rPr>
          <w:rFonts w:hint="eastAsia" w:hAnsi="宋体" w:cs="宋体"/>
          <w:b/>
          <w:sz w:val="32"/>
          <w:szCs w:val="32"/>
        </w:rPr>
      </w:pPr>
    </w:p>
    <w:p>
      <w:pPr>
        <w:pStyle w:val="20"/>
        <w:spacing w:line="360" w:lineRule="auto"/>
        <w:jc w:val="center"/>
        <w:outlineLvl w:val="1"/>
        <w:rPr>
          <w:rFonts w:hAnsi="宋体" w:cs="宋体"/>
          <w:b/>
          <w:sz w:val="32"/>
          <w:szCs w:val="32"/>
        </w:rPr>
      </w:pPr>
      <w:r>
        <w:rPr>
          <w:rFonts w:hint="eastAsia" w:hAnsi="宋体" w:cs="宋体"/>
          <w:b/>
          <w:sz w:val="32"/>
          <w:szCs w:val="32"/>
        </w:rPr>
        <w:t>一、供应商须知前附表</w:t>
      </w:r>
      <w:bookmarkEnd w:id="14"/>
      <w:bookmarkEnd w:id="15"/>
      <w:bookmarkEnd w:id="16"/>
      <w:bookmarkEnd w:id="17"/>
    </w:p>
    <w:p>
      <w:pPr>
        <w:pStyle w:val="20"/>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20"/>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cs="宋体"/>
                <w:szCs w:val="21"/>
              </w:rPr>
              <w:t>兰州职业技术学院建设企业财务管理在线开放课程项目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ascii="宋体" w:hAnsi="宋体" w:cs="宋体"/>
                <w:szCs w:val="21"/>
              </w:rPr>
              <w:t>兰州职业技术学院建设企业财务管理在线开放课程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numPr>
                <w:ilvl w:val="0"/>
                <w:numId w:val="4"/>
              </w:numPr>
              <w:snapToGrid w:val="0"/>
              <w:spacing w:line="360" w:lineRule="auto"/>
              <w:ind w:firstLine="420"/>
              <w:rPr>
                <w:rFonts w:ascii="宋体" w:hAnsi="宋体" w:cs="宋体"/>
                <w:bCs/>
                <w:szCs w:val="21"/>
                <w:lang w:bidi="ar"/>
              </w:rPr>
            </w:pPr>
            <w:r>
              <w:rPr>
                <w:rFonts w:hint="eastAsia" w:ascii="宋体" w:hAnsi="宋体" w:cs="宋体"/>
                <w:bCs/>
                <w:szCs w:val="21"/>
                <w:lang w:bidi="ar"/>
              </w:rPr>
              <w:t>本项目预算：</w:t>
            </w:r>
            <w:r>
              <w:rPr>
                <w:rFonts w:hint="eastAsia" w:ascii="宋体" w:hAnsi="宋体" w:cs="宋体"/>
                <w:bCs/>
                <w:szCs w:val="21"/>
                <w:lang w:val="en-US" w:eastAsia="zh-CN" w:bidi="ar"/>
              </w:rPr>
              <w:t>19.5</w:t>
            </w:r>
            <w:r>
              <w:rPr>
                <w:rFonts w:hint="eastAsia" w:ascii="宋体" w:hAnsi="宋体" w:cs="宋体"/>
                <w:bCs/>
                <w:szCs w:val="21"/>
                <w:lang w:bidi="ar"/>
              </w:rPr>
              <w:t>万元</w:t>
            </w:r>
            <w:r>
              <w:rPr>
                <w:rFonts w:ascii="宋体" w:hAnsi="宋体" w:cs="宋体"/>
                <w:bCs/>
                <w:szCs w:val="21"/>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ascii="宋体" w:hAnsi="宋体" w:cs="宋体"/>
                <w:bCs/>
                <w:szCs w:val="21"/>
                <w:lang w:bidi="ar"/>
              </w:rPr>
            </w:pPr>
            <w:r>
              <w:rPr>
                <w:rFonts w:hint="eastAsia" w:ascii="宋体" w:hAnsi="宋体" w:cs="宋体"/>
                <w:bCs/>
                <w:szCs w:val="21"/>
                <w:lang w:bidi="ar"/>
              </w:rPr>
              <w:t>6.</w:t>
            </w:r>
            <w:r>
              <w:rPr>
                <w:rFonts w:hint="eastAsia" w:ascii="宋体" w:hAnsi="宋体" w:cs="宋体"/>
                <w:szCs w:val="21"/>
                <w:lang w:val="en-US" w:eastAsia="zh-CN"/>
              </w:rPr>
              <w:t>资格承诺函</w:t>
            </w:r>
          </w:p>
          <w:p>
            <w:pPr>
              <w:spacing w:line="360" w:lineRule="exact"/>
              <w:ind w:firstLine="420" w:firstLineChars="200"/>
              <w:rPr>
                <w:rFonts w:ascii="宋体" w:hAnsi="宋体" w:cs="宋体"/>
                <w:bCs/>
                <w:szCs w:val="21"/>
                <w:lang w:bidi="ar"/>
              </w:rPr>
            </w:pPr>
            <w:r>
              <w:rPr>
                <w:rFonts w:hint="eastAsia" w:ascii="宋体" w:hAnsi="宋体" w:cs="宋体"/>
                <w:bCs/>
                <w:szCs w:val="21"/>
                <w:lang w:val="en-US" w:eastAsia="zh-CN" w:bidi="ar"/>
              </w:rPr>
              <w:t>7</w:t>
            </w:r>
            <w:r>
              <w:rPr>
                <w:rFonts w:hint="eastAsia" w:ascii="宋体" w:hAnsi="宋体" w:cs="宋体"/>
                <w:bCs/>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val="en-US" w:eastAsia="zh-CN" w:bidi="ar"/>
              </w:rPr>
              <w:t>8</w:t>
            </w:r>
            <w:r>
              <w:rPr>
                <w:rFonts w:hint="eastAsia" w:ascii="宋体" w:hAnsi="宋体" w:cs="宋体"/>
                <w:bCs/>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20"/>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20"/>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20"/>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w:t>
            </w:r>
            <w:r>
              <w:rPr>
                <w:rFonts w:hint="eastAsia" w:ascii="宋体" w:hAnsi="宋体" w:cs="宋体"/>
                <w:szCs w:val="21"/>
                <w:lang w:val="en-US" w:eastAsia="zh-CN"/>
              </w:rPr>
              <w:t>2023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日1</w:t>
            </w:r>
            <w:r>
              <w:rPr>
                <w:rFonts w:hint="eastAsia" w:ascii="宋体" w:hAnsi="宋体" w:cs="宋体"/>
                <w:szCs w:val="21"/>
                <w:lang w:val="en-US" w:eastAsia="zh-CN"/>
              </w:rPr>
              <w:t>7</w:t>
            </w:r>
            <w:r>
              <w:rPr>
                <w:rFonts w:hint="eastAsia" w:ascii="宋体" w:hAnsi="宋体" w:cs="宋体"/>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8"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8"/>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29</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bookmarkStart w:id="19" w:name="_Toc361769631"/>
            <w:bookmarkStart w:id="20" w:name="_Toc361769765"/>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供货期：采购人通知</w:t>
            </w:r>
            <w:r>
              <w:rPr>
                <w:rFonts w:hint="eastAsia" w:ascii="宋体" w:hAnsi="宋体" w:cs="宋体"/>
                <w:szCs w:val="21"/>
                <w:lang w:val="en-US" w:eastAsia="zh-CN"/>
              </w:rPr>
              <w:t>为准</w:t>
            </w:r>
            <w:r>
              <w:rPr>
                <w:rFonts w:ascii="宋体" w:hAnsi="宋体" w:cs="宋体"/>
                <w:szCs w:val="21"/>
              </w:rPr>
              <w:t xml:space="preserve"> </w:t>
            </w:r>
          </w:p>
        </w:tc>
      </w:tr>
    </w:tbl>
    <w:p>
      <w:pPr>
        <w:pStyle w:val="20"/>
        <w:spacing w:line="360" w:lineRule="auto"/>
        <w:outlineLvl w:val="1"/>
        <w:rPr>
          <w:rFonts w:ascii="仿宋" w:hAnsi="仿宋" w:eastAsia="仿宋" w:cs="仿宋"/>
          <w:b/>
          <w:bCs/>
          <w:sz w:val="32"/>
          <w:szCs w:val="32"/>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rPr>
          <w:rFonts w:ascii="仿宋" w:hAnsi="仿宋" w:eastAsia="仿宋" w:cs="仿宋"/>
        </w:rPr>
      </w:pPr>
    </w:p>
    <w:p>
      <w:pPr>
        <w:pStyle w:val="10"/>
        <w:ind w:firstLine="0" w:firstLineChars="0"/>
        <w:rPr>
          <w:rFonts w:ascii="仿宋" w:hAnsi="仿宋" w:eastAsia="仿宋" w:cs="仿宋"/>
        </w:rPr>
      </w:pPr>
    </w:p>
    <w:p>
      <w:pPr>
        <w:pStyle w:val="10"/>
        <w:rPr>
          <w:rFonts w:ascii="仿宋" w:hAnsi="仿宋" w:eastAsia="仿宋" w:cs="仿宋"/>
        </w:rPr>
      </w:pPr>
    </w:p>
    <w:p>
      <w:pPr>
        <w:pStyle w:val="20"/>
        <w:spacing w:line="360" w:lineRule="auto"/>
        <w:jc w:val="center"/>
        <w:outlineLvl w:val="1"/>
        <w:rPr>
          <w:rFonts w:hint="eastAsia" w:ascii="仿宋" w:hAnsi="仿宋" w:eastAsia="仿宋" w:cs="仿宋"/>
          <w:b/>
          <w:bCs/>
          <w:sz w:val="28"/>
          <w:szCs w:val="28"/>
        </w:rPr>
      </w:pPr>
      <w:bookmarkStart w:id="21" w:name="_Toc19997"/>
      <w:bookmarkStart w:id="22" w:name="_Toc23106"/>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ascii="仿宋" w:hAnsi="仿宋" w:eastAsia="仿宋" w:cs="仿宋"/>
          <w:b/>
          <w:bCs/>
          <w:sz w:val="28"/>
          <w:szCs w:val="28"/>
        </w:rPr>
      </w:pPr>
      <w:r>
        <w:rPr>
          <w:rFonts w:hint="eastAsia" w:ascii="仿宋" w:hAnsi="仿宋" w:eastAsia="仿宋" w:cs="仿宋"/>
          <w:b/>
          <w:bCs/>
          <w:sz w:val="28"/>
          <w:szCs w:val="28"/>
        </w:rPr>
        <w:t>二、供 应 商 须 知</w:t>
      </w:r>
      <w:bookmarkEnd w:id="19"/>
      <w:bookmarkEnd w:id="20"/>
      <w:bookmarkEnd w:id="21"/>
      <w:bookmarkEnd w:id="22"/>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3" w:name="_Toc24615"/>
      <w:r>
        <w:rPr>
          <w:rFonts w:hint="eastAsia" w:ascii="宋体" w:hAnsi="宋体" w:cs="宋体"/>
          <w:b/>
          <w:bCs/>
          <w:szCs w:val="21"/>
        </w:rPr>
        <w:t>3.3.4 磋商响应文件的密封和标注：</w:t>
      </w:r>
      <w:bookmarkEnd w:id="23"/>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4" w:name="_Toc504477602"/>
      <w:bookmarkStart w:id="25" w:name="_Toc29548"/>
      <w:bookmarkStart w:id="26" w:name="_Toc361769766"/>
      <w:bookmarkStart w:id="27"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4"/>
      <w:bookmarkEnd w:id="25"/>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3"/>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8"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8"/>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9"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9"/>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W w:w="8494" w:type="dxa"/>
        <w:tblInd w:w="0" w:type="dxa"/>
        <w:tblLayout w:type="fixed"/>
        <w:tblCellMar>
          <w:top w:w="0" w:type="dxa"/>
          <w:left w:w="108" w:type="dxa"/>
          <w:bottom w:w="0" w:type="dxa"/>
          <w:right w:w="108" w:type="dxa"/>
        </w:tblCellMar>
      </w:tblPr>
      <w:tblGrid>
        <w:gridCol w:w="537"/>
        <w:gridCol w:w="1142"/>
        <w:gridCol w:w="756"/>
        <w:gridCol w:w="5183"/>
        <w:gridCol w:w="876"/>
      </w:tblGrid>
      <w:tr>
        <w:tblPrEx>
          <w:tblCellMar>
            <w:top w:w="0" w:type="dxa"/>
            <w:left w:w="108" w:type="dxa"/>
            <w:bottom w:w="0" w:type="dxa"/>
            <w:right w:w="108" w:type="dxa"/>
          </w:tblCellMar>
        </w:tblPrEx>
        <w:trPr>
          <w:cantSplit/>
          <w:trHeight w:val="714" w:hRule="atLeast"/>
        </w:trPr>
        <w:tc>
          <w:tcPr>
            <w:tcW w:w="537" w:type="dxa"/>
            <w:tcBorders>
              <w:top w:val="single" w:color="000000" w:sz="4" w:space="0"/>
              <w:left w:val="single" w:color="000000" w:sz="4" w:space="0"/>
              <w:bottom w:val="single" w:color="000000" w:sz="4" w:space="0"/>
            </w:tcBorders>
            <w:vAlign w:val="center"/>
          </w:tcPr>
          <w:p>
            <w:pPr>
              <w:spacing w:line="260" w:lineRule="exact"/>
              <w:ind w:firstLine="28"/>
              <w:jc w:val="center"/>
              <w:rPr>
                <w:rFonts w:ascii="宋体" w:hAnsi="宋体" w:cs="仿宋"/>
                <w:b/>
                <w:szCs w:val="21"/>
              </w:rPr>
            </w:pPr>
            <w:r>
              <w:rPr>
                <w:rFonts w:hint="eastAsia" w:ascii="宋体" w:hAnsi="宋体" w:cs="仿宋"/>
                <w:b/>
                <w:szCs w:val="21"/>
              </w:rPr>
              <w:t>序号</w:t>
            </w:r>
          </w:p>
        </w:tc>
        <w:tc>
          <w:tcPr>
            <w:tcW w:w="1142" w:type="dxa"/>
            <w:tcBorders>
              <w:top w:val="single" w:color="000000" w:sz="4" w:space="0"/>
              <w:left w:val="single" w:color="000000" w:sz="4" w:space="0"/>
              <w:bottom w:val="single" w:color="000000" w:sz="4" w:space="0"/>
            </w:tcBorders>
            <w:vAlign w:val="center"/>
          </w:tcPr>
          <w:p>
            <w:pPr>
              <w:ind w:firstLine="28"/>
              <w:jc w:val="center"/>
              <w:rPr>
                <w:rFonts w:ascii="宋体" w:hAnsi="宋体" w:cs="仿宋"/>
                <w:b/>
                <w:szCs w:val="21"/>
              </w:rPr>
            </w:pPr>
            <w:r>
              <w:rPr>
                <w:rFonts w:hint="eastAsia" w:ascii="宋体" w:hAnsi="宋体" w:cs="仿宋"/>
                <w:b/>
                <w:szCs w:val="21"/>
              </w:rPr>
              <w:t>评分因素</w:t>
            </w:r>
          </w:p>
          <w:p>
            <w:pPr>
              <w:ind w:firstLine="28"/>
              <w:jc w:val="center"/>
              <w:rPr>
                <w:rFonts w:ascii="宋体" w:hAnsi="宋体" w:cs="仿宋"/>
                <w:b/>
                <w:szCs w:val="21"/>
              </w:rPr>
            </w:pPr>
            <w:r>
              <w:rPr>
                <w:rFonts w:hint="eastAsia" w:ascii="宋体" w:hAnsi="宋体" w:cs="仿宋"/>
                <w:b/>
                <w:szCs w:val="21"/>
              </w:rPr>
              <w:t>及权重</w:t>
            </w:r>
          </w:p>
        </w:tc>
        <w:tc>
          <w:tcPr>
            <w:tcW w:w="756" w:type="dxa"/>
            <w:tcBorders>
              <w:top w:val="single" w:color="000000" w:sz="4" w:space="0"/>
              <w:left w:val="single" w:color="000000" w:sz="4" w:space="0"/>
              <w:bottom w:val="single" w:color="000000" w:sz="4" w:space="0"/>
            </w:tcBorders>
            <w:vAlign w:val="center"/>
          </w:tcPr>
          <w:p>
            <w:pPr>
              <w:spacing w:line="260" w:lineRule="exact"/>
              <w:ind w:firstLine="28"/>
              <w:jc w:val="center"/>
              <w:rPr>
                <w:rFonts w:ascii="宋体" w:hAnsi="宋体" w:cs="仿宋"/>
                <w:b/>
                <w:szCs w:val="21"/>
              </w:rPr>
            </w:pPr>
            <w:r>
              <w:rPr>
                <w:rFonts w:hint="eastAsia" w:ascii="宋体" w:hAnsi="宋体" w:cs="仿宋"/>
                <w:b/>
                <w:szCs w:val="21"/>
              </w:rPr>
              <w:t>分值</w:t>
            </w:r>
          </w:p>
        </w:tc>
        <w:tc>
          <w:tcPr>
            <w:tcW w:w="5183" w:type="dxa"/>
            <w:tcBorders>
              <w:top w:val="single" w:color="000000" w:sz="4" w:space="0"/>
              <w:left w:val="single" w:color="000000" w:sz="4" w:space="0"/>
              <w:bottom w:val="single" w:color="000000" w:sz="4" w:space="0"/>
            </w:tcBorders>
            <w:vAlign w:val="center"/>
          </w:tcPr>
          <w:p>
            <w:pPr>
              <w:spacing w:line="260" w:lineRule="exact"/>
              <w:ind w:firstLine="28"/>
              <w:jc w:val="center"/>
              <w:rPr>
                <w:rFonts w:ascii="宋体" w:hAnsi="宋体" w:cs="仿宋"/>
                <w:b/>
                <w:szCs w:val="21"/>
              </w:rPr>
            </w:pPr>
            <w:r>
              <w:rPr>
                <w:rFonts w:hint="eastAsia" w:ascii="宋体" w:hAnsi="宋体" w:cs="仿宋"/>
                <w:b/>
                <w:szCs w:val="21"/>
              </w:rPr>
              <w:t>评分标准</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宋体" w:hAnsi="宋体" w:cs="仿宋"/>
                <w:b/>
                <w:szCs w:val="21"/>
              </w:rPr>
            </w:pPr>
            <w:r>
              <w:rPr>
                <w:rFonts w:hint="eastAsia" w:ascii="宋体" w:hAnsi="宋体" w:cs="仿宋"/>
                <w:b/>
                <w:szCs w:val="21"/>
              </w:rPr>
              <w:t>说明</w:t>
            </w:r>
          </w:p>
        </w:tc>
      </w:tr>
      <w:tr>
        <w:tblPrEx>
          <w:tblCellMar>
            <w:top w:w="0" w:type="dxa"/>
            <w:left w:w="108" w:type="dxa"/>
            <w:bottom w:w="0" w:type="dxa"/>
            <w:right w:w="108" w:type="dxa"/>
          </w:tblCellMar>
        </w:tblPrEx>
        <w:trPr>
          <w:cantSplit/>
          <w:trHeight w:val="912" w:hRule="atLeast"/>
        </w:trPr>
        <w:tc>
          <w:tcPr>
            <w:tcW w:w="537" w:type="dxa"/>
            <w:tcBorders>
              <w:top w:val="single" w:color="000000" w:sz="4" w:space="0"/>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ascii="宋体" w:hAnsi="宋体" w:cs="仿宋"/>
                <w:sz w:val="15"/>
                <w:szCs w:val="15"/>
              </w:rPr>
              <w:t>1</w:t>
            </w:r>
          </w:p>
        </w:tc>
        <w:tc>
          <w:tcPr>
            <w:tcW w:w="1142" w:type="dxa"/>
            <w:tcBorders>
              <w:top w:val="single" w:color="000000" w:sz="4" w:space="0"/>
              <w:left w:val="single" w:color="000000" w:sz="4" w:space="0"/>
              <w:bottom w:val="single" w:color="000000" w:sz="4" w:space="0"/>
            </w:tcBorders>
            <w:vAlign w:val="center"/>
          </w:tcPr>
          <w:p>
            <w:pPr>
              <w:ind w:firstLine="28"/>
              <w:jc w:val="center"/>
              <w:rPr>
                <w:rFonts w:ascii="宋体" w:hAnsi="宋体" w:cs="仿宋"/>
                <w:sz w:val="15"/>
                <w:szCs w:val="15"/>
              </w:rPr>
            </w:pPr>
            <w:r>
              <w:rPr>
                <w:rFonts w:hint="eastAsia" w:ascii="宋体" w:hAnsi="宋体" w:cs="仿宋"/>
                <w:sz w:val="15"/>
                <w:szCs w:val="15"/>
              </w:rPr>
              <w:t>价格</w:t>
            </w:r>
          </w:p>
        </w:tc>
        <w:tc>
          <w:tcPr>
            <w:tcW w:w="756" w:type="dxa"/>
            <w:tcBorders>
              <w:top w:val="single" w:color="000000" w:sz="4" w:space="0"/>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hint="eastAsia" w:ascii="宋体" w:hAnsi="宋体" w:cs="仿宋"/>
                <w:sz w:val="15"/>
                <w:szCs w:val="15"/>
              </w:rPr>
              <w:t>25分</w:t>
            </w:r>
          </w:p>
        </w:tc>
        <w:tc>
          <w:tcPr>
            <w:tcW w:w="5183" w:type="dxa"/>
            <w:tcBorders>
              <w:top w:val="single" w:color="000000" w:sz="4" w:space="0"/>
              <w:left w:val="single" w:color="000000" w:sz="4" w:space="0"/>
              <w:bottom w:val="single" w:color="000000" w:sz="4" w:space="0"/>
            </w:tcBorders>
            <w:vAlign w:val="center"/>
          </w:tcPr>
          <w:p>
            <w:pPr>
              <w:spacing w:line="280" w:lineRule="exact"/>
              <w:jc w:val="left"/>
              <w:rPr>
                <w:rFonts w:ascii="宋体" w:hAnsi="宋体" w:cs="仿宋"/>
                <w:sz w:val="15"/>
                <w:szCs w:val="15"/>
              </w:rPr>
            </w:pPr>
            <w:r>
              <w:rPr>
                <w:rFonts w:hint="eastAsia" w:ascii="宋体" w:hAnsi="宋体" w:cs="仿宋"/>
                <w:sz w:val="15"/>
                <w:szCs w:val="15"/>
              </w:rPr>
              <w:t>以本次有效的最低投标报价为基准价，投标报价得分</w:t>
            </w:r>
            <w:r>
              <w:rPr>
                <w:rFonts w:ascii="宋体" w:hAnsi="宋体" w:cs="仿宋"/>
                <w:sz w:val="15"/>
                <w:szCs w:val="15"/>
              </w:rPr>
              <w:t>=</w:t>
            </w:r>
            <w:r>
              <w:rPr>
                <w:rFonts w:hint="eastAsia" w:ascii="宋体" w:hAnsi="宋体" w:cs="仿宋"/>
                <w:sz w:val="15"/>
                <w:szCs w:val="15"/>
              </w:rPr>
              <w:t>（基准价</w:t>
            </w:r>
            <w:r>
              <w:rPr>
                <w:rFonts w:ascii="宋体" w:hAnsi="宋体" w:cs="仿宋"/>
                <w:sz w:val="15"/>
                <w:szCs w:val="15"/>
              </w:rPr>
              <w:t>/</w:t>
            </w:r>
            <w:r>
              <w:rPr>
                <w:rFonts w:hint="eastAsia" w:ascii="宋体" w:hAnsi="宋体" w:cs="仿宋"/>
                <w:sz w:val="15"/>
                <w:szCs w:val="15"/>
              </w:rPr>
              <w:t>投标报价）×25×</w:t>
            </w:r>
            <w:r>
              <w:rPr>
                <w:rFonts w:ascii="宋体" w:hAnsi="宋体" w:cs="仿宋"/>
                <w:sz w:val="15"/>
                <w:szCs w:val="15"/>
              </w:rPr>
              <w:t>100%</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360" w:lineRule="auto"/>
              <w:ind w:left="-38"/>
              <w:rPr>
                <w:rFonts w:ascii="宋体" w:hAnsi="宋体" w:cs="仿宋"/>
                <w:sz w:val="15"/>
                <w:szCs w:val="15"/>
              </w:rPr>
            </w:pPr>
          </w:p>
        </w:tc>
      </w:tr>
      <w:tr>
        <w:tblPrEx>
          <w:tblCellMar>
            <w:top w:w="0" w:type="dxa"/>
            <w:left w:w="108" w:type="dxa"/>
            <w:bottom w:w="0" w:type="dxa"/>
            <w:right w:w="108" w:type="dxa"/>
          </w:tblCellMar>
        </w:tblPrEx>
        <w:trPr>
          <w:cantSplit/>
          <w:trHeight w:val="2194" w:hRule="atLeast"/>
        </w:trPr>
        <w:tc>
          <w:tcPr>
            <w:tcW w:w="537" w:type="dxa"/>
            <w:tcBorders>
              <w:top w:val="single" w:color="000000" w:sz="4" w:space="0"/>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ascii="宋体" w:hAnsi="宋体" w:cs="仿宋"/>
                <w:sz w:val="15"/>
                <w:szCs w:val="15"/>
              </w:rPr>
              <w:t>2</w:t>
            </w:r>
          </w:p>
        </w:tc>
        <w:tc>
          <w:tcPr>
            <w:tcW w:w="1142" w:type="dxa"/>
            <w:tcBorders>
              <w:top w:val="single" w:color="000000" w:sz="4" w:space="0"/>
              <w:left w:val="single" w:color="000000" w:sz="4" w:space="0"/>
              <w:bottom w:val="single" w:color="000000" w:sz="4" w:space="0"/>
            </w:tcBorders>
            <w:vAlign w:val="center"/>
          </w:tcPr>
          <w:p>
            <w:pPr>
              <w:widowControl/>
              <w:jc w:val="center"/>
              <w:rPr>
                <w:rFonts w:ascii="宋体" w:hAnsi="宋体" w:cs="仿宋"/>
                <w:sz w:val="15"/>
                <w:szCs w:val="15"/>
              </w:rPr>
            </w:pPr>
            <w:r>
              <w:rPr>
                <w:rFonts w:hint="eastAsia" w:ascii="宋体" w:hAnsi="宋体" w:cs="仿宋"/>
                <w:kern w:val="0"/>
                <w:sz w:val="15"/>
                <w:szCs w:val="15"/>
                <w:lang w:bidi="ar"/>
              </w:rPr>
              <w:t>产品的技术规格、性能指标基本响应情况</w:t>
            </w:r>
          </w:p>
        </w:tc>
        <w:tc>
          <w:tcPr>
            <w:tcW w:w="756" w:type="dxa"/>
            <w:tcBorders>
              <w:top w:val="single" w:color="000000" w:sz="4" w:space="0"/>
              <w:left w:val="single" w:color="000000" w:sz="4" w:space="0"/>
              <w:bottom w:val="single" w:color="000000" w:sz="4" w:space="0"/>
            </w:tcBorders>
            <w:vAlign w:val="center"/>
          </w:tcPr>
          <w:p>
            <w:pPr>
              <w:widowControl/>
              <w:spacing w:line="360" w:lineRule="auto"/>
              <w:jc w:val="left"/>
              <w:rPr>
                <w:rFonts w:ascii="宋体" w:hAnsi="宋体" w:cs="仿宋"/>
                <w:sz w:val="15"/>
                <w:szCs w:val="15"/>
              </w:rPr>
            </w:pPr>
            <w:r>
              <w:rPr>
                <w:rFonts w:ascii="宋体" w:hAnsi="宋体" w:cs="仿宋"/>
                <w:kern w:val="0"/>
                <w:sz w:val="15"/>
                <w:szCs w:val="15"/>
                <w:lang w:bidi="ar"/>
              </w:rPr>
              <w:t>30</w:t>
            </w:r>
            <w:r>
              <w:rPr>
                <w:rFonts w:hint="eastAsia" w:ascii="宋体" w:hAnsi="宋体" w:cs="仿宋"/>
                <w:kern w:val="0"/>
                <w:sz w:val="15"/>
                <w:szCs w:val="15"/>
                <w:lang w:bidi="ar"/>
              </w:rPr>
              <w:t>分</w:t>
            </w:r>
          </w:p>
        </w:tc>
        <w:tc>
          <w:tcPr>
            <w:tcW w:w="5183" w:type="dxa"/>
            <w:tcBorders>
              <w:top w:val="single" w:color="000000" w:sz="4" w:space="0"/>
              <w:left w:val="single" w:color="000000" w:sz="4" w:space="0"/>
              <w:bottom w:val="single" w:color="000000" w:sz="4" w:space="0"/>
            </w:tcBorders>
            <w:vAlign w:val="center"/>
          </w:tcPr>
          <w:p>
            <w:pPr>
              <w:widowControl/>
              <w:spacing w:line="280" w:lineRule="exact"/>
              <w:jc w:val="left"/>
              <w:rPr>
                <w:rFonts w:ascii="宋体" w:hAnsi="宋体" w:cs="仿宋"/>
                <w:sz w:val="15"/>
                <w:szCs w:val="15"/>
              </w:rPr>
            </w:pPr>
            <w:r>
              <w:rPr>
                <w:rFonts w:hint="eastAsia" w:ascii="宋体" w:hAnsi="宋体" w:cs="仿宋"/>
                <w:kern w:val="0"/>
                <w:sz w:val="15"/>
                <w:szCs w:val="15"/>
                <w:lang w:bidi="ar"/>
              </w:rPr>
              <w:t>据各供应商或所投产品原厂商所投货物技术性能的优越性、功能配套的完整性以及对磋商文件项目建设内容（采购内容及要求中的各项主要技术性能、功能、配置等要求）的逐项响应承诺等方面情况由评委进行评分。完全响应磋商文件要求的得</w:t>
            </w:r>
            <w:r>
              <w:rPr>
                <w:rFonts w:ascii="宋体" w:hAnsi="宋体" w:cs="仿宋"/>
                <w:kern w:val="0"/>
                <w:sz w:val="15"/>
                <w:szCs w:val="15"/>
                <w:lang w:bidi="ar"/>
              </w:rPr>
              <w:t>30</w:t>
            </w:r>
            <w:r>
              <w:rPr>
                <w:rFonts w:hint="eastAsia" w:ascii="宋体" w:hAnsi="宋体" w:cs="仿宋"/>
                <w:kern w:val="0"/>
                <w:sz w:val="15"/>
                <w:szCs w:val="15"/>
                <w:lang w:bidi="ar"/>
              </w:rPr>
              <w:t>分。带▲号项为重要技术参数，需提供软件截图或者其他证明材料加盖供应商公章，不满足一项扣 5 分；其他技术要求项，每不满足一项扣 2 分。扣完为止。（满分 3</w:t>
            </w:r>
            <w:r>
              <w:rPr>
                <w:rFonts w:ascii="宋体" w:hAnsi="宋体" w:cs="仿宋"/>
                <w:kern w:val="0"/>
                <w:sz w:val="15"/>
                <w:szCs w:val="15"/>
                <w:lang w:bidi="ar"/>
              </w:rPr>
              <w:t>0</w:t>
            </w:r>
            <w:r>
              <w:rPr>
                <w:rFonts w:hint="eastAsia" w:ascii="宋体" w:hAnsi="宋体" w:cs="仿宋"/>
                <w:kern w:val="0"/>
                <w:sz w:val="15"/>
                <w:szCs w:val="15"/>
                <w:lang w:bidi="ar"/>
              </w:rPr>
              <w:t xml:space="preserve"> 分） </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8"/>
              <w:jc w:val="left"/>
              <w:rPr>
                <w:rFonts w:ascii="宋体" w:hAnsi="宋体" w:cs="仿宋"/>
                <w:sz w:val="15"/>
                <w:szCs w:val="15"/>
              </w:rPr>
            </w:pPr>
          </w:p>
        </w:tc>
      </w:tr>
      <w:tr>
        <w:trPr>
          <w:cantSplit/>
          <w:trHeight w:val="5281" w:hRule="atLeast"/>
        </w:trPr>
        <w:tc>
          <w:tcPr>
            <w:tcW w:w="537" w:type="dxa"/>
            <w:tcBorders>
              <w:top w:val="single" w:color="000000" w:sz="4" w:space="0"/>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ascii="宋体" w:hAnsi="宋体" w:cs="仿宋"/>
                <w:sz w:val="15"/>
                <w:szCs w:val="15"/>
              </w:rPr>
              <w:t>3</w:t>
            </w:r>
          </w:p>
        </w:tc>
        <w:tc>
          <w:tcPr>
            <w:tcW w:w="1142" w:type="dxa"/>
            <w:tcBorders>
              <w:top w:val="single" w:color="000000" w:sz="4" w:space="0"/>
              <w:left w:val="single" w:color="000000" w:sz="4" w:space="0"/>
              <w:bottom w:val="single" w:color="000000" w:sz="4" w:space="0"/>
            </w:tcBorders>
            <w:vAlign w:val="center"/>
          </w:tcPr>
          <w:p>
            <w:pPr>
              <w:widowControl/>
              <w:jc w:val="center"/>
              <w:rPr>
                <w:rFonts w:ascii="宋体" w:hAnsi="宋体" w:cs="仿宋"/>
                <w:sz w:val="15"/>
                <w:szCs w:val="15"/>
              </w:rPr>
            </w:pPr>
            <w:r>
              <w:rPr>
                <w:rFonts w:hint="eastAsia" w:ascii="宋体" w:hAnsi="宋体" w:cs="仿宋"/>
                <w:kern w:val="0"/>
                <w:sz w:val="15"/>
                <w:szCs w:val="15"/>
                <w:lang w:bidi="ar"/>
              </w:rPr>
              <w:t>服务保障能力</w:t>
            </w:r>
          </w:p>
        </w:tc>
        <w:tc>
          <w:tcPr>
            <w:tcW w:w="756" w:type="dxa"/>
            <w:tcBorders>
              <w:top w:val="single" w:color="000000" w:sz="4" w:space="0"/>
              <w:left w:val="single" w:color="000000" w:sz="4" w:space="0"/>
              <w:bottom w:val="single" w:color="000000" w:sz="4" w:space="0"/>
            </w:tcBorders>
            <w:vAlign w:val="center"/>
          </w:tcPr>
          <w:p>
            <w:pPr>
              <w:widowControl/>
              <w:spacing w:line="360" w:lineRule="auto"/>
              <w:jc w:val="left"/>
              <w:rPr>
                <w:rFonts w:ascii="宋体" w:hAnsi="宋体" w:cs="仿宋"/>
                <w:sz w:val="15"/>
                <w:szCs w:val="15"/>
              </w:rPr>
            </w:pPr>
            <w:r>
              <w:rPr>
                <w:rFonts w:hint="eastAsia" w:ascii="宋体" w:hAnsi="宋体" w:cs="仿宋"/>
                <w:kern w:val="0"/>
                <w:sz w:val="15"/>
                <w:szCs w:val="15"/>
                <w:lang w:bidi="ar"/>
              </w:rPr>
              <w:t>33分</w:t>
            </w:r>
          </w:p>
        </w:tc>
        <w:tc>
          <w:tcPr>
            <w:tcW w:w="5183" w:type="dxa"/>
            <w:tcBorders>
              <w:top w:val="single" w:color="000000" w:sz="4" w:space="0"/>
              <w:left w:val="single" w:color="000000" w:sz="4" w:space="0"/>
              <w:bottom w:val="single" w:color="000000" w:sz="4" w:space="0"/>
            </w:tcBorders>
            <w:vAlign w:val="center"/>
          </w:tcPr>
          <w:p>
            <w:pPr>
              <w:spacing w:line="280" w:lineRule="exact"/>
              <w:rPr>
                <w:rFonts w:ascii="宋体" w:hAnsi="宋体" w:cs="仿宋"/>
                <w:kern w:val="0"/>
                <w:sz w:val="15"/>
                <w:szCs w:val="15"/>
                <w:lang w:bidi="ar"/>
              </w:rPr>
            </w:pPr>
            <w:r>
              <w:rPr>
                <w:rFonts w:hint="eastAsia" w:ascii="宋体" w:hAnsi="宋体" w:cs="仿宋"/>
                <w:kern w:val="0"/>
                <w:sz w:val="15"/>
                <w:szCs w:val="15"/>
                <w:lang w:bidi="ar"/>
              </w:rPr>
              <w:t>1、项目负责人：</w:t>
            </w:r>
            <w:r>
              <w:rPr>
                <w:rFonts w:hint="eastAsia" w:ascii="宋体" w:hAnsi="宋体" w:cs="仿宋"/>
                <w:color w:val="000000" w:themeColor="text1"/>
                <w:kern w:val="0"/>
                <w:sz w:val="15"/>
                <w:szCs w:val="15"/>
                <w:lang w:bidi="ar"/>
                <w14:textFill>
                  <w14:solidFill>
                    <w14:schemeClr w14:val="tx1"/>
                  </w14:solidFill>
                </w14:textFill>
              </w:rPr>
              <w:t>具有信息系统项目管理师证书得</w:t>
            </w:r>
            <w:r>
              <w:rPr>
                <w:rFonts w:ascii="宋体" w:hAnsi="宋体" w:cs="仿宋"/>
                <w:color w:val="000000" w:themeColor="text1"/>
                <w:kern w:val="0"/>
                <w:sz w:val="15"/>
                <w:szCs w:val="15"/>
                <w:lang w:bidi="ar"/>
                <w14:textFill>
                  <w14:solidFill>
                    <w14:schemeClr w14:val="tx1"/>
                  </w14:solidFill>
                </w14:textFill>
              </w:rPr>
              <w:t>3</w:t>
            </w:r>
            <w:r>
              <w:rPr>
                <w:rFonts w:hint="eastAsia" w:ascii="宋体" w:hAnsi="宋体" w:cs="仿宋"/>
                <w:color w:val="000000" w:themeColor="text1"/>
                <w:kern w:val="0"/>
                <w:sz w:val="15"/>
                <w:szCs w:val="15"/>
                <w:lang w:bidi="ar"/>
                <w14:textFill>
                  <w14:solidFill>
                    <w14:schemeClr w14:val="tx1"/>
                  </w14:solidFill>
                </w14:textFill>
              </w:rPr>
              <w:t>分；</w:t>
            </w:r>
          </w:p>
          <w:p>
            <w:pPr>
              <w:pStyle w:val="23"/>
              <w:spacing w:line="280" w:lineRule="exact"/>
              <w:ind w:firstLine="0"/>
              <w:rPr>
                <w:rFonts w:ascii="宋体" w:hAnsi="宋体" w:cs="仿宋"/>
                <w:kern w:val="0"/>
                <w:sz w:val="15"/>
                <w:szCs w:val="15"/>
                <w:lang w:bidi="ar"/>
              </w:rPr>
            </w:pPr>
            <w:r>
              <w:rPr>
                <w:rFonts w:ascii="宋体" w:hAnsi="宋体" w:cs="仿宋"/>
                <w:kern w:val="0"/>
                <w:sz w:val="15"/>
                <w:szCs w:val="15"/>
                <w:lang w:bidi="ar"/>
              </w:rPr>
              <w:t>2</w:t>
            </w:r>
            <w:r>
              <w:rPr>
                <w:rFonts w:hint="eastAsia" w:ascii="宋体" w:hAnsi="宋体" w:cs="仿宋"/>
                <w:kern w:val="0"/>
                <w:sz w:val="15"/>
                <w:szCs w:val="15"/>
                <w:lang w:bidi="ar"/>
              </w:rPr>
              <w:t>、项目实施人员：具有高级工程师职称证书每有1人得</w:t>
            </w:r>
            <w:r>
              <w:rPr>
                <w:rFonts w:ascii="宋体" w:hAnsi="宋体" w:cs="仿宋"/>
                <w:kern w:val="0"/>
                <w:sz w:val="15"/>
                <w:szCs w:val="15"/>
                <w:lang w:bidi="ar"/>
              </w:rPr>
              <w:t>2</w:t>
            </w:r>
            <w:r>
              <w:rPr>
                <w:rFonts w:hint="eastAsia" w:ascii="宋体" w:hAnsi="宋体" w:cs="仿宋"/>
                <w:kern w:val="0"/>
                <w:sz w:val="15"/>
                <w:szCs w:val="15"/>
                <w:lang w:bidi="ar"/>
              </w:rPr>
              <w:t>分，最多得</w:t>
            </w:r>
            <w:r>
              <w:rPr>
                <w:rFonts w:ascii="宋体" w:hAnsi="宋体" w:cs="仿宋"/>
                <w:kern w:val="0"/>
                <w:sz w:val="15"/>
                <w:szCs w:val="15"/>
                <w:lang w:bidi="ar"/>
              </w:rPr>
              <w:t>6</w:t>
            </w:r>
            <w:r>
              <w:rPr>
                <w:rFonts w:hint="eastAsia" w:ascii="宋体" w:hAnsi="宋体" w:cs="仿宋"/>
                <w:kern w:val="0"/>
                <w:sz w:val="15"/>
                <w:szCs w:val="15"/>
                <w:lang w:bidi="ar"/>
              </w:rPr>
              <w:t>分。</w:t>
            </w:r>
          </w:p>
          <w:p>
            <w:pPr>
              <w:spacing w:line="280" w:lineRule="exact"/>
              <w:rPr>
                <w:rFonts w:ascii="宋体" w:hAnsi="宋体" w:cs="仿宋"/>
                <w:kern w:val="0"/>
                <w:sz w:val="15"/>
                <w:szCs w:val="15"/>
                <w:lang w:bidi="ar"/>
              </w:rPr>
            </w:pPr>
            <w:r>
              <w:rPr>
                <w:rFonts w:hint="eastAsia" w:ascii="宋体" w:hAnsi="宋体" w:cs="仿宋"/>
                <w:kern w:val="0"/>
                <w:sz w:val="15"/>
                <w:szCs w:val="15"/>
                <w:lang w:bidi="ar"/>
              </w:rPr>
              <w:t>3、项目专家团队：拟投入本项目的专家组成员具备副高及以上职称有一个得1分，最多得</w:t>
            </w:r>
            <w:r>
              <w:rPr>
                <w:rFonts w:ascii="宋体" w:hAnsi="宋体" w:cs="仿宋"/>
                <w:kern w:val="0"/>
                <w:sz w:val="15"/>
                <w:szCs w:val="15"/>
                <w:lang w:bidi="ar"/>
              </w:rPr>
              <w:t>8</w:t>
            </w:r>
            <w:r>
              <w:rPr>
                <w:rFonts w:hint="eastAsia" w:ascii="宋体" w:hAnsi="宋体" w:cs="仿宋"/>
                <w:kern w:val="0"/>
                <w:sz w:val="15"/>
                <w:szCs w:val="15"/>
                <w:lang w:bidi="ar"/>
              </w:rPr>
              <w:t>分。</w:t>
            </w:r>
          </w:p>
          <w:p>
            <w:pPr>
              <w:spacing w:line="280" w:lineRule="exact"/>
              <w:rPr>
                <w:rFonts w:ascii="宋体" w:hAnsi="宋体" w:cs="仿宋"/>
                <w:kern w:val="0"/>
                <w:sz w:val="15"/>
                <w:szCs w:val="15"/>
                <w:lang w:bidi="ar"/>
              </w:rPr>
            </w:pPr>
            <w:r>
              <w:rPr>
                <w:rFonts w:hint="eastAsia" w:ascii="宋体" w:hAnsi="宋体" w:cs="仿宋"/>
                <w:kern w:val="0"/>
                <w:sz w:val="15"/>
                <w:szCs w:val="15"/>
                <w:lang w:bidi="ar"/>
              </w:rPr>
              <w:t>4、项目实施方案：根据提供的项目实施方案（包含①实施流程、②实施计划、③工期进度保证措施、④应急保障措施及处置方案⑤信息化项目实施与售后服务支撑平台）以上内容完整齐全、完全满足项目要求并且能够最大化保障项目顺利实施的得5分，每有一项缺失扣1分，每有一项不完善或与本项目实际需求不符合扣0</w:t>
            </w:r>
            <w:r>
              <w:rPr>
                <w:rFonts w:ascii="宋体" w:hAnsi="宋体" w:cs="仿宋"/>
                <w:kern w:val="0"/>
                <w:sz w:val="15"/>
                <w:szCs w:val="15"/>
                <w:lang w:bidi="ar"/>
              </w:rPr>
              <w:t>.5</w:t>
            </w:r>
            <w:r>
              <w:rPr>
                <w:rFonts w:hint="eastAsia" w:ascii="宋体" w:hAnsi="宋体" w:cs="仿宋"/>
                <w:kern w:val="0"/>
                <w:sz w:val="15"/>
                <w:szCs w:val="15"/>
                <w:lang w:bidi="ar"/>
              </w:rPr>
              <w:t>分；扣完为止。</w:t>
            </w:r>
          </w:p>
          <w:p>
            <w:pPr>
              <w:widowControl/>
              <w:spacing w:line="280" w:lineRule="exact"/>
              <w:jc w:val="left"/>
              <w:rPr>
                <w:rFonts w:ascii="宋体" w:hAnsi="宋体" w:cs="仿宋"/>
                <w:kern w:val="0"/>
                <w:sz w:val="15"/>
                <w:szCs w:val="15"/>
                <w:lang w:bidi="ar"/>
              </w:rPr>
            </w:pPr>
            <w:r>
              <w:rPr>
                <w:rFonts w:ascii="宋体" w:hAnsi="宋体" w:cs="仿宋"/>
                <w:kern w:val="0"/>
                <w:sz w:val="15"/>
                <w:szCs w:val="15"/>
                <w:lang w:bidi="ar"/>
              </w:rPr>
              <w:t>5</w:t>
            </w:r>
            <w:r>
              <w:rPr>
                <w:rFonts w:hint="eastAsia" w:ascii="宋体" w:hAnsi="宋体" w:cs="仿宋"/>
                <w:kern w:val="0"/>
                <w:sz w:val="15"/>
                <w:szCs w:val="15"/>
                <w:lang w:bidi="ar"/>
              </w:rPr>
              <w:t>、售后服务方案：根据比选申请人提供的售后服务方案进行评分，包括具体的售后服务体系、售后服务承诺、故障响应能力进行评定，综合评定科学合理、能够满足售后服务要求，保障售后服务质量得</w:t>
            </w:r>
            <w:r>
              <w:rPr>
                <w:rFonts w:ascii="宋体" w:hAnsi="宋体" w:cs="仿宋"/>
                <w:kern w:val="0"/>
                <w:sz w:val="15"/>
                <w:szCs w:val="15"/>
                <w:lang w:bidi="ar"/>
              </w:rPr>
              <w:t>6</w:t>
            </w:r>
            <w:r>
              <w:rPr>
                <w:rFonts w:hint="eastAsia" w:ascii="宋体" w:hAnsi="宋体" w:cs="仿宋"/>
                <w:kern w:val="0"/>
                <w:sz w:val="15"/>
                <w:szCs w:val="15"/>
                <w:lang w:bidi="ar"/>
              </w:rPr>
              <w:t>分；方案笼统，但能满足售后服务要求，保障售后服务质量得</w:t>
            </w:r>
            <w:r>
              <w:rPr>
                <w:rFonts w:ascii="宋体" w:hAnsi="宋体" w:cs="仿宋"/>
                <w:kern w:val="0"/>
                <w:sz w:val="15"/>
                <w:szCs w:val="15"/>
                <w:lang w:bidi="ar"/>
              </w:rPr>
              <w:t>3</w:t>
            </w:r>
            <w:r>
              <w:rPr>
                <w:rFonts w:hint="eastAsia" w:ascii="宋体" w:hAnsi="宋体" w:cs="仿宋"/>
                <w:kern w:val="0"/>
                <w:sz w:val="15"/>
                <w:szCs w:val="15"/>
                <w:lang w:bidi="ar"/>
              </w:rPr>
              <w:t>分；其余得2分。</w:t>
            </w:r>
          </w:p>
          <w:p>
            <w:pPr>
              <w:pStyle w:val="2"/>
              <w:spacing w:line="280" w:lineRule="exact"/>
              <w:rPr>
                <w:sz w:val="15"/>
                <w:szCs w:val="15"/>
              </w:rPr>
            </w:pPr>
            <w:r>
              <w:rPr>
                <w:rFonts w:hint="eastAsia" w:ascii="宋体" w:cs="仿宋"/>
                <w:kern w:val="0"/>
                <w:sz w:val="15"/>
                <w:szCs w:val="15"/>
                <w:lang w:bidi="ar"/>
              </w:rPr>
              <w:t>拟派驻本项目的服务人员须为本单位人员（提供身份证复印件及该人员为供应商单位人员证明材料的复印件）</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8"/>
              <w:jc w:val="left"/>
              <w:rPr>
                <w:rFonts w:ascii="宋体" w:hAnsi="宋体" w:cs="仿宋"/>
                <w:sz w:val="15"/>
                <w:szCs w:val="15"/>
              </w:rPr>
            </w:pPr>
          </w:p>
        </w:tc>
      </w:tr>
      <w:tr>
        <w:tblPrEx>
          <w:tblCellMar>
            <w:top w:w="0" w:type="dxa"/>
            <w:left w:w="108" w:type="dxa"/>
            <w:bottom w:w="0" w:type="dxa"/>
            <w:right w:w="108" w:type="dxa"/>
          </w:tblCellMar>
        </w:tblPrEx>
        <w:trPr>
          <w:cantSplit/>
          <w:trHeight w:val="1568" w:hRule="atLeast"/>
        </w:trPr>
        <w:tc>
          <w:tcPr>
            <w:tcW w:w="537" w:type="dxa"/>
            <w:tcBorders>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ascii="宋体" w:hAnsi="宋体" w:cs="仿宋"/>
                <w:sz w:val="15"/>
                <w:szCs w:val="15"/>
              </w:rPr>
              <w:t>4</w:t>
            </w:r>
          </w:p>
        </w:tc>
        <w:tc>
          <w:tcPr>
            <w:tcW w:w="1142" w:type="dxa"/>
            <w:tcBorders>
              <w:left w:val="single" w:color="000000" w:sz="4" w:space="0"/>
              <w:bottom w:val="single" w:color="000000" w:sz="4" w:space="0"/>
            </w:tcBorders>
            <w:vAlign w:val="center"/>
          </w:tcPr>
          <w:p>
            <w:pPr>
              <w:widowControl/>
              <w:jc w:val="center"/>
              <w:rPr>
                <w:rFonts w:ascii="宋体" w:hAnsi="宋体" w:cs="仿宋"/>
                <w:sz w:val="15"/>
                <w:szCs w:val="15"/>
              </w:rPr>
            </w:pPr>
            <w:r>
              <w:rPr>
                <w:rFonts w:hint="eastAsia" w:ascii="宋体" w:hAnsi="宋体" w:cs="仿宋"/>
                <w:kern w:val="0"/>
                <w:sz w:val="15"/>
                <w:szCs w:val="15"/>
                <w:lang w:bidi="ar"/>
              </w:rPr>
              <w:t>综合实力</w:t>
            </w:r>
          </w:p>
        </w:tc>
        <w:tc>
          <w:tcPr>
            <w:tcW w:w="756" w:type="dxa"/>
            <w:tcBorders>
              <w:top w:val="single" w:color="000000" w:sz="4" w:space="0"/>
              <w:left w:val="single" w:color="000000" w:sz="4" w:space="0"/>
              <w:bottom w:val="single" w:color="000000" w:sz="4" w:space="0"/>
            </w:tcBorders>
            <w:vAlign w:val="center"/>
          </w:tcPr>
          <w:p>
            <w:pPr>
              <w:widowControl/>
              <w:spacing w:line="360" w:lineRule="auto"/>
              <w:jc w:val="center"/>
              <w:rPr>
                <w:rFonts w:ascii="宋体" w:hAnsi="宋体" w:cs="仿宋"/>
                <w:sz w:val="15"/>
                <w:szCs w:val="15"/>
              </w:rPr>
            </w:pPr>
            <w:r>
              <w:rPr>
                <w:rFonts w:ascii="宋体" w:hAnsi="宋体" w:cs="仿宋"/>
                <w:kern w:val="0"/>
                <w:sz w:val="15"/>
                <w:szCs w:val="15"/>
                <w:lang w:bidi="ar"/>
              </w:rPr>
              <w:t>6</w:t>
            </w:r>
            <w:r>
              <w:rPr>
                <w:rFonts w:hint="eastAsia" w:ascii="宋体" w:hAnsi="宋体" w:cs="仿宋"/>
                <w:kern w:val="0"/>
                <w:sz w:val="15"/>
                <w:szCs w:val="15"/>
                <w:lang w:bidi="ar"/>
              </w:rPr>
              <w:t>分</w:t>
            </w:r>
          </w:p>
        </w:tc>
        <w:tc>
          <w:tcPr>
            <w:tcW w:w="5183" w:type="dxa"/>
            <w:tcBorders>
              <w:top w:val="single" w:color="000000" w:sz="4" w:space="0"/>
              <w:left w:val="single" w:color="000000" w:sz="4" w:space="0"/>
              <w:bottom w:val="single" w:color="000000" w:sz="4" w:space="0"/>
            </w:tcBorders>
            <w:vAlign w:val="center"/>
          </w:tcPr>
          <w:p>
            <w:pPr>
              <w:spacing w:line="280" w:lineRule="exact"/>
              <w:ind w:right="-63" w:rightChars="-30"/>
              <w:rPr>
                <w:rFonts w:ascii="宋体" w:hAnsi="宋体" w:cs="仿宋"/>
                <w:sz w:val="15"/>
                <w:szCs w:val="15"/>
              </w:rPr>
            </w:pPr>
            <w:r>
              <w:rPr>
                <w:rFonts w:hint="eastAsia" w:ascii="宋体" w:hAnsi="宋体" w:cs="仿宋"/>
                <w:bCs/>
                <w:sz w:val="15"/>
                <w:szCs w:val="15"/>
              </w:rPr>
              <w:t>供应商具有智能化教学设计与制作软件著作权，精品课程制作软件著作权，网络教学平台著作权，微课程加工制作软件著作权，交互式数字教材学习系统著作权，教学动画开发平台著作权每有一项得1分，总分6分，</w:t>
            </w:r>
            <w:r>
              <w:rPr>
                <w:rFonts w:hint="eastAsia" w:ascii="宋体" w:hAnsi="宋体"/>
                <w:sz w:val="15"/>
                <w:szCs w:val="15"/>
              </w:rPr>
              <w:t>提供证书复印件并加盖公章，不提供不得分。</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8"/>
              <w:jc w:val="left"/>
              <w:rPr>
                <w:rFonts w:ascii="宋体" w:hAnsi="宋体" w:cs="仿宋"/>
                <w:sz w:val="15"/>
                <w:szCs w:val="15"/>
              </w:rPr>
            </w:pPr>
          </w:p>
        </w:tc>
      </w:tr>
      <w:tr>
        <w:tblPrEx>
          <w:tblCellMar>
            <w:top w:w="0" w:type="dxa"/>
            <w:left w:w="108" w:type="dxa"/>
            <w:bottom w:w="0" w:type="dxa"/>
            <w:right w:w="108" w:type="dxa"/>
          </w:tblCellMar>
        </w:tblPrEx>
        <w:trPr>
          <w:cantSplit/>
          <w:trHeight w:val="1670" w:hRule="atLeast"/>
        </w:trPr>
        <w:tc>
          <w:tcPr>
            <w:tcW w:w="537" w:type="dxa"/>
            <w:tcBorders>
              <w:top w:val="single" w:color="000000" w:sz="4" w:space="0"/>
              <w:left w:val="single" w:color="000000" w:sz="4" w:space="0"/>
              <w:bottom w:val="single" w:color="000000" w:sz="4" w:space="0"/>
            </w:tcBorders>
            <w:vAlign w:val="center"/>
          </w:tcPr>
          <w:p>
            <w:pPr>
              <w:spacing w:line="360" w:lineRule="auto"/>
              <w:ind w:firstLine="28"/>
              <w:jc w:val="center"/>
              <w:rPr>
                <w:rFonts w:ascii="宋体" w:hAnsi="宋体" w:cs="仿宋"/>
                <w:sz w:val="15"/>
                <w:szCs w:val="15"/>
              </w:rPr>
            </w:pPr>
            <w:r>
              <w:rPr>
                <w:rFonts w:ascii="宋体" w:hAnsi="宋体" w:cs="仿宋"/>
                <w:sz w:val="15"/>
                <w:szCs w:val="15"/>
              </w:rPr>
              <w:t>5</w:t>
            </w:r>
          </w:p>
        </w:tc>
        <w:tc>
          <w:tcPr>
            <w:tcW w:w="1142" w:type="dxa"/>
            <w:tcBorders>
              <w:top w:val="single" w:color="000000" w:sz="4" w:space="0"/>
              <w:left w:val="single" w:color="000000" w:sz="4" w:space="0"/>
              <w:bottom w:val="single" w:color="000000" w:sz="4" w:space="0"/>
            </w:tcBorders>
            <w:vAlign w:val="center"/>
          </w:tcPr>
          <w:p>
            <w:pPr>
              <w:widowControl/>
              <w:jc w:val="center"/>
              <w:rPr>
                <w:rFonts w:ascii="宋体" w:hAnsi="宋体" w:cs="仿宋"/>
                <w:sz w:val="15"/>
                <w:szCs w:val="15"/>
              </w:rPr>
            </w:pPr>
            <w:r>
              <w:rPr>
                <w:rFonts w:hint="eastAsia" w:ascii="宋体" w:hAnsi="宋体" w:cs="仿宋"/>
                <w:sz w:val="15"/>
                <w:szCs w:val="15"/>
              </w:rPr>
              <w:t>平台服务能力</w:t>
            </w:r>
          </w:p>
        </w:tc>
        <w:tc>
          <w:tcPr>
            <w:tcW w:w="756" w:type="dxa"/>
            <w:tcBorders>
              <w:top w:val="single" w:color="000000" w:sz="4" w:space="0"/>
              <w:left w:val="single" w:color="000000" w:sz="4" w:space="0"/>
              <w:bottom w:val="single" w:color="000000" w:sz="4" w:space="0"/>
            </w:tcBorders>
            <w:vAlign w:val="center"/>
          </w:tcPr>
          <w:p>
            <w:pPr>
              <w:widowControl/>
              <w:spacing w:line="360" w:lineRule="auto"/>
              <w:jc w:val="center"/>
              <w:rPr>
                <w:rFonts w:ascii="宋体" w:hAnsi="宋体" w:cs="仿宋"/>
                <w:sz w:val="15"/>
                <w:szCs w:val="15"/>
              </w:rPr>
            </w:pPr>
            <w:r>
              <w:rPr>
                <w:rFonts w:ascii="宋体" w:hAnsi="宋体" w:cs="仿宋"/>
                <w:kern w:val="0"/>
                <w:sz w:val="15"/>
                <w:szCs w:val="15"/>
                <w:lang w:bidi="ar"/>
              </w:rPr>
              <w:t>6</w:t>
            </w:r>
            <w:r>
              <w:rPr>
                <w:rFonts w:hint="eastAsia" w:ascii="宋体" w:hAnsi="宋体" w:cs="仿宋"/>
                <w:kern w:val="0"/>
                <w:sz w:val="15"/>
                <w:szCs w:val="15"/>
                <w:lang w:bidi="ar"/>
              </w:rPr>
              <w:t>分</w:t>
            </w:r>
          </w:p>
        </w:tc>
        <w:tc>
          <w:tcPr>
            <w:tcW w:w="5183" w:type="dxa"/>
            <w:tcBorders>
              <w:top w:val="single" w:color="000000" w:sz="4" w:space="0"/>
              <w:left w:val="single" w:color="000000" w:sz="4" w:space="0"/>
              <w:bottom w:val="single" w:color="000000" w:sz="4" w:space="0"/>
            </w:tcBorders>
            <w:vAlign w:val="center"/>
          </w:tcPr>
          <w:p>
            <w:pPr>
              <w:widowControl/>
              <w:spacing w:line="280" w:lineRule="exact"/>
              <w:jc w:val="left"/>
              <w:rPr>
                <w:rFonts w:ascii="宋体" w:hAnsi="宋体" w:cs="仿宋"/>
                <w:sz w:val="15"/>
                <w:szCs w:val="15"/>
              </w:rPr>
            </w:pPr>
            <w:r>
              <w:rPr>
                <w:rFonts w:hint="eastAsia" w:ascii="宋体" w:cs="宋体"/>
                <w:sz w:val="15"/>
                <w:szCs w:val="15"/>
              </w:rPr>
              <w:t>课程运行平台具有一定的国际化推广能力，与国际知名慕课平台有相关协议。最多得</w:t>
            </w:r>
            <w:r>
              <w:rPr>
                <w:rFonts w:ascii="宋体" w:cs="宋体"/>
                <w:sz w:val="15"/>
                <w:szCs w:val="15"/>
              </w:rPr>
              <w:t>6</w:t>
            </w:r>
            <w:r>
              <w:rPr>
                <w:rFonts w:hint="eastAsia" w:ascii="宋体" w:cs="宋体"/>
                <w:sz w:val="15"/>
                <w:szCs w:val="15"/>
              </w:rPr>
              <w:t>分。（需提供相关证明材料</w:t>
            </w:r>
            <w:r>
              <w:rPr>
                <w:rStyle w:val="121"/>
                <w:rFonts w:hint="default" w:cs="宋体"/>
                <w:sz w:val="15"/>
                <w:szCs w:val="15"/>
              </w:rPr>
              <w:t>并加盖供应商公章</w:t>
            </w:r>
            <w:r>
              <w:rPr>
                <w:rFonts w:hint="eastAsia" w:ascii="宋体" w:cs="宋体"/>
                <w:sz w:val="15"/>
                <w:szCs w:val="15"/>
              </w:rPr>
              <w:t>，不提供不得分）</w:t>
            </w:r>
          </w:p>
        </w:tc>
        <w:tc>
          <w:tcPr>
            <w:tcW w:w="876" w:type="dxa"/>
            <w:tcBorders>
              <w:top w:val="single" w:color="000000" w:sz="4" w:space="0"/>
              <w:left w:val="single" w:color="000000" w:sz="4" w:space="0"/>
              <w:bottom w:val="single" w:color="000000" w:sz="4" w:space="0"/>
              <w:right w:val="single" w:color="000000" w:sz="4" w:space="0"/>
            </w:tcBorders>
            <w:vAlign w:val="center"/>
          </w:tcPr>
          <w:p>
            <w:pPr>
              <w:spacing w:line="360" w:lineRule="auto"/>
              <w:ind w:firstLine="28"/>
              <w:jc w:val="left"/>
              <w:rPr>
                <w:rFonts w:ascii="宋体" w:hAnsi="宋体" w:cs="仿宋"/>
                <w:sz w:val="15"/>
                <w:szCs w:val="15"/>
              </w:rPr>
            </w:pPr>
          </w:p>
        </w:tc>
      </w:tr>
    </w:tbl>
    <w:p>
      <w:pPr>
        <w:pStyle w:val="31"/>
      </w:pPr>
    </w:p>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10"/>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10"/>
        <w:ind w:firstLine="480"/>
        <w:rPr>
          <w:rFonts w:ascii="宋体" w:hAnsi="宋体" w:cs="宋体"/>
          <w:sz w:val="24"/>
        </w:rPr>
      </w:pPr>
    </w:p>
    <w:p>
      <w:pPr>
        <w:pStyle w:val="10"/>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5"/>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5"/>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10"/>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十二、本合同一式四份，其中，需方二份，供方二份均具有同等法律效力。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10"/>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ind w:firstLine="480"/>
        <w:rPr>
          <w:rFonts w:ascii="宋体" w:hAnsi="宋体" w:cs="宋体"/>
          <w:kern w:val="0"/>
          <w:sz w:val="24"/>
        </w:rPr>
      </w:pPr>
    </w:p>
    <w:p>
      <w:pPr>
        <w:pStyle w:val="10"/>
        <w:rPr>
          <w:rFonts w:ascii="宋体" w:hAnsi="宋体" w:cs="宋体"/>
        </w:rPr>
      </w:pPr>
    </w:p>
    <w:bookmarkEnd w:id="26"/>
    <w:bookmarkEnd w:id="27"/>
    <w:p>
      <w:pPr>
        <w:spacing w:line="360" w:lineRule="auto"/>
        <w:jc w:val="center"/>
        <w:rPr>
          <w:rFonts w:ascii="宋体" w:hAnsi="宋体" w:cs="宋体"/>
          <w:b/>
          <w:bCs/>
          <w:sz w:val="44"/>
        </w:rPr>
      </w:pPr>
    </w:p>
    <w:p>
      <w:pPr>
        <w:spacing w:after="160" w:line="360" w:lineRule="auto"/>
        <w:rPr>
          <w:rFonts w:ascii="宋体" w:hAnsi="宋体" w:cs="宋体"/>
          <w:sz w:val="24"/>
        </w:rPr>
      </w:pPr>
      <w:bookmarkStart w:id="30" w:name="_Toc361769774"/>
      <w:bookmarkStart w:id="31" w:name="_Toc365276924"/>
      <w:bookmarkStart w:id="32" w:name="_Toc361769640"/>
    </w:p>
    <w:p>
      <w:pPr>
        <w:spacing w:after="160" w:line="360" w:lineRule="auto"/>
        <w:rPr>
          <w:rFonts w:ascii="宋体" w:hAnsi="宋体" w:cs="宋体"/>
          <w:sz w:val="24"/>
        </w:rPr>
      </w:pPr>
    </w:p>
    <w:p>
      <w:pPr>
        <w:pStyle w:val="10"/>
        <w:ind w:firstLine="480"/>
        <w:rPr>
          <w:rFonts w:ascii="宋体" w:hAnsi="宋体" w:cs="宋体"/>
          <w:sz w:val="24"/>
        </w:rPr>
      </w:pPr>
    </w:p>
    <w:p>
      <w:pPr>
        <w:pStyle w:val="10"/>
        <w:ind w:firstLine="480"/>
        <w:rPr>
          <w:rFonts w:ascii="宋体" w:hAnsi="宋体" w:cs="宋体"/>
          <w:sz w:val="24"/>
        </w:rPr>
      </w:pPr>
    </w:p>
    <w:p>
      <w:pPr>
        <w:pStyle w:val="10"/>
        <w:ind w:firstLine="480"/>
        <w:rPr>
          <w:rFonts w:ascii="宋体" w:hAnsi="宋体" w:cs="宋体"/>
          <w:sz w:val="24"/>
        </w:rPr>
      </w:pPr>
    </w:p>
    <w:p>
      <w:pPr>
        <w:pStyle w:val="10"/>
        <w:ind w:firstLine="480"/>
        <w:rPr>
          <w:rFonts w:ascii="宋体" w:hAnsi="宋体" w:cs="宋体"/>
          <w:sz w:val="24"/>
        </w:rPr>
      </w:pPr>
    </w:p>
    <w:p>
      <w:pPr>
        <w:pStyle w:val="10"/>
        <w:ind w:firstLine="480"/>
        <w:rPr>
          <w:rFonts w:ascii="宋体" w:hAnsi="宋体" w:cs="宋体"/>
          <w:sz w:val="24"/>
        </w:rPr>
      </w:pPr>
    </w:p>
    <w:p>
      <w:pPr>
        <w:spacing w:after="160" w:line="360" w:lineRule="auto"/>
        <w:rPr>
          <w:rFonts w:ascii="宋体" w:hAnsi="宋体" w:cs="宋体"/>
          <w:sz w:val="24"/>
        </w:rPr>
      </w:pPr>
    </w:p>
    <w:p>
      <w:pPr>
        <w:pStyle w:val="4"/>
        <w:spacing w:line="360" w:lineRule="auto"/>
        <w:jc w:val="center"/>
        <w:rPr>
          <w:rFonts w:ascii="宋体" w:hAnsi="宋体" w:cs="宋体"/>
        </w:rPr>
        <w:sectPr>
          <w:pgSz w:w="11906" w:h="16838"/>
          <w:pgMar w:top="1191" w:right="1587" w:bottom="1191" w:left="1587" w:header="851" w:footer="992" w:gutter="0"/>
          <w:cols w:space="720" w:num="1"/>
          <w:titlePg/>
        </w:sectPr>
      </w:pPr>
      <w:bookmarkStart w:id="33" w:name="_Toc498079263"/>
      <w:bookmarkStart w:id="34" w:name="_Toc3989"/>
      <w:bookmarkStart w:id="35" w:name="_Toc480203888"/>
      <w:r>
        <w:rPr>
          <w:rFonts w:hint="eastAsia" w:ascii="宋体" w:hAnsi="宋体" w:cs="宋体"/>
        </w:rPr>
        <w:t>第三部分 技术参数及项目</w:t>
      </w:r>
      <w:bookmarkEnd w:id="33"/>
      <w:bookmarkEnd w:id="34"/>
      <w:bookmarkEnd w:id="35"/>
      <w:r>
        <w:rPr>
          <w:rFonts w:hint="eastAsia" w:ascii="宋体" w:hAnsi="宋体" w:cs="宋体"/>
        </w:rPr>
        <w:t>需求</w:t>
      </w:r>
    </w:p>
    <w:p>
      <w:pPr>
        <w:rPr>
          <w:rFonts w:ascii="宋体" w:hAnsi="宋体" w:cs="宋体"/>
          <w:b/>
          <w:sz w:val="30"/>
          <w:szCs w:val="30"/>
        </w:rPr>
      </w:pPr>
      <w:bookmarkStart w:id="36" w:name="_Toc498079264"/>
      <w:r>
        <w:rPr>
          <w:rFonts w:hint="eastAsia" w:ascii="宋体" w:hAnsi="宋体" w:cs="宋体"/>
          <w:b/>
          <w:sz w:val="30"/>
          <w:szCs w:val="30"/>
        </w:rPr>
        <w:t>一、技术参数及项目需求</w:t>
      </w:r>
    </w:p>
    <w:p>
      <w:pPr>
        <w:pStyle w:val="31"/>
      </w:pPr>
    </w:p>
    <w:p>
      <w:pPr>
        <w:pStyle w:val="122"/>
        <w:numPr>
          <w:ilvl w:val="0"/>
          <w:numId w:val="0"/>
        </w:numPr>
        <w:spacing w:before="0" w:beforeAutospacing="0" w:after="0" w:afterAutospacing="0" w:line="360" w:lineRule="auto"/>
        <w:ind w:left="424" w:hanging="273" w:hangingChars="151"/>
        <w:jc w:val="center"/>
        <w:rPr>
          <w:rFonts w:ascii="宋体" w:hAnsi="宋体" w:eastAsia="宋体"/>
          <w:sz w:val="18"/>
          <w:szCs w:val="18"/>
        </w:rPr>
      </w:pPr>
      <w:r>
        <w:rPr>
          <w:rFonts w:hint="eastAsia" w:ascii="Times New Roman" w:hAnsi="Times New Roman" w:eastAsia="宋体"/>
          <w:bCs w:val="0"/>
          <w:kern w:val="2"/>
          <w:sz w:val="18"/>
          <w:szCs w:val="18"/>
        </w:rPr>
        <w:t>《企业财务管理精品课程》招标内容和</w:t>
      </w:r>
      <w:bookmarkStart w:id="37" w:name="_Toc6345"/>
      <w:bookmarkStart w:id="38" w:name="_Toc16782"/>
      <w:bookmarkStart w:id="39" w:name="_Toc3379_WPSOffice_Level2"/>
      <w:r>
        <w:rPr>
          <w:rFonts w:hint="eastAsia" w:ascii="Times New Roman" w:hAnsi="Times New Roman" w:eastAsia="宋体"/>
          <w:bCs w:val="0"/>
          <w:kern w:val="2"/>
          <w:sz w:val="18"/>
          <w:szCs w:val="18"/>
        </w:rPr>
        <w:t>相关要求</w:t>
      </w:r>
      <w:bookmarkEnd w:id="37"/>
      <w:bookmarkEnd w:id="38"/>
      <w:bookmarkEnd w:id="39"/>
    </w:p>
    <w:p>
      <w:pPr>
        <w:pStyle w:val="5"/>
        <w:rPr>
          <w:sz w:val="18"/>
          <w:szCs w:val="18"/>
        </w:rPr>
      </w:pPr>
      <w:r>
        <w:rPr>
          <w:rFonts w:hint="eastAsia"/>
          <w:sz w:val="18"/>
          <w:szCs w:val="18"/>
        </w:rPr>
        <w:t>（一）采购的主要内容</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758"/>
        <w:gridCol w:w="2784"/>
        <w:gridCol w:w="1076"/>
        <w:gridCol w:w="926"/>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07" w:type="pct"/>
            <w:vMerge w:val="restar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序号</w:t>
            </w:r>
          </w:p>
        </w:tc>
        <w:tc>
          <w:tcPr>
            <w:tcW w:w="1469" w:type="pct"/>
            <w:vMerge w:val="restar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名称</w:t>
            </w:r>
          </w:p>
        </w:tc>
        <w:tc>
          <w:tcPr>
            <w:tcW w:w="1483" w:type="pct"/>
            <w:vMerge w:val="restar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主要性能指标</w:t>
            </w:r>
          </w:p>
        </w:tc>
        <w:tc>
          <w:tcPr>
            <w:tcW w:w="1066" w:type="pct"/>
            <w:gridSpan w:val="2"/>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购置数</w:t>
            </w:r>
          </w:p>
        </w:tc>
        <w:tc>
          <w:tcPr>
            <w:tcW w:w="573" w:type="pct"/>
            <w:vMerge w:val="restar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限价</w:t>
            </w:r>
          </w:p>
          <w:p>
            <w:pPr>
              <w:widowControl/>
              <w:snapToGrid w:val="0"/>
              <w:jc w:val="center"/>
              <w:rPr>
                <w:sz w:val="18"/>
                <w:szCs w:val="18"/>
              </w:rPr>
            </w:pPr>
            <w:r>
              <w:rPr>
                <w:rFonts w:hint="eastAsia" w:ascii="宋体" w:hAnsi="宋体" w:cs="宋体"/>
                <w:b/>
                <w:bCs/>
                <w:kern w:val="0"/>
                <w:sz w:val="18"/>
                <w:szCs w:val="18"/>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07" w:type="pct"/>
            <w:vMerge w:val="continue"/>
            <w:vAlign w:val="center"/>
          </w:tcPr>
          <w:p>
            <w:pPr>
              <w:widowControl/>
              <w:snapToGrid w:val="0"/>
              <w:jc w:val="left"/>
              <w:rPr>
                <w:rFonts w:ascii="宋体" w:hAnsi="宋体" w:cs="宋体"/>
                <w:b/>
                <w:bCs/>
                <w:kern w:val="0"/>
                <w:sz w:val="18"/>
                <w:szCs w:val="18"/>
              </w:rPr>
            </w:pPr>
          </w:p>
        </w:tc>
        <w:tc>
          <w:tcPr>
            <w:tcW w:w="1469" w:type="pct"/>
            <w:vMerge w:val="continue"/>
            <w:vAlign w:val="center"/>
          </w:tcPr>
          <w:p>
            <w:pPr>
              <w:widowControl/>
              <w:snapToGrid w:val="0"/>
              <w:jc w:val="left"/>
              <w:rPr>
                <w:rFonts w:ascii="宋体" w:hAnsi="宋体" w:cs="宋体"/>
                <w:b/>
                <w:bCs/>
                <w:kern w:val="0"/>
                <w:sz w:val="18"/>
                <w:szCs w:val="18"/>
              </w:rPr>
            </w:pPr>
          </w:p>
        </w:tc>
        <w:tc>
          <w:tcPr>
            <w:tcW w:w="1483" w:type="pct"/>
            <w:vMerge w:val="continue"/>
            <w:vAlign w:val="center"/>
          </w:tcPr>
          <w:p>
            <w:pPr>
              <w:widowControl/>
              <w:snapToGrid w:val="0"/>
              <w:jc w:val="center"/>
              <w:rPr>
                <w:rFonts w:ascii="宋体" w:hAnsi="宋体" w:cs="宋体"/>
                <w:b/>
                <w:bCs/>
                <w:kern w:val="0"/>
                <w:sz w:val="18"/>
                <w:szCs w:val="18"/>
              </w:rPr>
            </w:pPr>
          </w:p>
        </w:tc>
        <w:tc>
          <w:tcPr>
            <w:tcW w:w="573" w:type="pc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单位</w:t>
            </w:r>
          </w:p>
        </w:tc>
        <w:tc>
          <w:tcPr>
            <w:tcW w:w="492" w:type="pct"/>
            <w:vAlign w:val="center"/>
          </w:tcPr>
          <w:p>
            <w:pPr>
              <w:widowControl/>
              <w:snapToGrid w:val="0"/>
              <w:jc w:val="center"/>
              <w:rPr>
                <w:rFonts w:ascii="宋体" w:hAnsi="宋体" w:cs="宋体"/>
                <w:b/>
                <w:bCs/>
                <w:kern w:val="0"/>
                <w:sz w:val="18"/>
                <w:szCs w:val="18"/>
              </w:rPr>
            </w:pPr>
            <w:r>
              <w:rPr>
                <w:rFonts w:hint="eastAsia" w:ascii="宋体" w:hAnsi="宋体" w:cs="宋体"/>
                <w:b/>
                <w:bCs/>
                <w:kern w:val="0"/>
                <w:sz w:val="18"/>
                <w:szCs w:val="18"/>
              </w:rPr>
              <w:t>数量</w:t>
            </w:r>
          </w:p>
        </w:tc>
        <w:tc>
          <w:tcPr>
            <w:tcW w:w="573" w:type="pct"/>
            <w:vMerge w:val="continue"/>
            <w:vAlign w:val="center"/>
          </w:tcPr>
          <w:p>
            <w:pPr>
              <w:widowControl/>
              <w:snapToGrid w:val="0"/>
              <w:jc w:val="center"/>
              <w:rPr>
                <w:rFonts w:ascii="宋体" w:hAnsi="宋体" w:cs="宋体"/>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07" w:type="pct"/>
            <w:vAlign w:val="center"/>
          </w:tcPr>
          <w:p>
            <w:pPr>
              <w:widowControl/>
              <w:snapToGrid w:val="0"/>
              <w:jc w:val="center"/>
              <w:rPr>
                <w:rFonts w:ascii="宋体" w:hAnsi="宋体" w:cs="宋体"/>
                <w:kern w:val="0"/>
                <w:sz w:val="18"/>
                <w:szCs w:val="18"/>
              </w:rPr>
            </w:pPr>
            <w:r>
              <w:rPr>
                <w:rFonts w:hint="eastAsia" w:ascii="宋体" w:hAnsi="宋体" w:cs="宋体"/>
                <w:kern w:val="0"/>
                <w:sz w:val="18"/>
                <w:szCs w:val="18"/>
              </w:rPr>
              <w:t>1</w:t>
            </w:r>
          </w:p>
        </w:tc>
        <w:tc>
          <w:tcPr>
            <w:tcW w:w="1469" w:type="pct"/>
            <w:vAlign w:val="center"/>
          </w:tcPr>
          <w:p>
            <w:pPr>
              <w:widowControl/>
              <w:snapToGrid w:val="0"/>
              <w:jc w:val="center"/>
              <w:rPr>
                <w:rFonts w:ascii="宋体" w:hAnsi="宋体" w:eastAsia="Calibri" w:cs="宋体"/>
                <w:kern w:val="0"/>
                <w:sz w:val="18"/>
                <w:szCs w:val="18"/>
              </w:rPr>
            </w:pPr>
            <w:r>
              <w:rPr>
                <w:rFonts w:hint="eastAsia" w:ascii="宋体" w:hAnsi="宋体" w:cs="宋体"/>
                <w:kern w:val="0"/>
                <w:sz w:val="18"/>
                <w:szCs w:val="18"/>
              </w:rPr>
              <w:t>企业财务管理</w:t>
            </w:r>
          </w:p>
        </w:tc>
        <w:tc>
          <w:tcPr>
            <w:tcW w:w="1483" w:type="pct"/>
            <w:vAlign w:val="center"/>
          </w:tcPr>
          <w:p>
            <w:pPr>
              <w:widowControl/>
              <w:snapToGrid w:val="0"/>
              <w:jc w:val="center"/>
              <w:rPr>
                <w:rFonts w:ascii="宋体" w:hAnsi="宋体"/>
                <w:bCs/>
                <w:sz w:val="18"/>
                <w:szCs w:val="18"/>
              </w:rPr>
            </w:pPr>
            <w:r>
              <w:rPr>
                <w:rFonts w:hint="eastAsia" w:ascii="宋体" w:hAnsi="宋体"/>
                <w:bCs/>
                <w:sz w:val="18"/>
                <w:szCs w:val="18"/>
              </w:rPr>
              <w:t>见详细技术服务参数</w:t>
            </w:r>
          </w:p>
        </w:tc>
        <w:tc>
          <w:tcPr>
            <w:tcW w:w="573" w:type="pct"/>
            <w:vAlign w:val="center"/>
          </w:tcPr>
          <w:p>
            <w:pPr>
              <w:widowControl/>
              <w:snapToGrid w:val="0"/>
              <w:jc w:val="center"/>
              <w:rPr>
                <w:rFonts w:ascii="宋体" w:hAnsi="宋体" w:eastAsia="Calibri" w:cs="宋体"/>
                <w:kern w:val="0"/>
                <w:sz w:val="18"/>
                <w:szCs w:val="18"/>
              </w:rPr>
            </w:pPr>
            <w:r>
              <w:rPr>
                <w:rFonts w:hint="eastAsia" w:ascii="宋体" w:hAnsi="宋体" w:cs="宋体"/>
                <w:kern w:val="0"/>
                <w:sz w:val="18"/>
                <w:szCs w:val="18"/>
              </w:rPr>
              <w:t>套</w:t>
            </w:r>
          </w:p>
        </w:tc>
        <w:tc>
          <w:tcPr>
            <w:tcW w:w="492" w:type="pct"/>
            <w:vAlign w:val="center"/>
          </w:tcPr>
          <w:p>
            <w:pPr>
              <w:widowControl/>
              <w:snapToGrid w:val="0"/>
              <w:jc w:val="center"/>
              <w:rPr>
                <w:rFonts w:ascii="宋体" w:hAnsi="宋体" w:eastAsia="Calibri" w:cs="宋体"/>
                <w:kern w:val="0"/>
                <w:sz w:val="18"/>
                <w:szCs w:val="18"/>
              </w:rPr>
            </w:pPr>
            <w:r>
              <w:rPr>
                <w:rFonts w:hint="eastAsia" w:ascii="宋体" w:hAnsi="宋体" w:cs="宋体"/>
                <w:kern w:val="0"/>
                <w:sz w:val="18"/>
                <w:szCs w:val="18"/>
              </w:rPr>
              <w:t>1</w:t>
            </w:r>
          </w:p>
        </w:tc>
        <w:tc>
          <w:tcPr>
            <w:tcW w:w="573" w:type="pct"/>
            <w:vAlign w:val="center"/>
          </w:tcPr>
          <w:p>
            <w:pPr>
              <w:widowControl/>
              <w:snapToGrid w:val="0"/>
              <w:jc w:val="center"/>
              <w:rPr>
                <w:rFonts w:ascii="宋体" w:hAnsi="宋体" w:cs="宋体"/>
                <w:kern w:val="0"/>
                <w:sz w:val="18"/>
                <w:szCs w:val="18"/>
              </w:rPr>
            </w:pPr>
            <w:r>
              <w:rPr>
                <w:rFonts w:ascii="宋体" w:hAnsi="宋体" w:cs="宋体"/>
                <w:kern w:val="0"/>
                <w:sz w:val="18"/>
                <w:szCs w:val="18"/>
              </w:rPr>
              <w:t>19.5</w:t>
            </w:r>
          </w:p>
        </w:tc>
      </w:tr>
    </w:tbl>
    <w:p>
      <w:pPr>
        <w:pStyle w:val="5"/>
        <w:rPr>
          <w:sz w:val="18"/>
          <w:szCs w:val="18"/>
        </w:rPr>
      </w:pPr>
      <w:r>
        <w:rPr>
          <w:rFonts w:hint="eastAsia"/>
          <w:sz w:val="18"/>
          <w:szCs w:val="18"/>
        </w:rPr>
        <w:t>（二）详细技术服务参数</w:t>
      </w:r>
    </w:p>
    <w:p>
      <w:pPr>
        <w:pStyle w:val="6"/>
        <w:rPr>
          <w:sz w:val="18"/>
          <w:szCs w:val="18"/>
        </w:rPr>
      </w:pPr>
      <w:bookmarkStart w:id="40" w:name="_Hlk90473464"/>
      <w:r>
        <w:rPr>
          <w:rFonts w:hint="eastAsia"/>
          <w:sz w:val="18"/>
          <w:szCs w:val="18"/>
        </w:rPr>
        <w:t>1. 《</w:t>
      </w:r>
      <w:r>
        <w:rPr>
          <w:rFonts w:hint="eastAsia" w:ascii="宋体" w:hAnsi="宋体" w:cs="宋体"/>
          <w:kern w:val="0"/>
          <w:sz w:val="18"/>
          <w:szCs w:val="18"/>
        </w:rPr>
        <w:t>企业财务管理</w:t>
      </w:r>
      <w:r>
        <w:rPr>
          <w:rFonts w:hint="eastAsia"/>
          <w:sz w:val="18"/>
          <w:szCs w:val="18"/>
        </w:rPr>
        <w:t>》课程教学资源组成及主要配置要求</w:t>
      </w:r>
    </w:p>
    <w:tbl>
      <w:tblPr>
        <w:tblStyle w:val="3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783"/>
        <w:gridCol w:w="4317"/>
        <w:gridCol w:w="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38" w:type="dxa"/>
            <w:shd w:val="clear" w:color="auto" w:fill="C0C0C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783" w:type="dxa"/>
            <w:shd w:val="clear" w:color="auto" w:fill="C0C0C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名称</w:t>
            </w:r>
          </w:p>
        </w:tc>
        <w:tc>
          <w:tcPr>
            <w:tcW w:w="4317" w:type="dxa"/>
            <w:shd w:val="clear" w:color="auto" w:fill="C0C0C0"/>
            <w:vAlign w:val="center"/>
          </w:tcPr>
          <w:p>
            <w:pPr>
              <w:widowControl/>
              <w:jc w:val="center"/>
              <w:rPr>
                <w:rFonts w:ascii="宋体" w:hAnsi="宋体" w:eastAsia="Calibri" w:cs="宋体"/>
                <w:b/>
                <w:bCs/>
                <w:kern w:val="0"/>
                <w:sz w:val="18"/>
                <w:szCs w:val="18"/>
              </w:rPr>
            </w:pPr>
            <w:r>
              <w:rPr>
                <w:rFonts w:hint="eastAsia" w:ascii="宋体" w:hAnsi="宋体" w:cs="宋体"/>
                <w:b/>
                <w:bCs/>
                <w:kern w:val="0"/>
                <w:sz w:val="18"/>
                <w:szCs w:val="18"/>
              </w:rPr>
              <w:t>主要配置要求</w:t>
            </w:r>
          </w:p>
        </w:tc>
        <w:tc>
          <w:tcPr>
            <w:tcW w:w="784" w:type="dxa"/>
            <w:shd w:val="clear" w:color="auto" w:fill="C0C0C0"/>
          </w:tcPr>
          <w:p>
            <w:pPr>
              <w:widowControl/>
              <w:jc w:val="center"/>
              <w:rPr>
                <w:rFonts w:ascii="宋体" w:hAnsi="宋体" w:cs="宋体"/>
                <w:b/>
                <w:bCs/>
                <w:kern w:val="0"/>
                <w:sz w:val="18"/>
                <w:szCs w:val="18"/>
              </w:rPr>
            </w:pPr>
            <w:r>
              <w:rPr>
                <w:rFonts w:hint="eastAsia" w:ascii="宋体" w:hAnsi="宋体" w:cs="宋体"/>
                <w:b/>
                <w:bCs/>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6" w:hRule="atLeast"/>
        </w:trPr>
        <w:tc>
          <w:tcPr>
            <w:tcW w:w="638" w:type="dxa"/>
            <w:shd w:val="clear" w:color="auto" w:fill="FFFFFF"/>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1</w:t>
            </w:r>
          </w:p>
        </w:tc>
        <w:tc>
          <w:tcPr>
            <w:tcW w:w="2783" w:type="dxa"/>
            <w:shd w:val="clear" w:color="auto" w:fill="FFFFFF"/>
            <w:vAlign w:val="center"/>
          </w:tcPr>
          <w:p>
            <w:pPr>
              <w:widowControl/>
              <w:jc w:val="center"/>
              <w:rPr>
                <w:rFonts w:ascii="宋体" w:hAnsi="宋体" w:cs="宋体"/>
                <w:bCs/>
                <w:kern w:val="0"/>
                <w:sz w:val="18"/>
                <w:szCs w:val="18"/>
              </w:rPr>
            </w:pPr>
            <w:r>
              <w:rPr>
                <w:rFonts w:hint="eastAsia" w:ascii="宋体" w:hAnsi="宋体" w:cs="宋体"/>
                <w:kern w:val="0"/>
                <w:sz w:val="18"/>
                <w:szCs w:val="18"/>
              </w:rPr>
              <w:t>《企业财务管理》</w:t>
            </w:r>
          </w:p>
          <w:p>
            <w:pPr>
              <w:widowControl/>
              <w:jc w:val="center"/>
              <w:rPr>
                <w:rFonts w:ascii="宋体" w:hAnsi="宋体" w:eastAsia="Calibri" w:cs="宋体"/>
                <w:bCs/>
                <w:kern w:val="0"/>
                <w:sz w:val="18"/>
                <w:szCs w:val="18"/>
              </w:rPr>
            </w:pPr>
            <w:r>
              <w:rPr>
                <w:rFonts w:hint="eastAsia" w:ascii="宋体" w:hAnsi="宋体" w:cs="宋体"/>
                <w:bCs/>
                <w:kern w:val="0"/>
                <w:sz w:val="18"/>
                <w:szCs w:val="18"/>
              </w:rPr>
              <w:t>课程介绍</w:t>
            </w:r>
          </w:p>
        </w:tc>
        <w:tc>
          <w:tcPr>
            <w:tcW w:w="4317" w:type="dxa"/>
            <w:shd w:val="clear" w:color="auto" w:fill="FFFFFF"/>
            <w:vAlign w:val="center"/>
          </w:tcPr>
          <w:p>
            <w:pPr>
              <w:widowControl/>
              <w:rPr>
                <w:sz w:val="18"/>
                <w:szCs w:val="18"/>
              </w:rPr>
            </w:pPr>
            <w:r>
              <w:rPr>
                <w:rFonts w:hint="eastAsia"/>
                <w:sz w:val="18"/>
                <w:szCs w:val="18"/>
              </w:rPr>
              <w:t>时长：1</w:t>
            </w:r>
            <w:r>
              <w:rPr>
                <w:sz w:val="18"/>
                <w:szCs w:val="18"/>
              </w:rPr>
              <w:t>-</w:t>
            </w:r>
            <w:r>
              <w:rPr>
                <w:rFonts w:hint="eastAsia"/>
                <w:sz w:val="18"/>
                <w:szCs w:val="18"/>
              </w:rPr>
              <w:t>3分钟</w:t>
            </w:r>
            <w:r>
              <w:rPr>
                <w:sz w:val="18"/>
                <w:szCs w:val="18"/>
              </w:rPr>
              <w:t xml:space="preserve"> </w:t>
            </w:r>
          </w:p>
        </w:tc>
        <w:tc>
          <w:tcPr>
            <w:tcW w:w="784" w:type="dxa"/>
            <w:shd w:val="clear" w:color="auto" w:fill="FFFFFF"/>
            <w:vAlign w:val="center"/>
          </w:tcPr>
          <w:p>
            <w:pPr>
              <w:widowControl/>
              <w:jc w:val="center"/>
              <w:rPr>
                <w:rFonts w:ascii="宋体" w:hAnsi="宋体" w:eastAsia="Calibri" w:cs="宋体"/>
                <w:bCs/>
                <w:kern w:val="0"/>
                <w:sz w:val="18"/>
                <w:szCs w:val="18"/>
              </w:rPr>
            </w:pPr>
            <w:r>
              <w:rPr>
                <w:rFonts w:hint="eastAsia" w:ascii="宋体" w:hAnsi="宋体" w:cs="宋体"/>
                <w:bCs/>
                <w:kern w:val="0"/>
                <w:sz w:val="18"/>
                <w:szCs w:val="18"/>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38" w:type="dxa"/>
            <w:shd w:val="clear" w:color="auto" w:fill="FFFFFF"/>
            <w:vAlign w:val="center"/>
          </w:tcPr>
          <w:p>
            <w:pPr>
              <w:widowControl/>
              <w:jc w:val="center"/>
              <w:rPr>
                <w:rFonts w:ascii="宋体" w:hAnsi="宋体" w:cs="宋体"/>
                <w:b/>
                <w:bCs/>
                <w:kern w:val="0"/>
                <w:sz w:val="18"/>
                <w:szCs w:val="18"/>
              </w:rPr>
            </w:pPr>
            <w:r>
              <w:rPr>
                <w:rFonts w:ascii="宋体" w:hAnsi="宋体" w:cs="宋体"/>
                <w:b/>
                <w:bCs/>
                <w:kern w:val="0"/>
                <w:sz w:val="18"/>
                <w:szCs w:val="18"/>
              </w:rPr>
              <w:t>2</w:t>
            </w:r>
          </w:p>
        </w:tc>
        <w:tc>
          <w:tcPr>
            <w:tcW w:w="2783"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《企业财务管理》</w:t>
            </w:r>
          </w:p>
          <w:p>
            <w:pPr>
              <w:widowControl/>
              <w:jc w:val="center"/>
              <w:rPr>
                <w:rFonts w:ascii="宋体" w:hAnsi="宋体" w:cs="宋体"/>
                <w:b/>
                <w:bCs/>
                <w:kern w:val="0"/>
                <w:sz w:val="18"/>
                <w:szCs w:val="18"/>
              </w:rPr>
            </w:pPr>
            <w:r>
              <w:rPr>
                <w:rFonts w:hint="eastAsia" w:ascii="宋体" w:hAnsi="宋体" w:cs="宋体"/>
                <w:kern w:val="0"/>
                <w:sz w:val="18"/>
                <w:szCs w:val="18"/>
              </w:rPr>
              <w:t>课程教学视频</w:t>
            </w:r>
            <w:r>
              <w:rPr>
                <w:rFonts w:hint="eastAsia"/>
                <w:sz w:val="18"/>
                <w:szCs w:val="18"/>
              </w:rPr>
              <w:t>（微课）</w:t>
            </w:r>
            <w:r>
              <w:rPr>
                <w:rFonts w:hint="eastAsia" w:ascii="宋体" w:hAnsi="宋体" w:cs="宋体"/>
                <w:kern w:val="0"/>
                <w:sz w:val="18"/>
                <w:szCs w:val="18"/>
              </w:rPr>
              <w:t>摄制</w:t>
            </w:r>
          </w:p>
        </w:tc>
        <w:tc>
          <w:tcPr>
            <w:tcW w:w="4317" w:type="dxa"/>
            <w:shd w:val="clear" w:color="auto" w:fill="FFFFFF"/>
            <w:vAlign w:val="center"/>
          </w:tcPr>
          <w:p>
            <w:pPr>
              <w:widowControl/>
              <w:rPr>
                <w:sz w:val="18"/>
                <w:szCs w:val="18"/>
              </w:rPr>
            </w:pPr>
            <w:r>
              <w:rPr>
                <w:rFonts w:hint="eastAsia"/>
                <w:sz w:val="18"/>
                <w:szCs w:val="18"/>
              </w:rPr>
              <w:t>教学视频（微课）总时长：</w:t>
            </w:r>
            <w:r>
              <w:rPr>
                <w:sz w:val="18"/>
                <w:szCs w:val="18"/>
              </w:rPr>
              <w:t>5</w:t>
            </w:r>
            <w:r>
              <w:rPr>
                <w:rFonts w:hint="eastAsia"/>
                <w:sz w:val="18"/>
                <w:szCs w:val="18"/>
              </w:rPr>
              <w:t>00—</w:t>
            </w:r>
            <w:r>
              <w:rPr>
                <w:sz w:val="18"/>
                <w:szCs w:val="18"/>
              </w:rPr>
              <w:t>6</w:t>
            </w:r>
            <w:r>
              <w:rPr>
                <w:rFonts w:hint="eastAsia"/>
                <w:sz w:val="18"/>
                <w:szCs w:val="18"/>
              </w:rPr>
              <w:t>00分钟</w:t>
            </w:r>
          </w:p>
          <w:p>
            <w:pPr>
              <w:pStyle w:val="3"/>
              <w:rPr>
                <w:rFonts w:ascii="Calibri" w:hAnsi="Calibri"/>
                <w:sz w:val="18"/>
                <w:szCs w:val="18"/>
              </w:rPr>
            </w:pPr>
            <w:r>
              <w:rPr>
                <w:rFonts w:hint="eastAsia" w:ascii="宋体" w:hAnsi="宋体" w:cs="宋体"/>
                <w:kern w:val="0"/>
                <w:sz w:val="18"/>
                <w:szCs w:val="18"/>
              </w:rPr>
              <w:t>单个教学视频时长：</w:t>
            </w:r>
            <w:r>
              <w:rPr>
                <w:rFonts w:hint="eastAsia" w:ascii="Calibri" w:hAnsi="Calibri"/>
                <w:sz w:val="18"/>
                <w:szCs w:val="18"/>
              </w:rPr>
              <w:t>8-1</w:t>
            </w:r>
            <w:r>
              <w:rPr>
                <w:rFonts w:ascii="Calibri" w:hAnsi="Calibri"/>
                <w:sz w:val="18"/>
                <w:szCs w:val="18"/>
              </w:rPr>
              <w:t>5</w:t>
            </w:r>
            <w:r>
              <w:rPr>
                <w:rFonts w:hint="eastAsia" w:ascii="Calibri" w:hAnsi="Calibri"/>
                <w:sz w:val="18"/>
                <w:szCs w:val="18"/>
              </w:rPr>
              <w:t>分钟</w:t>
            </w:r>
          </w:p>
          <w:p>
            <w:pPr>
              <w:pStyle w:val="3"/>
              <w:rPr>
                <w:rFonts w:ascii="宋体" w:hAnsi="宋体" w:cs="宋体"/>
                <w:kern w:val="0"/>
                <w:sz w:val="18"/>
                <w:szCs w:val="18"/>
              </w:rPr>
            </w:pPr>
            <w:r>
              <w:rPr>
                <w:rFonts w:hint="eastAsia" w:ascii="宋体" w:hAnsi="宋体" w:cs="宋体"/>
                <w:kern w:val="0"/>
                <w:sz w:val="18"/>
                <w:szCs w:val="18"/>
              </w:rPr>
              <w:t>在保证教学视频总时长要求的前提条件下：允许根据具体实际教学视频内容调整单个教学视频时长。允许调增或调减教学视频数量。</w:t>
            </w:r>
          </w:p>
        </w:tc>
        <w:tc>
          <w:tcPr>
            <w:tcW w:w="784"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38" w:type="dxa"/>
            <w:shd w:val="clear" w:color="auto" w:fill="FFFFFF"/>
            <w:vAlign w:val="center"/>
          </w:tcPr>
          <w:p>
            <w:pPr>
              <w:widowControl/>
              <w:jc w:val="center"/>
              <w:rPr>
                <w:rFonts w:ascii="宋体" w:hAnsi="宋体" w:cs="宋体"/>
                <w:b/>
                <w:bCs/>
                <w:kern w:val="0"/>
                <w:sz w:val="18"/>
                <w:szCs w:val="18"/>
              </w:rPr>
            </w:pPr>
            <w:r>
              <w:rPr>
                <w:rFonts w:ascii="宋体" w:hAnsi="宋体" w:cs="宋体"/>
                <w:b/>
                <w:bCs/>
                <w:kern w:val="0"/>
                <w:sz w:val="18"/>
                <w:szCs w:val="18"/>
              </w:rPr>
              <w:t>3</w:t>
            </w:r>
          </w:p>
        </w:tc>
        <w:tc>
          <w:tcPr>
            <w:tcW w:w="2783"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《企业财务管理》</w:t>
            </w:r>
          </w:p>
          <w:p>
            <w:pPr>
              <w:pStyle w:val="23"/>
              <w:rPr>
                <w:sz w:val="18"/>
                <w:szCs w:val="18"/>
              </w:rPr>
            </w:pPr>
            <w:r>
              <w:rPr>
                <w:rFonts w:hint="eastAsia" w:ascii="宋体" w:hAnsi="宋体" w:cs="宋体"/>
                <w:kern w:val="0"/>
                <w:sz w:val="18"/>
                <w:szCs w:val="18"/>
              </w:rPr>
              <w:t>二维动画制作</w:t>
            </w:r>
          </w:p>
        </w:tc>
        <w:tc>
          <w:tcPr>
            <w:tcW w:w="4317" w:type="dxa"/>
            <w:shd w:val="clear" w:color="auto" w:fill="FFFFFF"/>
            <w:vAlign w:val="center"/>
          </w:tcPr>
          <w:p>
            <w:pPr>
              <w:spacing w:line="280" w:lineRule="exact"/>
              <w:rPr>
                <w:sz w:val="18"/>
                <w:szCs w:val="18"/>
              </w:rPr>
            </w:pPr>
            <w:r>
              <w:rPr>
                <w:rFonts w:hint="eastAsia"/>
                <w:sz w:val="18"/>
                <w:szCs w:val="18"/>
              </w:rPr>
              <w:t>二维动画总时长：</w:t>
            </w:r>
            <w:r>
              <w:rPr>
                <w:sz w:val="18"/>
                <w:szCs w:val="18"/>
              </w:rPr>
              <w:t>10-20</w:t>
            </w:r>
            <w:r>
              <w:rPr>
                <w:rFonts w:hint="eastAsia"/>
                <w:sz w:val="18"/>
                <w:szCs w:val="18"/>
              </w:rPr>
              <w:t>分钟</w:t>
            </w:r>
          </w:p>
          <w:p>
            <w:pPr>
              <w:pStyle w:val="3"/>
              <w:rPr>
                <w:rFonts w:ascii="Calibri" w:hAnsi="Calibri"/>
                <w:sz w:val="18"/>
                <w:szCs w:val="18"/>
              </w:rPr>
            </w:pPr>
            <w:r>
              <w:rPr>
                <w:rFonts w:hint="eastAsia"/>
                <w:sz w:val="18"/>
                <w:szCs w:val="18"/>
              </w:rPr>
              <w:t>单个二维动画时长：</w:t>
            </w:r>
            <w:r>
              <w:rPr>
                <w:rFonts w:ascii="Calibri" w:hAnsi="Calibri"/>
                <w:sz w:val="18"/>
                <w:szCs w:val="18"/>
              </w:rPr>
              <w:t>60</w:t>
            </w:r>
            <w:r>
              <w:rPr>
                <w:rFonts w:hint="eastAsia" w:ascii="Calibri" w:hAnsi="Calibri"/>
                <w:sz w:val="18"/>
                <w:szCs w:val="18"/>
              </w:rPr>
              <w:t>秒</w:t>
            </w:r>
          </w:p>
          <w:p>
            <w:pPr>
              <w:pStyle w:val="3"/>
              <w:rPr>
                <w:rFonts w:ascii="宋体" w:hAnsi="宋体" w:cs="宋体"/>
                <w:kern w:val="0"/>
                <w:sz w:val="18"/>
                <w:szCs w:val="18"/>
              </w:rPr>
            </w:pPr>
            <w:r>
              <w:rPr>
                <w:rFonts w:hint="eastAsia" w:ascii="宋体" w:hAnsi="宋体" w:cs="宋体"/>
                <w:kern w:val="0"/>
                <w:sz w:val="18"/>
                <w:szCs w:val="18"/>
              </w:rPr>
              <w:t>在保证二维动画总时长要求的前提条件下：允许根据具体实际二维动画内容调整单个二维动画时长。</w:t>
            </w:r>
          </w:p>
          <w:p>
            <w:pPr>
              <w:widowControl/>
              <w:rPr>
                <w:sz w:val="18"/>
                <w:szCs w:val="18"/>
              </w:rPr>
            </w:pPr>
            <w:r>
              <w:rPr>
                <w:rFonts w:hint="eastAsia" w:ascii="宋体" w:hAnsi="宋体" w:cs="宋体"/>
                <w:kern w:val="0"/>
                <w:sz w:val="18"/>
                <w:szCs w:val="18"/>
              </w:rPr>
              <w:t>允许调增或调减二维动画数量。</w:t>
            </w:r>
          </w:p>
        </w:tc>
        <w:tc>
          <w:tcPr>
            <w:tcW w:w="784"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r>
              <w:rPr>
                <w:rFonts w:hint="eastAsia" w:ascii="宋体" w:hAnsi="宋体" w:cs="宋体"/>
                <w:kern w:val="0"/>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38" w:type="dxa"/>
            <w:shd w:val="clear" w:color="auto" w:fill="FFFFFF"/>
            <w:vAlign w:val="center"/>
          </w:tcPr>
          <w:p>
            <w:pPr>
              <w:widowControl/>
              <w:jc w:val="center"/>
              <w:rPr>
                <w:rFonts w:ascii="宋体" w:hAnsi="宋体" w:cs="宋体"/>
                <w:b/>
                <w:bCs/>
                <w:kern w:val="0"/>
                <w:sz w:val="18"/>
                <w:szCs w:val="18"/>
              </w:rPr>
            </w:pPr>
            <w:r>
              <w:rPr>
                <w:rFonts w:ascii="宋体" w:hAnsi="宋体" w:cs="宋体"/>
                <w:b/>
                <w:bCs/>
                <w:kern w:val="0"/>
                <w:sz w:val="18"/>
                <w:szCs w:val="18"/>
              </w:rPr>
              <w:t>4</w:t>
            </w:r>
          </w:p>
        </w:tc>
        <w:tc>
          <w:tcPr>
            <w:tcW w:w="2783"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《企业财务管理》</w:t>
            </w:r>
          </w:p>
          <w:p>
            <w:pPr>
              <w:widowControl/>
              <w:jc w:val="center"/>
              <w:rPr>
                <w:rFonts w:ascii="宋体" w:hAnsi="宋体" w:cs="宋体"/>
                <w:kern w:val="0"/>
                <w:sz w:val="18"/>
                <w:szCs w:val="18"/>
              </w:rPr>
            </w:pPr>
            <w:r>
              <w:rPr>
                <w:rFonts w:hint="eastAsia" w:ascii="宋体" w:hAnsi="宋体" w:cs="宋体"/>
                <w:kern w:val="0"/>
                <w:sz w:val="18"/>
                <w:szCs w:val="18"/>
              </w:rPr>
              <w:t>课程教学PPT</w:t>
            </w:r>
            <w:r>
              <w:rPr>
                <w:rFonts w:ascii="宋体" w:hAnsi="宋体" w:cs="宋体"/>
                <w:kern w:val="0"/>
                <w:sz w:val="18"/>
                <w:szCs w:val="18"/>
              </w:rPr>
              <w:t xml:space="preserve"> </w:t>
            </w:r>
          </w:p>
        </w:tc>
        <w:tc>
          <w:tcPr>
            <w:tcW w:w="4317" w:type="dxa"/>
            <w:shd w:val="clear" w:color="auto" w:fill="FFFFFF"/>
          </w:tcPr>
          <w:p>
            <w:pPr>
              <w:rPr>
                <w:sz w:val="18"/>
                <w:szCs w:val="18"/>
              </w:rPr>
            </w:pPr>
            <w:r>
              <w:rPr>
                <w:rFonts w:hint="eastAsia"/>
                <w:sz w:val="18"/>
                <w:szCs w:val="18"/>
              </w:rPr>
              <w:t>根据教师提供的初稿，编辑成为格式统一，简洁大方的成稿。</w:t>
            </w:r>
          </w:p>
        </w:tc>
        <w:tc>
          <w:tcPr>
            <w:tcW w:w="784"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38" w:type="dxa"/>
            <w:shd w:val="clear" w:color="auto" w:fill="FFFFFF"/>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5</w:t>
            </w:r>
          </w:p>
        </w:tc>
        <w:tc>
          <w:tcPr>
            <w:tcW w:w="2783"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《企业财务管理》</w:t>
            </w:r>
          </w:p>
          <w:p>
            <w:pPr>
              <w:widowControl/>
              <w:jc w:val="center"/>
              <w:rPr>
                <w:rFonts w:ascii="宋体" w:hAnsi="宋体" w:cs="宋体"/>
                <w:kern w:val="0"/>
                <w:sz w:val="18"/>
                <w:szCs w:val="18"/>
              </w:rPr>
            </w:pPr>
            <w:r>
              <w:rPr>
                <w:rFonts w:hint="eastAsia" w:ascii="宋体" w:hAnsi="宋体" w:cs="宋体"/>
                <w:kern w:val="0"/>
                <w:sz w:val="18"/>
                <w:szCs w:val="18"/>
              </w:rPr>
              <w:t>试题库</w:t>
            </w:r>
          </w:p>
        </w:tc>
        <w:tc>
          <w:tcPr>
            <w:tcW w:w="4317" w:type="dxa"/>
            <w:shd w:val="clear" w:color="auto" w:fill="FFFFFF"/>
          </w:tcPr>
          <w:p>
            <w:pPr>
              <w:rPr>
                <w:sz w:val="18"/>
                <w:szCs w:val="18"/>
              </w:rPr>
            </w:pPr>
            <w:r>
              <w:rPr>
                <w:rFonts w:hint="eastAsia"/>
                <w:sz w:val="18"/>
                <w:szCs w:val="18"/>
              </w:rPr>
              <w:t>校企共同打造本专业试题库，并编辑成为格式统一，简洁大方的成稿。</w:t>
            </w:r>
          </w:p>
        </w:tc>
        <w:tc>
          <w:tcPr>
            <w:tcW w:w="784" w:type="dxa"/>
            <w:shd w:val="clear" w:color="auto" w:fill="FFFFFF"/>
            <w:vAlign w:val="center"/>
          </w:tcPr>
          <w:p>
            <w:pPr>
              <w:widowControl/>
              <w:jc w:val="center"/>
              <w:rPr>
                <w:rFonts w:ascii="宋体" w:hAnsi="宋体" w:cs="宋体"/>
                <w:kern w:val="0"/>
                <w:sz w:val="18"/>
                <w:szCs w:val="18"/>
              </w:rPr>
            </w:pPr>
            <w:r>
              <w:rPr>
                <w:rFonts w:ascii="宋体" w:hAnsi="宋体" w:cs="宋体"/>
                <w:kern w:val="0"/>
                <w:sz w:val="18"/>
                <w:szCs w:val="18"/>
              </w:rPr>
              <w:t>5</w:t>
            </w:r>
            <w:r>
              <w:rPr>
                <w:rFonts w:hint="eastAsia" w:ascii="宋体" w:hAnsi="宋体" w:cs="宋体"/>
                <w:kern w:val="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638" w:type="dxa"/>
            <w:shd w:val="clear" w:color="auto" w:fill="FFFFFF"/>
            <w:vAlign w:val="center"/>
          </w:tcPr>
          <w:p>
            <w:pPr>
              <w:widowControl/>
              <w:jc w:val="center"/>
              <w:rPr>
                <w:rFonts w:ascii="宋体" w:hAnsi="宋体" w:cs="宋体"/>
                <w:b/>
                <w:bCs/>
                <w:kern w:val="0"/>
                <w:sz w:val="18"/>
                <w:szCs w:val="18"/>
              </w:rPr>
            </w:pPr>
            <w:r>
              <w:rPr>
                <w:rFonts w:ascii="宋体" w:hAnsi="宋体" w:cs="宋体"/>
                <w:b/>
                <w:bCs/>
                <w:kern w:val="0"/>
                <w:sz w:val="18"/>
                <w:szCs w:val="18"/>
              </w:rPr>
              <w:t>6</w:t>
            </w:r>
          </w:p>
        </w:tc>
        <w:tc>
          <w:tcPr>
            <w:tcW w:w="2783"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精品在线课程制作软件</w:t>
            </w:r>
          </w:p>
        </w:tc>
        <w:tc>
          <w:tcPr>
            <w:tcW w:w="4317" w:type="dxa"/>
            <w:shd w:val="clear" w:color="auto" w:fill="FFFFFF"/>
          </w:tcPr>
          <w:p>
            <w:pPr>
              <w:rPr>
                <w:sz w:val="18"/>
                <w:szCs w:val="18"/>
              </w:rPr>
            </w:pPr>
            <w:r>
              <w:rPr>
                <w:rFonts w:hint="eastAsia"/>
                <w:sz w:val="18"/>
                <w:szCs w:val="18"/>
              </w:rPr>
              <w:t>支持利用现有资源（包括但不仅限于：视频、PPT、教案、题库等）自动生成网站式在线精品课程。</w:t>
            </w:r>
          </w:p>
        </w:tc>
        <w:tc>
          <w:tcPr>
            <w:tcW w:w="784" w:type="dxa"/>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1套</w:t>
            </w:r>
          </w:p>
        </w:tc>
      </w:tr>
    </w:tbl>
    <w:p>
      <w:pPr>
        <w:spacing w:line="360" w:lineRule="auto"/>
        <w:rPr>
          <w:rFonts w:ascii="宋体" w:hAnsi="宋体"/>
          <w:snapToGrid w:val="0"/>
          <w:kern w:val="0"/>
          <w:sz w:val="18"/>
          <w:szCs w:val="18"/>
        </w:rPr>
      </w:pPr>
      <w:r>
        <w:rPr>
          <w:rFonts w:hint="eastAsia" w:ascii="宋体" w:hAnsi="宋体"/>
          <w:snapToGrid w:val="0"/>
          <w:kern w:val="0"/>
          <w:sz w:val="18"/>
          <w:szCs w:val="18"/>
        </w:rPr>
        <w:t>注1：投标人可以更改上述配置项的要求（如时长），但不能降低配置项的要求。</w:t>
      </w:r>
    </w:p>
    <w:p>
      <w:pPr>
        <w:spacing w:line="360" w:lineRule="auto"/>
        <w:rPr>
          <w:rFonts w:ascii="宋体" w:hAnsi="宋体"/>
          <w:snapToGrid w:val="0"/>
          <w:kern w:val="0"/>
          <w:sz w:val="18"/>
          <w:szCs w:val="18"/>
        </w:rPr>
      </w:pPr>
      <w:r>
        <w:rPr>
          <w:rFonts w:hint="eastAsia" w:ascii="宋体" w:hAnsi="宋体"/>
          <w:snapToGrid w:val="0"/>
          <w:kern w:val="0"/>
          <w:sz w:val="18"/>
          <w:szCs w:val="18"/>
        </w:rPr>
        <w:t>注2：招标人有权在保证总价不变的前提条件下，调整教学视频的数量</w:t>
      </w:r>
    </w:p>
    <w:p>
      <w:pPr>
        <w:pStyle w:val="2"/>
        <w:rPr>
          <w:snapToGrid w:val="0"/>
          <w:sz w:val="18"/>
          <w:szCs w:val="18"/>
        </w:rPr>
      </w:pPr>
      <w:r>
        <w:rPr>
          <w:snapToGrid w:val="0"/>
          <w:sz w:val="18"/>
          <w:szCs w:val="18"/>
        </w:rPr>
        <w:br w:type="page"/>
      </w:r>
    </w:p>
    <w:p>
      <w:pPr>
        <w:pStyle w:val="6"/>
        <w:rPr>
          <w:snapToGrid w:val="0"/>
          <w:sz w:val="18"/>
          <w:szCs w:val="18"/>
        </w:rPr>
      </w:pPr>
      <w:r>
        <w:rPr>
          <w:rFonts w:hint="eastAsia"/>
          <w:sz w:val="18"/>
          <w:szCs w:val="18"/>
        </w:rPr>
        <w:t>2</w:t>
      </w:r>
      <w:r>
        <w:rPr>
          <w:sz w:val="18"/>
          <w:szCs w:val="18"/>
        </w:rPr>
        <w:t>.</w:t>
      </w:r>
      <w:r>
        <w:rPr>
          <w:rFonts w:hint="eastAsia"/>
          <w:sz w:val="18"/>
          <w:szCs w:val="18"/>
        </w:rPr>
        <w:t>技术服务参数</w:t>
      </w:r>
    </w:p>
    <w:bookmarkEnd w:id="40"/>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709"/>
        <w:gridCol w:w="5670"/>
        <w:gridCol w:w="709"/>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pPr>
              <w:jc w:val="center"/>
              <w:rPr>
                <w:rFonts w:ascii="宋体" w:hAnsi="宋体"/>
                <w:b/>
                <w:bCs/>
                <w:sz w:val="18"/>
                <w:szCs w:val="18"/>
              </w:rPr>
            </w:pPr>
            <w:r>
              <w:rPr>
                <w:rFonts w:hint="eastAsia" w:ascii="宋体" w:hAnsi="宋体"/>
                <w:b/>
                <w:bCs/>
                <w:sz w:val="18"/>
                <w:szCs w:val="18"/>
              </w:rPr>
              <w:t>序号</w:t>
            </w:r>
          </w:p>
        </w:tc>
        <w:tc>
          <w:tcPr>
            <w:tcW w:w="709" w:type="dxa"/>
          </w:tcPr>
          <w:p>
            <w:pPr>
              <w:jc w:val="center"/>
              <w:rPr>
                <w:rFonts w:ascii="宋体" w:hAnsi="宋体"/>
                <w:b/>
                <w:bCs/>
                <w:sz w:val="18"/>
                <w:szCs w:val="18"/>
              </w:rPr>
            </w:pPr>
            <w:r>
              <w:rPr>
                <w:rFonts w:hint="eastAsia" w:ascii="宋体" w:hAnsi="宋体"/>
                <w:b/>
                <w:bCs/>
                <w:sz w:val="18"/>
                <w:szCs w:val="18"/>
              </w:rPr>
              <w:t>设备名称</w:t>
            </w:r>
          </w:p>
        </w:tc>
        <w:tc>
          <w:tcPr>
            <w:tcW w:w="5670" w:type="dxa"/>
          </w:tcPr>
          <w:p>
            <w:pPr>
              <w:jc w:val="center"/>
              <w:rPr>
                <w:rFonts w:ascii="宋体" w:hAnsi="宋体"/>
                <w:b/>
                <w:bCs/>
                <w:sz w:val="18"/>
                <w:szCs w:val="18"/>
              </w:rPr>
            </w:pPr>
            <w:r>
              <w:rPr>
                <w:rFonts w:hint="eastAsia" w:ascii="宋体" w:hAnsi="宋体"/>
                <w:b/>
                <w:bCs/>
                <w:sz w:val="18"/>
                <w:szCs w:val="18"/>
              </w:rPr>
              <w:t>规格（配置）</w:t>
            </w:r>
          </w:p>
        </w:tc>
        <w:tc>
          <w:tcPr>
            <w:tcW w:w="709" w:type="dxa"/>
          </w:tcPr>
          <w:p>
            <w:pPr>
              <w:jc w:val="center"/>
              <w:rPr>
                <w:rFonts w:ascii="宋体" w:hAnsi="宋体"/>
                <w:b/>
                <w:bCs/>
                <w:sz w:val="18"/>
                <w:szCs w:val="18"/>
              </w:rPr>
            </w:pPr>
            <w:r>
              <w:rPr>
                <w:rFonts w:hint="eastAsia" w:ascii="宋体" w:hAnsi="宋体"/>
                <w:b/>
                <w:bCs/>
                <w:sz w:val="18"/>
                <w:szCs w:val="18"/>
              </w:rPr>
              <w:t>计量单位</w:t>
            </w:r>
          </w:p>
        </w:tc>
        <w:tc>
          <w:tcPr>
            <w:tcW w:w="646" w:type="dxa"/>
          </w:tcPr>
          <w:p>
            <w:pPr>
              <w:jc w:val="center"/>
              <w:rPr>
                <w:rFonts w:ascii="宋体" w:hAnsi="宋体"/>
                <w:b/>
                <w:bCs/>
                <w:sz w:val="18"/>
                <w:szCs w:val="18"/>
              </w:rPr>
            </w:pPr>
            <w:r>
              <w:rPr>
                <w:rFonts w:hint="eastAsia" w:ascii="宋体" w:hAnsi="宋体"/>
                <w:b/>
                <w:bCs/>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pPr>
              <w:rPr>
                <w:rFonts w:ascii="宋体" w:hAnsi="宋体"/>
                <w:sz w:val="18"/>
                <w:szCs w:val="18"/>
              </w:rPr>
            </w:pPr>
            <w:r>
              <w:rPr>
                <w:rFonts w:hint="eastAsia" w:ascii="宋体" w:hAnsi="宋体"/>
                <w:sz w:val="18"/>
                <w:szCs w:val="18"/>
              </w:rPr>
              <w:t>1</w:t>
            </w:r>
          </w:p>
        </w:tc>
        <w:tc>
          <w:tcPr>
            <w:tcW w:w="709" w:type="dxa"/>
          </w:tcPr>
          <w:p>
            <w:pPr>
              <w:rPr>
                <w:rFonts w:ascii="宋体" w:hAnsi="宋体"/>
                <w:sz w:val="18"/>
                <w:szCs w:val="18"/>
              </w:rPr>
            </w:pPr>
            <w:r>
              <w:rPr>
                <w:rFonts w:hint="eastAsia" w:ascii="宋体" w:hAnsi="宋体"/>
                <w:sz w:val="18"/>
                <w:szCs w:val="18"/>
              </w:rPr>
              <w:t>《</w:t>
            </w:r>
            <w:r>
              <w:rPr>
                <w:rFonts w:hint="eastAsia" w:ascii="宋体" w:hAnsi="宋体" w:cs="宋体"/>
                <w:kern w:val="0"/>
                <w:sz w:val="18"/>
                <w:szCs w:val="18"/>
              </w:rPr>
              <w:t>企业财务管理</w:t>
            </w:r>
            <w:r>
              <w:rPr>
                <w:rFonts w:hint="eastAsia" w:ascii="宋体" w:hAnsi="宋体"/>
                <w:sz w:val="18"/>
                <w:szCs w:val="18"/>
              </w:rPr>
              <w:t>》在线精品课程建设</w:t>
            </w:r>
          </w:p>
        </w:tc>
        <w:tc>
          <w:tcPr>
            <w:tcW w:w="5670" w:type="dxa"/>
          </w:tcPr>
          <w:p>
            <w:pPr>
              <w:pStyle w:val="120"/>
              <w:autoSpaceDE w:val="0"/>
              <w:autoSpaceDN w:val="0"/>
              <w:spacing w:line="213" w:lineRule="auto"/>
              <w:ind w:left="21" w:right="-29"/>
              <w:jc w:val="left"/>
              <w:rPr>
                <w:sz w:val="18"/>
                <w:szCs w:val="18"/>
              </w:rPr>
            </w:pPr>
            <w:r>
              <w:rPr>
                <w:rFonts w:hint="eastAsia"/>
                <w:sz w:val="18"/>
                <w:szCs w:val="18"/>
              </w:rPr>
              <w:t>一、精品在线开放课程建设内容</w:t>
            </w:r>
          </w:p>
          <w:p>
            <w:pPr>
              <w:pStyle w:val="120"/>
              <w:autoSpaceDE w:val="0"/>
              <w:autoSpaceDN w:val="0"/>
              <w:spacing w:line="213" w:lineRule="auto"/>
              <w:ind w:left="21" w:right="-29"/>
              <w:jc w:val="left"/>
              <w:rPr>
                <w:sz w:val="18"/>
                <w:szCs w:val="18"/>
              </w:rPr>
            </w:pPr>
            <w:r>
              <w:rPr>
                <w:rFonts w:hint="eastAsia"/>
                <w:sz w:val="18"/>
                <w:szCs w:val="18"/>
              </w:rPr>
              <w:t>一门课程的制作主要包括以下三个部分：</w:t>
            </w:r>
          </w:p>
          <w:p>
            <w:pPr>
              <w:pStyle w:val="120"/>
              <w:autoSpaceDE w:val="0"/>
              <w:autoSpaceDN w:val="0"/>
              <w:spacing w:line="213" w:lineRule="auto"/>
              <w:ind w:left="21" w:right="-29"/>
              <w:jc w:val="left"/>
              <w:rPr>
                <w:sz w:val="18"/>
                <w:szCs w:val="18"/>
              </w:rPr>
            </w:pPr>
            <w:r>
              <w:rPr>
                <w:rFonts w:hint="eastAsia"/>
                <w:sz w:val="18"/>
                <w:szCs w:val="18"/>
              </w:rPr>
              <w:t>（一）片头（约</w:t>
            </w:r>
            <w:r>
              <w:rPr>
                <w:sz w:val="18"/>
                <w:szCs w:val="18"/>
              </w:rPr>
              <w:t xml:space="preserve"> 10 秒钟，包括音频、视频和字幕）</w:t>
            </w:r>
          </w:p>
          <w:p>
            <w:pPr>
              <w:pStyle w:val="120"/>
              <w:autoSpaceDE w:val="0"/>
              <w:autoSpaceDN w:val="0"/>
              <w:spacing w:line="213" w:lineRule="auto"/>
              <w:ind w:left="21" w:right="-29"/>
              <w:jc w:val="left"/>
              <w:rPr>
                <w:sz w:val="18"/>
                <w:szCs w:val="18"/>
              </w:rPr>
            </w:pPr>
            <w:r>
              <w:rPr>
                <w:rFonts w:hint="eastAsia"/>
                <w:sz w:val="18"/>
                <w:szCs w:val="18"/>
              </w:rPr>
              <w:t>（二）课程介绍（</w:t>
            </w:r>
            <w:r>
              <w:rPr>
                <w:sz w:val="18"/>
                <w:szCs w:val="18"/>
              </w:rPr>
              <w:t>1-3 分钟，包括音频、视频和字幕）</w:t>
            </w:r>
          </w:p>
          <w:p>
            <w:pPr>
              <w:pStyle w:val="120"/>
              <w:autoSpaceDE w:val="0"/>
              <w:autoSpaceDN w:val="0"/>
              <w:spacing w:line="213" w:lineRule="auto"/>
              <w:ind w:left="21" w:right="-29"/>
              <w:jc w:val="left"/>
              <w:rPr>
                <w:sz w:val="18"/>
                <w:szCs w:val="18"/>
              </w:rPr>
            </w:pPr>
            <w:r>
              <w:rPr>
                <w:rFonts w:hint="eastAsia"/>
                <w:sz w:val="18"/>
                <w:szCs w:val="18"/>
              </w:rPr>
              <w:t>（三）课程单元</w:t>
            </w:r>
          </w:p>
          <w:p>
            <w:pPr>
              <w:pStyle w:val="120"/>
              <w:autoSpaceDE w:val="0"/>
              <w:autoSpaceDN w:val="0"/>
              <w:spacing w:line="213" w:lineRule="auto"/>
              <w:ind w:left="21" w:right="-29"/>
              <w:jc w:val="left"/>
              <w:rPr>
                <w:sz w:val="18"/>
                <w:szCs w:val="18"/>
              </w:rPr>
            </w:pPr>
            <w:r>
              <w:rPr>
                <w:rFonts w:hint="eastAsia"/>
                <w:sz w:val="18"/>
                <w:szCs w:val="18"/>
              </w:rPr>
              <w:t>一个课程单元包含视频单元和非视频单元两部分。</w:t>
            </w:r>
          </w:p>
          <w:p>
            <w:pPr>
              <w:pStyle w:val="120"/>
              <w:autoSpaceDE w:val="0"/>
              <w:autoSpaceDN w:val="0"/>
              <w:spacing w:line="213" w:lineRule="auto"/>
              <w:ind w:left="21" w:right="-29"/>
              <w:jc w:val="left"/>
              <w:rPr>
                <w:sz w:val="18"/>
                <w:szCs w:val="18"/>
              </w:rPr>
            </w:pPr>
            <w:r>
              <w:rPr>
                <w:sz w:val="18"/>
                <w:szCs w:val="18"/>
              </w:rPr>
              <w:t>1.视频单元（约 8-15 分钟/单元）</w:t>
            </w:r>
          </w:p>
          <w:p>
            <w:pPr>
              <w:pStyle w:val="120"/>
              <w:autoSpaceDE w:val="0"/>
              <w:autoSpaceDN w:val="0"/>
              <w:spacing w:line="213" w:lineRule="auto"/>
              <w:ind w:left="21" w:right="-29"/>
              <w:jc w:val="left"/>
              <w:rPr>
                <w:sz w:val="18"/>
                <w:szCs w:val="18"/>
              </w:rPr>
            </w:pPr>
            <w:r>
              <w:rPr>
                <w:rFonts w:hint="eastAsia"/>
                <w:sz w:val="18"/>
                <w:szCs w:val="18"/>
              </w:rPr>
              <w:t>视频单元包括音频、视频和字幕，根据课程内容设计情况，每个视频单元又可分为一至多个片段。以一门讲授课时数为</w:t>
            </w:r>
            <w:r>
              <w:rPr>
                <w:sz w:val="18"/>
                <w:szCs w:val="18"/>
              </w:rPr>
              <w:t xml:space="preserve"> 50 课时的课程为例：每个</w:t>
            </w:r>
            <w:r>
              <w:rPr>
                <w:rFonts w:hint="eastAsia"/>
                <w:sz w:val="18"/>
                <w:szCs w:val="18"/>
              </w:rPr>
              <w:t>课时的视频单元大致为</w:t>
            </w:r>
            <w:r>
              <w:rPr>
                <w:sz w:val="18"/>
                <w:szCs w:val="18"/>
              </w:rPr>
              <w:t xml:space="preserve"> 8-15 分钟，共 50个视频单元。视频分为教室内制作和教室外制作两种，一般一门课程至少 2/3 课时在教室内完成，至多 1/3 课时在教室外完成。</w:t>
            </w:r>
          </w:p>
          <w:p>
            <w:pPr>
              <w:pStyle w:val="120"/>
              <w:autoSpaceDE w:val="0"/>
              <w:autoSpaceDN w:val="0"/>
              <w:spacing w:line="213" w:lineRule="auto"/>
              <w:ind w:left="21" w:right="-29"/>
              <w:jc w:val="left"/>
              <w:rPr>
                <w:sz w:val="18"/>
                <w:szCs w:val="18"/>
              </w:rPr>
            </w:pPr>
            <w:r>
              <w:rPr>
                <w:sz w:val="18"/>
                <w:szCs w:val="18"/>
              </w:rPr>
              <w:t>2.非视频单元</w:t>
            </w:r>
          </w:p>
          <w:p>
            <w:pPr>
              <w:pStyle w:val="120"/>
              <w:autoSpaceDE w:val="0"/>
              <w:autoSpaceDN w:val="0"/>
              <w:spacing w:line="213" w:lineRule="auto"/>
              <w:ind w:left="21" w:right="-29"/>
              <w:jc w:val="left"/>
              <w:rPr>
                <w:sz w:val="18"/>
                <w:szCs w:val="18"/>
              </w:rPr>
            </w:pPr>
            <w:r>
              <w:rPr>
                <w:rFonts w:hint="eastAsia"/>
                <w:sz w:val="18"/>
                <w:szCs w:val="18"/>
              </w:rPr>
              <w:t>非视频单元包括习题、讨论、实验、阅读材料等。制作方（即：中标人，</w:t>
            </w:r>
            <w:r>
              <w:rPr>
                <w:sz w:val="18"/>
                <w:szCs w:val="18"/>
              </w:rPr>
              <w:t xml:space="preserve"> 下同）要跟课程负责人及教学团队充分沟通，共同完成非视频单元中各部分的制作。</w:t>
            </w:r>
          </w:p>
          <w:p>
            <w:pPr>
              <w:pStyle w:val="120"/>
              <w:autoSpaceDE w:val="0"/>
              <w:autoSpaceDN w:val="0"/>
              <w:spacing w:line="213" w:lineRule="auto"/>
              <w:ind w:left="21" w:right="-29"/>
              <w:jc w:val="left"/>
              <w:rPr>
                <w:sz w:val="18"/>
                <w:szCs w:val="18"/>
              </w:rPr>
            </w:pPr>
            <w:r>
              <w:rPr>
                <w:rFonts w:hint="eastAsia"/>
                <w:sz w:val="18"/>
                <w:szCs w:val="18"/>
              </w:rPr>
              <w:t>（四）制作方应根据教育部在线教育研究中心《大规模开放在线课程（</w:t>
            </w:r>
            <w:r>
              <w:rPr>
                <w:sz w:val="18"/>
                <w:szCs w:val="18"/>
              </w:rPr>
              <w:t>MOOCs）制作手册》的要求，最终将以上（一）、（二）、（三）三个部分形成一门完整的精品在线开放课程。</w:t>
            </w:r>
          </w:p>
          <w:p>
            <w:pPr>
              <w:pStyle w:val="120"/>
              <w:autoSpaceDE w:val="0"/>
              <w:autoSpaceDN w:val="0"/>
              <w:spacing w:line="213" w:lineRule="auto"/>
              <w:ind w:left="21" w:right="-29"/>
              <w:jc w:val="left"/>
              <w:rPr>
                <w:sz w:val="18"/>
                <w:szCs w:val="18"/>
              </w:rPr>
            </w:pPr>
            <w:r>
              <w:rPr>
                <w:rFonts w:hint="eastAsia"/>
                <w:sz w:val="18"/>
                <w:szCs w:val="18"/>
              </w:rPr>
              <w:t>二、课程制作要求</w:t>
            </w:r>
          </w:p>
          <w:p>
            <w:pPr>
              <w:pStyle w:val="120"/>
              <w:autoSpaceDE w:val="0"/>
              <w:autoSpaceDN w:val="0"/>
              <w:spacing w:line="213" w:lineRule="auto"/>
              <w:ind w:left="21" w:right="-29"/>
              <w:jc w:val="left"/>
              <w:rPr>
                <w:sz w:val="18"/>
                <w:szCs w:val="18"/>
              </w:rPr>
            </w:pPr>
            <w:r>
              <w:rPr>
                <w:sz w:val="18"/>
                <w:szCs w:val="18"/>
              </w:rPr>
              <w:t>1</w:t>
            </w:r>
            <w:r>
              <w:rPr>
                <w:rFonts w:hint="eastAsia"/>
                <w:sz w:val="18"/>
                <w:szCs w:val="18"/>
              </w:rPr>
              <w:t>.</w:t>
            </w:r>
            <w:r>
              <w:rPr>
                <w:sz w:val="18"/>
                <w:szCs w:val="18"/>
              </w:rPr>
              <w:t>人员配置及设备要求</w:t>
            </w:r>
          </w:p>
          <w:p>
            <w:pPr>
              <w:pStyle w:val="120"/>
              <w:autoSpaceDE w:val="0"/>
              <w:autoSpaceDN w:val="0"/>
              <w:spacing w:line="213" w:lineRule="auto"/>
              <w:ind w:left="21" w:right="-29"/>
              <w:jc w:val="left"/>
              <w:rPr>
                <w:sz w:val="18"/>
                <w:szCs w:val="18"/>
              </w:rPr>
            </w:pPr>
            <w:r>
              <w:rPr>
                <w:sz w:val="18"/>
                <w:szCs w:val="18"/>
              </w:rPr>
              <w:t>（1）课程编导与老师深度沟通，收集材料,起草课程脚本、拟定分组镜头大纲。（2）课程顾问，辅助老师策划设计课程， 课程知识点设计。（3） 专业摄像师。（4）摄像助理进行拍摄前的白平衡调试、机位的摆放、音频设备的测试。（5）</w:t>
            </w:r>
            <w:r>
              <w:rPr>
                <w:rFonts w:hint="eastAsia"/>
                <w:sz w:val="18"/>
                <w:szCs w:val="18"/>
              </w:rPr>
              <w:t>为提升学校教师出镜效果，供应商应提供化妆服务，要求为参与的老师提供统一的拍摄服装，</w:t>
            </w:r>
            <w:r>
              <w:rPr>
                <w:sz w:val="18"/>
                <w:szCs w:val="18"/>
              </w:rPr>
              <w:t>化妆师有跟剧组经验，擅长画舞台装、上镜装等。（6）场记员实时的记录拍摄进度景别、时间点，拍摄内容等。（7）灯光师负责灯光的调式。（8）拍摄设备：专业广播级高清摄像机（至少 2 机位）、拍摄轨道等。（9）音频设备：专业无线麦。灯光设备：专业影视摄影镝灯，LED 面光灯等。</w:t>
            </w:r>
            <w:r>
              <w:rPr>
                <w:rFonts w:hint="eastAsia"/>
                <w:sz w:val="18"/>
                <w:szCs w:val="18"/>
              </w:rPr>
              <w:t>（</w:t>
            </w:r>
            <w:r>
              <w:rPr>
                <w:sz w:val="18"/>
                <w:szCs w:val="18"/>
              </w:rPr>
              <w:t>10）辅助记忆设备（提词器）1 套。</w:t>
            </w:r>
            <w:r>
              <w:rPr>
                <w:rFonts w:hint="eastAsia"/>
                <w:sz w:val="18"/>
                <w:szCs w:val="18"/>
              </w:rPr>
              <w:t>（</w:t>
            </w:r>
            <w:r>
              <w:rPr>
                <w:sz w:val="18"/>
                <w:szCs w:val="18"/>
              </w:rPr>
              <w:t>11）调色师使用专业后期调色软件对视频进行后期调色。（12）特效包装师：应用软件：AE、Photoshop，Premiere 等，要求具有专业认证证书。（13）二维动画师：根据课程需要制作动画。（14）对教学过程录像进行字幕的速记、校对，制作外挂字幕 SRT 格式。（15）根据要求把成品视频转换成高清、标清、网络播放等 AVI、MPEG、MP4、MOV、FLV 格式等（16）根据学校要求对课程进行修改（17）首页设计、页面美化、文字排版、文字校对、页面审核等。</w:t>
            </w:r>
          </w:p>
          <w:p>
            <w:pPr>
              <w:pStyle w:val="120"/>
              <w:autoSpaceDE w:val="0"/>
              <w:autoSpaceDN w:val="0"/>
              <w:spacing w:line="213" w:lineRule="auto"/>
              <w:ind w:left="21" w:right="-29"/>
              <w:jc w:val="left"/>
              <w:rPr>
                <w:sz w:val="18"/>
                <w:szCs w:val="18"/>
              </w:rPr>
            </w:pPr>
            <w:r>
              <w:rPr>
                <w:sz w:val="18"/>
                <w:szCs w:val="18"/>
              </w:rPr>
              <w:t>2</w:t>
            </w:r>
            <w:r>
              <w:rPr>
                <w:rFonts w:hint="eastAsia"/>
                <w:sz w:val="18"/>
                <w:szCs w:val="18"/>
              </w:rPr>
              <w:t>.</w:t>
            </w:r>
            <w:r>
              <w:rPr>
                <w:sz w:val="18"/>
                <w:szCs w:val="18"/>
              </w:rPr>
              <w:t>精品在线开放课程视频制作要求</w:t>
            </w:r>
          </w:p>
          <w:p>
            <w:pPr>
              <w:pStyle w:val="120"/>
              <w:autoSpaceDE w:val="0"/>
              <w:autoSpaceDN w:val="0"/>
              <w:spacing w:line="213" w:lineRule="auto"/>
              <w:ind w:left="21" w:right="-29"/>
              <w:jc w:val="left"/>
              <w:rPr>
                <w:sz w:val="18"/>
                <w:szCs w:val="18"/>
              </w:rPr>
            </w:pPr>
            <w:r>
              <w:rPr>
                <w:rFonts w:hint="eastAsia"/>
                <w:sz w:val="18"/>
                <w:szCs w:val="18"/>
              </w:rPr>
              <w:t>根据在线课程建设的基本条件，参考国内外视频课程录制的形式，此课程制作主推四种制作模式</w:t>
            </w:r>
            <w:r>
              <w:rPr>
                <w:sz w:val="18"/>
                <w:szCs w:val="18"/>
              </w:rPr>
              <w:t xml:space="preserve">(A、B、C、D)，制作方须按制作经验及实际课程情况为本标段内课程选择相应制作模式，并说明设计思想。对课程制作设计说明须制作为演示文稿，对部分微课的设计思想与制作手法以及典型的场景、景别设计进行举例说明。 </w:t>
            </w:r>
          </w:p>
          <w:p>
            <w:pPr>
              <w:pStyle w:val="120"/>
              <w:autoSpaceDE w:val="0"/>
              <w:autoSpaceDN w:val="0"/>
              <w:spacing w:line="213" w:lineRule="auto"/>
              <w:ind w:left="21" w:right="-29"/>
              <w:jc w:val="left"/>
              <w:rPr>
                <w:sz w:val="18"/>
                <w:szCs w:val="18"/>
              </w:rPr>
            </w:pPr>
            <w:r>
              <w:rPr>
                <w:sz w:val="18"/>
                <w:szCs w:val="18"/>
              </w:rPr>
              <w:t>2.1 A 类制作模式： 主要采用内录形式（录屏）</w:t>
            </w:r>
            <w:r>
              <w:rPr>
                <w:rFonts w:hint="eastAsia"/>
                <w:sz w:val="18"/>
                <w:szCs w:val="18"/>
              </w:rPr>
              <w:t>。</w:t>
            </w:r>
            <w:r>
              <w:rPr>
                <w:sz w:val="18"/>
                <w:szCs w:val="18"/>
              </w:rPr>
              <w:t>2.1.1 使用手绘板配合相应屏幕录制软件录制课程 PPT 内容，同步采集音频信号。2.1.2 使用适当的非线性编辑系</w:t>
            </w:r>
            <w:r>
              <w:rPr>
                <w:rFonts w:hint="eastAsia"/>
                <w:sz w:val="18"/>
                <w:szCs w:val="18"/>
              </w:rPr>
              <w:t>统，对录制的视频从头至尾全部进行编辑，进行基于知识点的分段切割，去除口误以及与课程无关的多余段落、空隙等。</w:t>
            </w:r>
            <w:r>
              <w:rPr>
                <w:sz w:val="18"/>
                <w:szCs w:val="18"/>
              </w:rPr>
              <w:t>2.1.3 根据课程需要适当插入授课教师图像、视频、动画等媒体形式，添加特技效果。2.1.4 生成视频，按技术要求压缩为适当的流媒体格式。</w:t>
            </w:r>
          </w:p>
          <w:p>
            <w:pPr>
              <w:pStyle w:val="120"/>
              <w:autoSpaceDE w:val="0"/>
              <w:autoSpaceDN w:val="0"/>
              <w:spacing w:line="213" w:lineRule="auto"/>
              <w:ind w:left="21" w:right="-29"/>
              <w:jc w:val="left"/>
              <w:rPr>
                <w:sz w:val="18"/>
                <w:szCs w:val="18"/>
              </w:rPr>
            </w:pPr>
            <w:r>
              <w:rPr>
                <w:sz w:val="18"/>
                <w:szCs w:val="18"/>
              </w:rPr>
              <w:t>2.2 B 类制作模式：录制地点在演播室、教室、办公室、礼堂以及外景地等现场直录，以及利用触摸屏等媒体直录的课程。要求录制现场光线充足、环境</w:t>
            </w:r>
            <w:r>
              <w:rPr>
                <w:rFonts w:hint="eastAsia"/>
                <w:sz w:val="18"/>
                <w:szCs w:val="18"/>
              </w:rPr>
              <w:t>安静。</w:t>
            </w:r>
            <w:r>
              <w:rPr>
                <w:sz w:val="18"/>
                <w:szCs w:val="18"/>
              </w:rPr>
              <w:t>2.2.1 前期</w:t>
            </w:r>
            <w:r>
              <w:rPr>
                <w:rFonts w:hint="eastAsia"/>
                <w:sz w:val="18"/>
                <w:szCs w:val="18"/>
              </w:rPr>
              <w:t>摄制要根据课程内容，可采用多机位拍摄，机位设置应满足完整记录课程全部内容要求。</w:t>
            </w:r>
            <w:r>
              <w:rPr>
                <w:sz w:val="18"/>
                <w:szCs w:val="18"/>
              </w:rPr>
              <w:t>2.2.2 声音录制要求采用专业级话筒，保证教师授课的录音质量。2.2.3 后期编辑合成，根据课程内容插入适当的图片、动画、视频等媒体素材，使课程具有较强的感染力，帮助学生理解和掌握课程内容。2.2.4 生成视频，按技术要求压缩为适当的流媒体格式。</w:t>
            </w:r>
          </w:p>
          <w:p>
            <w:pPr>
              <w:pStyle w:val="120"/>
              <w:autoSpaceDE w:val="0"/>
              <w:autoSpaceDN w:val="0"/>
              <w:spacing w:line="213" w:lineRule="auto"/>
              <w:ind w:left="21" w:right="-29"/>
              <w:jc w:val="left"/>
              <w:rPr>
                <w:sz w:val="18"/>
                <w:szCs w:val="18"/>
              </w:rPr>
            </w:pPr>
            <w:r>
              <w:rPr>
                <w:sz w:val="18"/>
                <w:szCs w:val="18"/>
              </w:rPr>
              <w:t>2.3 C 类制作模式：以演播室虚拟录制（抠像）为主，适用于课程内容活跃、画面表现力较强的课程制作要求较高。2.3.1 根据课程的具体要求，采用多机位单色背景录制教师授课。2.3.2 利用与课程内容相关的视频、动画、数码影像、图片等虚拟背景进行抠像。2.3.3 声音录制要求采用专业级话筒，保证教师授课的录音质量。经过剪辑生成视</w:t>
            </w:r>
            <w:r>
              <w:rPr>
                <w:rFonts w:hint="eastAsia"/>
                <w:sz w:val="18"/>
                <w:szCs w:val="18"/>
              </w:rPr>
              <w:t>频，按技术要求压缩为适当的流媒体格式。</w:t>
            </w:r>
          </w:p>
          <w:p>
            <w:pPr>
              <w:pStyle w:val="120"/>
              <w:autoSpaceDE w:val="0"/>
              <w:autoSpaceDN w:val="0"/>
              <w:spacing w:line="213" w:lineRule="auto"/>
              <w:ind w:left="21" w:right="-29"/>
              <w:jc w:val="left"/>
              <w:rPr>
                <w:sz w:val="18"/>
                <w:szCs w:val="18"/>
              </w:rPr>
            </w:pPr>
            <w:r>
              <w:rPr>
                <w:sz w:val="18"/>
                <w:szCs w:val="18"/>
              </w:rPr>
              <w:t>2.4 D 类制作模式：2.4.1 教师不需出镜，以教师的授课 PPT 为视频主体，后期配以教师授课音频或按授课讲稿制作的标准配音。2.4.2 根据课程内容制作相关动画，提高课程的感染力。2.4.3 生成视频，按技术要求压缩为适当的流媒体格式。</w:t>
            </w:r>
          </w:p>
          <w:p>
            <w:pPr>
              <w:pStyle w:val="120"/>
              <w:autoSpaceDE w:val="0"/>
              <w:autoSpaceDN w:val="0"/>
              <w:spacing w:line="213" w:lineRule="auto"/>
              <w:ind w:left="21" w:right="-29"/>
              <w:jc w:val="left"/>
              <w:rPr>
                <w:sz w:val="18"/>
                <w:szCs w:val="18"/>
              </w:rPr>
            </w:pPr>
            <w:r>
              <w:rPr>
                <w:sz w:val="18"/>
                <w:szCs w:val="18"/>
              </w:rPr>
              <w:t>2.5每个微视频须制作课程片头要求：长度 3~5秒钟，能够体现课程特色，形式新颖，具有时尚元素以及适当的音乐。2.6 每个微视频须制作外挂字幕 根据课程录音记录文档，制作外挂字幕，要求声画同步。</w:t>
            </w:r>
          </w:p>
          <w:p>
            <w:pPr>
              <w:pStyle w:val="120"/>
              <w:autoSpaceDE w:val="0"/>
              <w:autoSpaceDN w:val="0"/>
              <w:spacing w:line="213" w:lineRule="auto"/>
              <w:ind w:left="21" w:right="-29"/>
              <w:jc w:val="left"/>
              <w:rPr>
                <w:kern w:val="0"/>
                <w:sz w:val="18"/>
                <w:szCs w:val="18"/>
              </w:rPr>
            </w:pPr>
            <w:r>
              <w:rPr>
                <w:sz w:val="18"/>
                <w:szCs w:val="18"/>
              </w:rPr>
              <w:t>2.</w:t>
            </w:r>
            <w:r>
              <w:rPr>
                <w:rFonts w:hint="eastAsia"/>
                <w:sz w:val="18"/>
                <w:szCs w:val="18"/>
                <w:lang w:val="en-US"/>
              </w:rPr>
              <w:t>6</w:t>
            </w:r>
            <w:r>
              <w:rPr>
                <w:sz w:val="18"/>
                <w:szCs w:val="18"/>
              </w:rPr>
              <w:t>前期录制要求</w:t>
            </w:r>
            <w:r>
              <w:rPr>
                <w:rFonts w:hint="eastAsia"/>
                <w:sz w:val="18"/>
                <w:szCs w:val="18"/>
              </w:rPr>
              <w:t>：</w:t>
            </w:r>
            <w:r>
              <w:rPr>
                <w:sz w:val="18"/>
                <w:szCs w:val="18"/>
              </w:rPr>
              <w:t>录制程序 1.录制开始前， 采购方将录制计划发给制作方，制作方须严格按照拍摄录制计划执行。2. 采购方提前通知制作方每次课程的拍摄时间、地点。3.拍摄人员须至少提前半小时到达</w:t>
            </w:r>
            <w:r>
              <w:rPr>
                <w:rFonts w:hint="eastAsia"/>
                <w:sz w:val="18"/>
                <w:szCs w:val="18"/>
              </w:rPr>
              <w:t>录制现场，特殊课程需至少提前</w:t>
            </w:r>
            <w:r>
              <w:rPr>
                <w:sz w:val="18"/>
                <w:szCs w:val="18"/>
              </w:rPr>
              <w:t xml:space="preserve"> 1 小时到达现场。4.拍摄人员须根据录制现场的实际情况，在不影响教师正常教学的情况下设计出合理的拍摄方案。5.拍摄人员根据拍摄场地的实际情况，安排灯光以保证视频拍摄的质量，确保主讲教师面光均匀，无硬光。录制场地</w:t>
            </w:r>
            <w:r>
              <w:rPr>
                <w:rFonts w:hint="eastAsia"/>
                <w:sz w:val="18"/>
                <w:szCs w:val="18"/>
              </w:rPr>
              <w:t>：</w:t>
            </w:r>
            <w:r>
              <w:rPr>
                <w:sz w:val="18"/>
                <w:szCs w:val="18"/>
              </w:rPr>
              <w:t>1.制作方须对录制教室环境进行布置，如擦净黑板等，保持教室内环境整洁，避免在镜头中出现有广告嫌疑或与课程无关的标识等内容。2.在征得采购方同意后可以采取遮盖教室内线头、提示标示等有碍画面美感的物体的措施。其他要求 1.在拍摄时应针对实际情况选择适当的拍摄方式，确保成片中</w:t>
            </w:r>
            <w:r>
              <w:rPr>
                <w:rFonts w:hint="eastAsia"/>
                <w:sz w:val="18"/>
                <w:szCs w:val="18"/>
              </w:rPr>
              <w:t>的多媒体演示及板书完整、清晰。</w:t>
            </w:r>
            <w:r>
              <w:rPr>
                <w:sz w:val="18"/>
                <w:szCs w:val="18"/>
              </w:rPr>
              <w:t>2.拍摄过程中不得以拍摄质量要求等理由干扰到教师正常的教学活动。3.重点课程的拍摄需根据教师的教学方式和特点设计拍摄方式，确保在不干扰教师正常的教学活动的情况下，全面而有特色地展示出名师的风采和课堂的气氛。后期制作要求 1.片头的模板由制作方根据采购方的意见制作，并最终由采购方审定，制作方需在模板中添加课程名称、主讲教师姓名、章节序号名称等采购方要求的内容。2.视频技术指标①视频信号源，稳定性：全片图像同步性能稳定，无失步现象，CTL 同步控制信号必须连续；图像无抖动跳跃，色彩</w:t>
            </w:r>
            <w:r>
              <w:rPr>
                <w:rFonts w:hint="eastAsia"/>
                <w:sz w:val="18"/>
                <w:szCs w:val="18"/>
              </w:rPr>
              <w:t>无突变，编辑点处图像稳定。信噪比：图像信噪比不低于</w:t>
            </w:r>
            <w:r>
              <w:rPr>
                <w:sz w:val="18"/>
                <w:szCs w:val="18"/>
              </w:rPr>
              <w:t xml:space="preserve"> 55dB，无明显杂波。色调：白平衡正确无明显偏色，多机拍摄的镜头衔接处无明显色差。视频电平：视频全讯号幅度为 1Ⅴp-p，最大不超过 1.1Ⅴ p-p。其中，消隐电平为 0V 时，白电平幅度 0.7Ⅴp-p，同步信号-0.3V，色同步信号幅度 0.3V p-p (以消隐线上下对称)，全片一致。②音频信号源 声道：中文内容音频信号记录于第 1 声道，音乐、音效、同期声记录于第 2 声道，若有其他文字解说记录于第 3 声道（如录音设备无第 3 声道，则录于第 2 声道）。电平指标：-2db — -8db 声音应无明显失真、放音过冲、过弱。音频信噪比不低于 48db。声音和画面要求同步，无交流声或其他杂音等缺陷。伴音清晰、饱满、圆润，无失真、噪声杂音干扰、音量忽大忽小现象。解说声与现场声无明显比例失调解说声与背景音乐无明显比例失调。3.压缩参数①视频压缩格式及技术参数：</w:t>
            </w:r>
            <w:r>
              <w:rPr>
                <w:rFonts w:hint="eastAsia"/>
                <w:sz w:val="18"/>
                <w:szCs w:val="18"/>
              </w:rPr>
              <w:t>视频压缩采用</w:t>
            </w:r>
            <w:r>
              <w:rPr>
                <w:sz w:val="18"/>
                <w:szCs w:val="18"/>
              </w:rPr>
              <w:t xml:space="preserve"> H.264/AVC (MPEG-4 Part10)编码、使用二次编码、不包含字幕的 MP4 格式。视频码流率：动态码流的最高码率不高于 2500 Kbps，最低码率不得低于 1024Kbps。视频分辨率：前期采用高清 16:9 拍摄时，设定为 1920×1080。在同一课程中，各讲的视频分辨率统一，统一高清。视频画幅宽高比：分辨率设定为 1920×1080的，选定为 16:9。在同一课程中各讲画幅的宽高比统一。</w:t>
            </w:r>
            <w:r>
              <w:rPr>
                <w:rFonts w:hint="eastAsia"/>
                <w:kern w:val="0"/>
                <w:sz w:val="18"/>
                <w:szCs w:val="18"/>
              </w:rPr>
              <w:t>视频帧率为</w:t>
            </w:r>
            <w:r>
              <w:rPr>
                <w:kern w:val="0"/>
                <w:sz w:val="18"/>
                <w:szCs w:val="18"/>
              </w:rPr>
              <w:t xml:space="preserve"> 25 帧/秒。扫描方式采用逐行扫描。②音频压缩格式及技术参</w:t>
            </w:r>
            <w:r>
              <w:rPr>
                <w:rFonts w:hint="eastAsia"/>
                <w:kern w:val="0"/>
                <w:sz w:val="18"/>
                <w:szCs w:val="18"/>
              </w:rPr>
              <w:t>数：音频压缩采用</w:t>
            </w:r>
            <w:r>
              <w:rPr>
                <w:kern w:val="0"/>
                <w:sz w:val="18"/>
                <w:szCs w:val="18"/>
              </w:rPr>
              <w:t xml:space="preserve"> AAC(MPEG4 Part3)格式。采样率 48KHz。音频码流率128Kbps (恒定)。必须是双声道，须做混音处理。</w:t>
            </w:r>
          </w:p>
          <w:p>
            <w:pPr>
              <w:rPr>
                <w:rFonts w:ascii="宋体" w:hAnsi="宋体" w:cs="宋体"/>
                <w:kern w:val="0"/>
                <w:sz w:val="18"/>
                <w:szCs w:val="18"/>
                <w:lang w:val="zh-CN" w:bidi="zh-CN"/>
              </w:rPr>
            </w:pPr>
            <w:r>
              <w:rPr>
                <w:rFonts w:hint="eastAsia" w:ascii="宋体" w:hAnsi="宋体" w:cs="宋体"/>
                <w:kern w:val="0"/>
                <w:sz w:val="18"/>
                <w:szCs w:val="18"/>
                <w:lang w:val="zh-CN" w:bidi="zh-CN"/>
              </w:rPr>
              <w:t>三、课程制作服务团队</w:t>
            </w:r>
          </w:p>
          <w:p>
            <w:pPr>
              <w:rPr>
                <w:rFonts w:ascii="宋体" w:hAnsi="宋体" w:cs="宋体"/>
                <w:kern w:val="0"/>
                <w:sz w:val="18"/>
                <w:szCs w:val="18"/>
                <w:lang w:val="zh-CN" w:bidi="zh-CN"/>
              </w:rPr>
            </w:pPr>
            <w:r>
              <w:rPr>
                <w:rFonts w:hint="eastAsia" w:ascii="宋体" w:hAnsi="宋体" w:cs="宋体"/>
                <w:kern w:val="0"/>
                <w:sz w:val="18"/>
                <w:szCs w:val="18"/>
                <w:lang w:val="zh-CN" w:bidi="zh-CN"/>
              </w:rPr>
              <w:t>要求负责课程制作服务的团队保证能切实高效完成完全符合要求的课程制作任务。提供录制团队成员专业背景简介和分工说明。</w:t>
            </w:r>
          </w:p>
          <w:p>
            <w:pPr>
              <w:rPr>
                <w:rFonts w:ascii="宋体" w:hAnsi="宋体" w:cs="宋体"/>
                <w:kern w:val="0"/>
                <w:sz w:val="18"/>
                <w:szCs w:val="18"/>
                <w:lang w:val="zh-CN" w:bidi="zh-CN"/>
              </w:rPr>
            </w:pPr>
            <w:r>
              <w:rPr>
                <w:rFonts w:hint="eastAsia" w:ascii="宋体" w:hAnsi="宋体" w:cs="宋体"/>
                <w:kern w:val="0"/>
                <w:sz w:val="18"/>
                <w:szCs w:val="18"/>
                <w:lang w:val="zh-CN" w:bidi="zh-CN"/>
              </w:rPr>
              <w:t>四、课程制作实施方案</w:t>
            </w:r>
          </w:p>
          <w:p>
            <w:pPr>
              <w:rPr>
                <w:rFonts w:ascii="宋体" w:hAnsi="宋体" w:cs="宋体"/>
                <w:kern w:val="0"/>
                <w:sz w:val="18"/>
                <w:szCs w:val="18"/>
                <w:lang w:val="zh-CN" w:bidi="zh-CN"/>
              </w:rPr>
            </w:pPr>
            <w:r>
              <w:rPr>
                <w:rFonts w:hint="eastAsia" w:ascii="宋体" w:hAnsi="宋体" w:cs="宋体"/>
                <w:kern w:val="0"/>
                <w:sz w:val="18"/>
                <w:szCs w:val="18"/>
                <w:lang w:val="zh-CN" w:bidi="zh-CN"/>
              </w:rPr>
              <w:t>提供成熟可行的组织实施方案，包含工作任务分类、人员分工，项目实施推进规划，与学校管理部门（教务处或相关学院）、教师、学生就课程制作的进程安排和课程拍摄细节进行沟通处理的方案，课程制作各环节、部分的实施方案，以及其他可能涉及的工作方案。</w:t>
            </w:r>
          </w:p>
          <w:p>
            <w:pPr>
              <w:rPr>
                <w:rFonts w:ascii="宋体" w:hAnsi="宋体" w:cs="宋体"/>
                <w:kern w:val="0"/>
                <w:sz w:val="18"/>
                <w:szCs w:val="18"/>
                <w:lang w:val="zh-CN" w:bidi="zh-CN"/>
              </w:rPr>
            </w:pPr>
            <w:r>
              <w:rPr>
                <w:rFonts w:hint="eastAsia" w:ascii="宋体" w:hAnsi="宋体" w:cs="宋体"/>
                <w:kern w:val="0"/>
                <w:sz w:val="18"/>
                <w:szCs w:val="18"/>
                <w:lang w:val="zh-CN" w:bidi="zh-CN"/>
              </w:rPr>
              <w:t>五、视、音频交付要求</w:t>
            </w:r>
          </w:p>
          <w:p>
            <w:pPr>
              <w:rPr>
                <w:rFonts w:ascii="宋体" w:hAnsi="宋体" w:cs="宋体"/>
                <w:kern w:val="0"/>
                <w:sz w:val="18"/>
                <w:szCs w:val="18"/>
                <w:lang w:val="zh-CN" w:bidi="zh-CN"/>
              </w:rPr>
            </w:pPr>
            <w:r>
              <w:rPr>
                <w:rFonts w:hint="eastAsia" w:ascii="宋体" w:hAnsi="宋体" w:cs="宋体"/>
                <w:kern w:val="0"/>
                <w:sz w:val="18"/>
                <w:szCs w:val="18"/>
                <w:lang w:val="zh-CN" w:bidi="zh-CN"/>
              </w:rPr>
              <w:t>（一）交付载体</w:t>
            </w:r>
            <w:r>
              <w:rPr>
                <w:rFonts w:ascii="宋体" w:hAnsi="宋体" w:cs="宋体"/>
                <w:kern w:val="0"/>
                <w:sz w:val="18"/>
                <w:szCs w:val="18"/>
                <w:lang w:val="zh-CN" w:bidi="zh-CN"/>
              </w:rPr>
              <w:t xml:space="preserve"> 1.所有视频文件、相应的媒体文件（PPT、PDF 等）及相关的材料均需拷盘（移动硬盘或 U 盘）。2.文件或文件包须注明课程全称课程单元、片段、标题及主讲教师、时长等信息。3.所有课程素材母带（或素材数据硬盘）最后交采购方。（二）视频压缩格式及技术参数（三）音频压缩格式及技术参数（四）封装（五）交付时间 1.制作方须在全部课程拍摄完成后 30 日内完成全部视频成品的交付工作。2.制作方在拍摄和制作过程中须按照采购方的视频审核程序要求交付视频小样或成品。3.经初审、复审后，制作方交付的最终</w:t>
            </w:r>
            <w:r>
              <w:rPr>
                <w:rFonts w:hint="eastAsia" w:ascii="宋体" w:hAnsi="宋体" w:cs="宋体"/>
                <w:kern w:val="0"/>
                <w:sz w:val="18"/>
                <w:szCs w:val="18"/>
                <w:lang w:val="zh-CN" w:bidi="zh-CN"/>
              </w:rPr>
              <w:t>成品经采购方组织专家审核通过后方可完成交付。课程成品不符合质量要求，没有通过专家审核的，须于收到反馈意见后</w:t>
            </w:r>
            <w:r>
              <w:rPr>
                <w:rFonts w:ascii="宋体" w:hAnsi="宋体" w:cs="宋体"/>
                <w:kern w:val="0"/>
                <w:sz w:val="18"/>
                <w:szCs w:val="18"/>
                <w:lang w:val="zh-CN" w:bidi="zh-CN"/>
              </w:rPr>
              <w:t>10日内完成修改，并最终通过采购方的审核。（六）视频审核程序 1.在每一视频单元拍摄完成后 7 天内将该讲的拍摄视频导出，压缩成分辨率为 640*360 的视频小样通过 U 盘或移动硬盘交付采购方。</w:t>
            </w:r>
          </w:p>
          <w:p>
            <w:pPr>
              <w:rPr>
                <w:rFonts w:ascii="宋体" w:hAnsi="宋体" w:cs="宋体"/>
                <w:kern w:val="0"/>
                <w:sz w:val="18"/>
                <w:szCs w:val="18"/>
                <w:lang w:val="zh-CN" w:bidi="zh-CN"/>
              </w:rPr>
            </w:pPr>
            <w:r>
              <w:rPr>
                <w:rFonts w:ascii="宋体" w:hAnsi="宋体" w:cs="宋体"/>
                <w:kern w:val="0"/>
                <w:sz w:val="18"/>
                <w:szCs w:val="18"/>
                <w:lang w:val="zh-CN" w:bidi="zh-CN"/>
              </w:rPr>
              <w:t>2.采购方将《视频单元初审情况表》发给制作方，制作方根据采购方反馈的《视频单元初审情况表》进行视频的剪辑和修改。自收到《视频单元初审情况表》之日起 10 日内完成剪辑及修改工作并交付采购方。 3.成片经采购方组织主讲教师、专家审核，将《视频单元复审情况表》反馈给制作方，制作方须根据《视频单元复审情况表》在 10 日内完成修改并交付采购方。</w:t>
            </w:r>
          </w:p>
          <w:p>
            <w:pPr>
              <w:rPr>
                <w:rFonts w:ascii="宋体" w:hAnsi="宋体" w:cs="宋体"/>
                <w:kern w:val="0"/>
                <w:sz w:val="18"/>
                <w:szCs w:val="18"/>
                <w:lang w:val="zh-CN" w:bidi="zh-CN"/>
              </w:rPr>
            </w:pPr>
            <w:r>
              <w:rPr>
                <w:rFonts w:hint="eastAsia" w:ascii="宋体" w:hAnsi="宋体" w:cs="宋体"/>
                <w:kern w:val="0"/>
                <w:sz w:val="18"/>
                <w:szCs w:val="18"/>
                <w:lang w:val="zh-CN" w:bidi="zh-CN"/>
              </w:rPr>
              <w:t>六、精品在线课程制作软件</w:t>
            </w:r>
          </w:p>
          <w:p>
            <w:pPr>
              <w:rPr>
                <w:rFonts w:ascii="宋体" w:hAnsi="宋体" w:cs="宋体"/>
                <w:kern w:val="0"/>
                <w:sz w:val="18"/>
                <w:szCs w:val="18"/>
                <w:lang w:val="zh-CN" w:bidi="zh-CN"/>
              </w:rPr>
            </w:pPr>
            <w:r>
              <w:rPr>
                <w:rFonts w:hint="eastAsia" w:ascii="宋体" w:hAnsi="宋体" w:cs="宋体"/>
                <w:kern w:val="0"/>
                <w:sz w:val="18"/>
                <w:szCs w:val="18"/>
                <w:lang w:val="zh-CN" w:bidi="zh-CN"/>
              </w:rPr>
              <w:t>功能参数：</w:t>
            </w:r>
          </w:p>
          <w:p>
            <w:pPr>
              <w:rPr>
                <w:rFonts w:ascii="宋体" w:hAnsi="宋体" w:cs="宋体"/>
                <w:kern w:val="0"/>
                <w:sz w:val="18"/>
                <w:szCs w:val="18"/>
                <w:lang w:val="zh-CN" w:bidi="zh-CN"/>
              </w:rPr>
            </w:pPr>
            <w:r>
              <w:rPr>
                <w:rFonts w:ascii="宋体" w:hAnsi="宋体" w:cs="宋体"/>
                <w:kern w:val="0"/>
                <w:sz w:val="18"/>
                <w:szCs w:val="18"/>
                <w:lang w:val="zh-CN" w:bidi="zh-CN"/>
              </w:rPr>
              <w:t>(一)学生端</w:t>
            </w:r>
          </w:p>
          <w:p>
            <w:pPr>
              <w:rPr>
                <w:rFonts w:ascii="宋体" w:hAnsi="宋体" w:cs="宋体"/>
                <w:kern w:val="0"/>
                <w:sz w:val="18"/>
                <w:szCs w:val="18"/>
                <w:lang w:val="zh-CN" w:bidi="zh-CN"/>
              </w:rPr>
            </w:pPr>
            <w:r>
              <w:rPr>
                <w:rFonts w:hint="eastAsia" w:ascii="宋体" w:hAnsi="宋体" w:cs="宋体"/>
                <w:kern w:val="0"/>
                <w:sz w:val="18"/>
                <w:szCs w:val="18"/>
                <w:lang w:val="zh-CN" w:bidi="zh-CN"/>
              </w:rPr>
              <w:t>完整的精品课程，包含电子教案、教学视频、</w:t>
            </w:r>
            <w:r>
              <w:rPr>
                <w:rFonts w:ascii="宋体" w:hAnsi="宋体" w:cs="宋体"/>
                <w:kern w:val="0"/>
                <w:sz w:val="18"/>
                <w:szCs w:val="18"/>
                <w:lang w:val="zh-CN" w:bidi="zh-CN"/>
              </w:rPr>
              <w:t>PPT课件、微课、动画、考题、实训指导书等内容，学生可以</w:t>
            </w:r>
            <w:r>
              <w:rPr>
                <w:rFonts w:hint="eastAsia" w:ascii="宋体" w:hAnsi="宋体" w:cs="宋体"/>
                <w:kern w:val="0"/>
                <w:sz w:val="18"/>
                <w:szCs w:val="18"/>
                <w:lang w:val="zh-CN" w:bidi="zh-CN"/>
              </w:rPr>
              <w:t>在</w:t>
            </w:r>
            <w:r>
              <w:rPr>
                <w:rFonts w:ascii="宋体" w:hAnsi="宋体" w:cs="宋体"/>
                <w:kern w:val="0"/>
                <w:sz w:val="18"/>
                <w:szCs w:val="18"/>
                <w:lang w:val="zh-CN" w:bidi="zh-CN"/>
              </w:rPr>
              <w:t>精品课程网站进行该课程的学习。</w:t>
            </w:r>
          </w:p>
          <w:p>
            <w:pPr>
              <w:rPr>
                <w:rFonts w:ascii="宋体" w:hAnsi="宋体" w:cs="宋体"/>
                <w:kern w:val="0"/>
                <w:sz w:val="18"/>
                <w:szCs w:val="18"/>
                <w:lang w:val="zh-CN" w:bidi="zh-CN"/>
              </w:rPr>
            </w:pPr>
            <w:r>
              <w:rPr>
                <w:rFonts w:ascii="宋体" w:hAnsi="宋体" w:cs="宋体"/>
                <w:kern w:val="0"/>
                <w:sz w:val="18"/>
                <w:szCs w:val="18"/>
                <w:lang w:val="zh-CN" w:bidi="zh-CN"/>
              </w:rPr>
              <w:t>(二)教师端</w:t>
            </w:r>
          </w:p>
          <w:p>
            <w:pPr>
              <w:rPr>
                <w:rFonts w:ascii="宋体" w:hAnsi="宋体" w:cs="宋体"/>
                <w:kern w:val="0"/>
                <w:sz w:val="18"/>
                <w:szCs w:val="18"/>
                <w:lang w:val="zh-CN" w:bidi="zh-CN"/>
              </w:rPr>
            </w:pPr>
            <w:r>
              <w:rPr>
                <w:rFonts w:ascii="宋体" w:hAnsi="宋体" w:cs="宋体"/>
                <w:kern w:val="0"/>
                <w:sz w:val="18"/>
                <w:szCs w:val="18"/>
                <w:lang w:val="zh-CN" w:bidi="zh-CN"/>
              </w:rPr>
              <w:t>1、注册管理</w:t>
            </w:r>
          </w:p>
          <w:p>
            <w:pPr>
              <w:rPr>
                <w:rFonts w:ascii="宋体" w:hAnsi="宋体" w:cs="宋体"/>
                <w:kern w:val="0"/>
                <w:sz w:val="18"/>
                <w:szCs w:val="18"/>
                <w:lang w:val="zh-CN" w:bidi="zh-CN"/>
              </w:rPr>
            </w:pPr>
            <w:r>
              <w:rPr>
                <w:rFonts w:hint="eastAsia" w:ascii="宋体" w:hAnsi="宋体" w:cs="宋体"/>
                <w:kern w:val="0"/>
                <w:sz w:val="18"/>
                <w:szCs w:val="18"/>
                <w:lang w:val="zh-CN" w:bidi="zh-CN"/>
              </w:rPr>
              <w:t>登录到平台后，管理员在人员</w:t>
            </w:r>
            <w:r>
              <w:rPr>
                <w:rFonts w:ascii="宋体" w:hAnsi="宋体" w:cs="宋体"/>
                <w:kern w:val="0"/>
                <w:sz w:val="18"/>
                <w:szCs w:val="18"/>
                <w:lang w:val="zh-CN" w:bidi="zh-CN"/>
              </w:rPr>
              <w:t>-教师管理-进行人员添加，修改，删除。点击添加进行注册，可以添加老师的信息登录账号密码，头像等。</w:t>
            </w:r>
          </w:p>
          <w:p>
            <w:pPr>
              <w:rPr>
                <w:rFonts w:ascii="宋体" w:hAnsi="宋体" w:cs="宋体"/>
                <w:kern w:val="0"/>
                <w:sz w:val="18"/>
                <w:szCs w:val="18"/>
                <w:lang w:val="zh-CN" w:bidi="zh-CN"/>
              </w:rPr>
            </w:pPr>
            <w:r>
              <w:rPr>
                <w:rFonts w:ascii="宋体" w:hAnsi="宋体" w:cs="宋体"/>
                <w:kern w:val="0"/>
                <w:sz w:val="18"/>
                <w:szCs w:val="18"/>
                <w:lang w:val="zh-CN" w:bidi="zh-CN"/>
              </w:rPr>
              <w:t>2、工具首页</w:t>
            </w:r>
          </w:p>
          <w:p>
            <w:pPr>
              <w:rPr>
                <w:rFonts w:ascii="宋体" w:hAnsi="宋体" w:cs="宋体"/>
                <w:kern w:val="0"/>
                <w:sz w:val="18"/>
                <w:szCs w:val="18"/>
                <w:lang w:val="zh-CN" w:bidi="zh-CN"/>
              </w:rPr>
            </w:pPr>
            <w:r>
              <w:rPr>
                <w:rFonts w:hint="eastAsia" w:ascii="宋体" w:hAnsi="宋体" w:cs="宋体"/>
                <w:kern w:val="0"/>
                <w:sz w:val="18"/>
                <w:szCs w:val="18"/>
                <w:lang w:val="zh-CN" w:bidi="zh-CN"/>
              </w:rPr>
              <w:t>首页根据登录授权不同，展示该授权所能看到的所有建设的精品课程，点开对应课程可以进入相关课程内容里面。</w:t>
            </w:r>
          </w:p>
          <w:p>
            <w:pPr>
              <w:rPr>
                <w:rFonts w:ascii="宋体" w:hAnsi="宋体" w:cs="宋体"/>
                <w:kern w:val="0"/>
                <w:sz w:val="18"/>
                <w:szCs w:val="18"/>
                <w:lang w:val="zh-CN" w:bidi="zh-CN"/>
              </w:rPr>
            </w:pPr>
            <w:r>
              <w:rPr>
                <w:rFonts w:ascii="宋体" w:hAnsi="宋体" w:cs="宋体"/>
                <w:kern w:val="0"/>
                <w:sz w:val="18"/>
                <w:szCs w:val="18"/>
                <w:lang w:val="zh-CN" w:bidi="zh-CN"/>
              </w:rPr>
              <w:t>3、新建课程</w:t>
            </w:r>
          </w:p>
          <w:p>
            <w:pPr>
              <w:rPr>
                <w:rFonts w:ascii="宋体" w:hAnsi="宋体" w:cs="宋体"/>
                <w:kern w:val="0"/>
                <w:sz w:val="18"/>
                <w:szCs w:val="18"/>
                <w:lang w:val="zh-CN" w:bidi="zh-CN"/>
              </w:rPr>
            </w:pPr>
            <w:r>
              <w:rPr>
                <w:rFonts w:hint="eastAsia" w:ascii="宋体" w:hAnsi="宋体" w:cs="宋体"/>
                <w:kern w:val="0"/>
                <w:sz w:val="18"/>
                <w:szCs w:val="18"/>
                <w:lang w:val="zh-CN" w:bidi="zh-CN"/>
              </w:rPr>
              <w:t>在首页点击“</w:t>
            </w:r>
            <w:r>
              <w:rPr>
                <w:rFonts w:ascii="宋体" w:hAnsi="宋体" w:cs="宋体"/>
                <w:kern w:val="0"/>
                <w:sz w:val="18"/>
                <w:szCs w:val="18"/>
                <w:lang w:val="zh-CN" w:bidi="zh-CN"/>
              </w:rPr>
              <w:t>+”号新建课程，可以添加课程名称，菜单布局，专业选择，还有首页图片。</w:t>
            </w:r>
          </w:p>
          <w:p>
            <w:pPr>
              <w:rPr>
                <w:rFonts w:ascii="宋体" w:hAnsi="宋体" w:cs="宋体"/>
                <w:kern w:val="0"/>
                <w:sz w:val="18"/>
                <w:szCs w:val="18"/>
                <w:lang w:val="zh-CN" w:bidi="zh-CN"/>
              </w:rPr>
            </w:pPr>
            <w:r>
              <w:rPr>
                <w:rFonts w:ascii="宋体" w:hAnsi="宋体" w:cs="宋体"/>
                <w:kern w:val="0"/>
                <w:sz w:val="18"/>
                <w:szCs w:val="18"/>
                <w:lang w:val="zh-CN" w:bidi="zh-CN"/>
              </w:rPr>
              <w:t>4、课程管理</w:t>
            </w:r>
          </w:p>
          <w:p>
            <w:pPr>
              <w:rPr>
                <w:rFonts w:ascii="宋体" w:hAnsi="宋体" w:cs="宋体"/>
                <w:kern w:val="0"/>
                <w:sz w:val="18"/>
                <w:szCs w:val="18"/>
                <w:lang w:val="zh-CN" w:bidi="zh-CN"/>
              </w:rPr>
            </w:pPr>
            <w:r>
              <w:rPr>
                <w:rFonts w:hint="eastAsia" w:ascii="宋体" w:hAnsi="宋体" w:cs="宋体"/>
                <w:kern w:val="0"/>
                <w:sz w:val="18"/>
                <w:szCs w:val="18"/>
                <w:lang w:val="zh-CN" w:bidi="zh-CN"/>
              </w:rPr>
              <w:t>课程新建完成后，在课程管理里面可以进行查看，修改，删除，保存模板等</w:t>
            </w:r>
          </w:p>
          <w:p>
            <w:pPr>
              <w:rPr>
                <w:rFonts w:ascii="宋体" w:hAnsi="宋体" w:cs="宋体"/>
                <w:kern w:val="0"/>
                <w:sz w:val="18"/>
                <w:szCs w:val="18"/>
                <w:lang w:val="zh-CN" w:bidi="zh-CN"/>
              </w:rPr>
            </w:pPr>
            <w:r>
              <w:rPr>
                <w:rFonts w:hint="eastAsia" w:ascii="宋体" w:hAnsi="宋体" w:cs="宋体"/>
                <w:kern w:val="0"/>
                <w:sz w:val="18"/>
                <w:szCs w:val="18"/>
                <w:lang w:val="zh-CN" w:bidi="zh-CN"/>
              </w:rPr>
              <w:t>▲</w:t>
            </w:r>
            <w:r>
              <w:rPr>
                <w:rFonts w:ascii="宋体" w:hAnsi="宋体" w:cs="宋体"/>
                <w:kern w:val="0"/>
                <w:sz w:val="18"/>
                <w:szCs w:val="18"/>
                <w:lang w:val="zh-CN" w:bidi="zh-CN"/>
              </w:rPr>
              <w:t>5、模板管理</w:t>
            </w:r>
          </w:p>
          <w:p>
            <w:pPr>
              <w:rPr>
                <w:rFonts w:ascii="宋体" w:hAnsi="宋体" w:cs="宋体"/>
                <w:kern w:val="0"/>
                <w:sz w:val="18"/>
                <w:szCs w:val="18"/>
                <w:lang w:val="zh-CN" w:bidi="zh-CN"/>
              </w:rPr>
            </w:pPr>
            <w:r>
              <w:rPr>
                <w:rFonts w:hint="eastAsia" w:ascii="宋体" w:hAnsi="宋体" w:cs="宋体"/>
                <w:kern w:val="0"/>
                <w:sz w:val="18"/>
                <w:szCs w:val="18"/>
                <w:lang w:val="zh-CN" w:bidi="zh-CN"/>
              </w:rPr>
              <w:t>本身系统自带有全局模板，老师也可以自己制作精品课程并且保存为模板，在模板管理里面可以对模板进行编辑和删除，在编辑的时候有一个个人和全局，选择个人只能本人进行模板调用，选择全局是所有老师都能使用。全局模板是公司给客户提供的自带模板，工具通过深入研究国内外主流的在线教育网站、设计了美观大方、又符合国内外标准的课程模板以供选择，教师可依据个人的资料的丰富程度及喜欢的风格进行个性化的设置。老师可以根据自己的喜欢选择模板，全局模板是已经调整好各个框架，老师只需要更改里面内容就可以生成一门精品课程。最少提供</w:t>
            </w:r>
            <w:r>
              <w:rPr>
                <w:rFonts w:ascii="宋体" w:hAnsi="宋体" w:cs="宋体"/>
                <w:kern w:val="0"/>
                <w:sz w:val="18"/>
                <w:szCs w:val="18"/>
                <w:lang w:val="zh-CN" w:bidi="zh-CN"/>
              </w:rPr>
              <w:t>5套及以上模</w:t>
            </w:r>
            <w:r>
              <w:rPr>
                <w:rFonts w:hint="eastAsia" w:ascii="宋体" w:hAnsi="宋体" w:cs="宋体"/>
                <w:kern w:val="0"/>
                <w:sz w:val="18"/>
                <w:szCs w:val="18"/>
                <w:lang w:val="zh-CN" w:bidi="zh-CN"/>
              </w:rPr>
              <w:t>板供老师选择。</w:t>
            </w:r>
            <w:r>
              <w:rPr>
                <w:rFonts w:ascii="宋体" w:hAnsi="宋体" w:cs="宋体"/>
                <w:kern w:val="0"/>
                <w:sz w:val="18"/>
                <w:szCs w:val="18"/>
                <w:lang w:val="zh-CN" w:bidi="zh-CN"/>
              </w:rPr>
              <w:t>(提供相关截图证明材料并加盖供应商公章)</w:t>
            </w:r>
          </w:p>
          <w:p>
            <w:pPr>
              <w:rPr>
                <w:rFonts w:ascii="宋体" w:hAnsi="宋体" w:cs="宋体"/>
                <w:kern w:val="0"/>
                <w:sz w:val="18"/>
                <w:szCs w:val="18"/>
                <w:lang w:val="zh-CN" w:bidi="zh-CN"/>
              </w:rPr>
            </w:pPr>
            <w:r>
              <w:rPr>
                <w:rFonts w:hint="eastAsia" w:ascii="宋体" w:hAnsi="宋体" w:cs="宋体"/>
                <w:kern w:val="0"/>
                <w:sz w:val="18"/>
                <w:szCs w:val="18"/>
                <w:lang w:val="zh-CN" w:bidi="zh-CN"/>
              </w:rPr>
              <w:t>▲</w:t>
            </w:r>
            <w:r>
              <w:rPr>
                <w:rFonts w:ascii="宋体" w:hAnsi="宋体" w:cs="宋体"/>
                <w:kern w:val="0"/>
                <w:sz w:val="18"/>
                <w:szCs w:val="18"/>
                <w:lang w:val="zh-CN" w:bidi="zh-CN"/>
              </w:rPr>
              <w:t>6、课程制作管理</w:t>
            </w:r>
          </w:p>
          <w:p>
            <w:pPr>
              <w:rPr>
                <w:rFonts w:ascii="宋体" w:hAnsi="宋体" w:cs="宋体"/>
                <w:kern w:val="0"/>
                <w:sz w:val="18"/>
                <w:szCs w:val="18"/>
                <w:lang w:val="zh-CN" w:bidi="zh-CN"/>
              </w:rPr>
            </w:pPr>
            <w:r>
              <w:rPr>
                <w:rFonts w:hint="eastAsia" w:ascii="宋体" w:hAnsi="宋体" w:cs="宋体"/>
                <w:kern w:val="0"/>
                <w:sz w:val="18"/>
                <w:szCs w:val="18"/>
                <w:lang w:val="zh-CN" w:bidi="zh-CN"/>
              </w:rPr>
              <w:t>所有的精品课程都是用基础栏目模块自由组合而成，如果老师对现有模板不满意可以自己组合模板成为一个新的精品课程网站模板进行发布和保存模板，每个栏目大小位置可以自由拖动，内容可以自由编辑，编辑的内容都是直接显示到模块当中，当时可见，方便老师修改，不用再预览。</w:t>
            </w:r>
            <w:r>
              <w:rPr>
                <w:rFonts w:ascii="宋体" w:hAnsi="宋体" w:cs="宋体"/>
                <w:kern w:val="0"/>
                <w:sz w:val="18"/>
                <w:szCs w:val="18"/>
                <w:lang w:val="zh-CN" w:bidi="zh-CN"/>
              </w:rPr>
              <w:t>(提供相关截图证明材料并加盖供应商公章)</w:t>
            </w:r>
          </w:p>
          <w:p>
            <w:pPr>
              <w:rPr>
                <w:rFonts w:ascii="宋体" w:hAnsi="宋体" w:cs="宋体"/>
                <w:kern w:val="0"/>
                <w:sz w:val="18"/>
                <w:szCs w:val="18"/>
                <w:lang w:val="zh-CN" w:bidi="zh-CN"/>
              </w:rPr>
            </w:pPr>
            <w:r>
              <w:rPr>
                <w:rFonts w:ascii="宋体" w:hAnsi="宋体" w:cs="宋体"/>
                <w:kern w:val="0"/>
                <w:sz w:val="18"/>
                <w:szCs w:val="18"/>
                <w:lang w:val="zh-CN" w:bidi="zh-CN"/>
              </w:rPr>
              <w:t>7、页面管理</w:t>
            </w:r>
          </w:p>
          <w:p>
            <w:pPr>
              <w:rPr>
                <w:rFonts w:ascii="宋体" w:hAnsi="宋体" w:cs="宋体"/>
                <w:kern w:val="0"/>
                <w:sz w:val="18"/>
                <w:szCs w:val="18"/>
                <w:lang w:val="zh-CN" w:bidi="zh-CN"/>
              </w:rPr>
            </w:pPr>
            <w:r>
              <w:rPr>
                <w:rFonts w:hint="eastAsia" w:ascii="宋体" w:hAnsi="宋体" w:cs="宋体"/>
                <w:kern w:val="0"/>
                <w:sz w:val="18"/>
                <w:szCs w:val="18"/>
                <w:lang w:val="zh-CN" w:bidi="zh-CN"/>
              </w:rPr>
              <w:t>进入首页后默认是空白模板，在首页左上角有</w:t>
            </w:r>
            <w:r>
              <w:rPr>
                <w:rFonts w:ascii="宋体" w:hAnsi="宋体" w:cs="宋体"/>
                <w:kern w:val="0"/>
                <w:sz w:val="18"/>
                <w:szCs w:val="18"/>
                <w:lang w:val="zh-CN" w:bidi="zh-CN"/>
              </w:rPr>
              <w:t>3个功能，基础栏目，皮肤，全局模式，皮肤主要是背景颜色，现在支持白色和黑色及背景色自调。</w:t>
            </w:r>
          </w:p>
          <w:p>
            <w:pPr>
              <w:rPr>
                <w:rFonts w:ascii="宋体" w:hAnsi="宋体" w:cs="宋体"/>
                <w:kern w:val="0"/>
                <w:sz w:val="18"/>
                <w:szCs w:val="18"/>
                <w:lang w:val="zh-CN" w:bidi="zh-CN"/>
              </w:rPr>
            </w:pPr>
            <w:r>
              <w:rPr>
                <w:rFonts w:hint="eastAsia" w:ascii="宋体" w:hAnsi="宋体" w:cs="宋体"/>
                <w:kern w:val="0"/>
                <w:sz w:val="18"/>
                <w:szCs w:val="18"/>
                <w:lang w:val="zh-CN" w:bidi="zh-CN"/>
              </w:rPr>
              <w:t>▲</w:t>
            </w:r>
            <w:r>
              <w:rPr>
                <w:rFonts w:ascii="宋体" w:hAnsi="宋体" w:cs="宋体"/>
                <w:kern w:val="0"/>
                <w:sz w:val="18"/>
                <w:szCs w:val="18"/>
                <w:lang w:val="zh-CN" w:bidi="zh-CN"/>
              </w:rPr>
              <w:t>8、菜单栏目管理</w:t>
            </w:r>
          </w:p>
          <w:p>
            <w:pPr>
              <w:rPr>
                <w:rFonts w:ascii="宋体" w:hAnsi="宋体" w:cs="宋体"/>
                <w:kern w:val="0"/>
                <w:sz w:val="18"/>
                <w:szCs w:val="18"/>
                <w:lang w:val="zh-CN" w:bidi="zh-CN"/>
              </w:rPr>
            </w:pPr>
            <w:r>
              <w:rPr>
                <w:rFonts w:hint="eastAsia" w:ascii="宋体" w:hAnsi="宋体" w:cs="宋体"/>
                <w:kern w:val="0"/>
                <w:sz w:val="18"/>
                <w:szCs w:val="18"/>
                <w:lang w:val="zh-CN" w:bidi="zh-CN"/>
              </w:rPr>
              <w:t>菜单栏由用户自己添加栏目和名称，根据栏目使用性质不同，可以上传文档资源，也可以编辑富文本。添加菜单：点解首页蓝色框部分，在右边有一个添加菜单按钮，点击后可以添加菜单栏的内容。添加子菜单：每个主菜单下面可以添加二级和</w:t>
            </w:r>
            <w:r>
              <w:rPr>
                <w:rFonts w:ascii="宋体" w:hAnsi="宋体" w:cs="宋体"/>
                <w:kern w:val="0"/>
                <w:sz w:val="18"/>
                <w:szCs w:val="18"/>
                <w:lang w:val="zh-CN" w:bidi="zh-CN"/>
              </w:rPr>
              <w:t>3级子菜单满足客户需求。如：点击电子大纲-在右边勾选左侧，左侧会出现一个菜单栏，点击左边菜单栏添加，会出现新的菜单栏增加框。(提供相关截图证明材料并加盖供应商公章)</w:t>
            </w:r>
          </w:p>
          <w:p>
            <w:pPr>
              <w:rPr>
                <w:rFonts w:ascii="宋体" w:hAnsi="宋体" w:cs="宋体"/>
                <w:kern w:val="0"/>
                <w:sz w:val="18"/>
                <w:szCs w:val="18"/>
                <w:lang w:val="zh-CN" w:bidi="zh-CN"/>
              </w:rPr>
            </w:pPr>
            <w:r>
              <w:rPr>
                <w:rFonts w:hint="eastAsia" w:ascii="宋体" w:hAnsi="宋体" w:cs="宋体"/>
                <w:kern w:val="0"/>
                <w:sz w:val="18"/>
                <w:szCs w:val="18"/>
                <w:lang w:val="zh-CN" w:bidi="zh-CN"/>
              </w:rPr>
              <w:t>▲</w:t>
            </w:r>
            <w:r>
              <w:rPr>
                <w:rFonts w:ascii="宋体" w:hAnsi="宋体" w:cs="宋体"/>
                <w:kern w:val="0"/>
                <w:sz w:val="18"/>
                <w:szCs w:val="18"/>
                <w:lang w:val="zh-CN" w:bidi="zh-CN"/>
              </w:rPr>
              <w:t>9、菜单文件传输要求</w:t>
            </w:r>
          </w:p>
          <w:p>
            <w:pPr>
              <w:rPr>
                <w:rFonts w:ascii="宋体" w:hAnsi="宋体" w:cs="宋体"/>
                <w:kern w:val="0"/>
                <w:sz w:val="18"/>
                <w:szCs w:val="18"/>
                <w:lang w:val="zh-CN" w:bidi="zh-CN"/>
              </w:rPr>
            </w:pPr>
            <w:r>
              <w:rPr>
                <w:rFonts w:hint="eastAsia" w:ascii="宋体" w:hAnsi="宋体" w:cs="宋体"/>
                <w:kern w:val="0"/>
                <w:sz w:val="18"/>
                <w:szCs w:val="18"/>
                <w:lang w:val="zh-CN" w:bidi="zh-CN"/>
              </w:rPr>
              <w:t>菜单栏功能运用：点击一个菜单栏后，右侧会出现功能框。根据精品课程建设内容菜单栏可以进行文档资源上传，视频资源上传，图片上传，富文本上传，考题上传。</w:t>
            </w:r>
          </w:p>
          <w:p>
            <w:pPr>
              <w:rPr>
                <w:rFonts w:ascii="宋体" w:hAnsi="宋体" w:cs="宋体"/>
                <w:kern w:val="0"/>
                <w:sz w:val="18"/>
                <w:szCs w:val="18"/>
                <w:lang w:val="zh-CN" w:bidi="zh-CN"/>
              </w:rPr>
            </w:pPr>
            <w:r>
              <w:rPr>
                <w:rFonts w:hint="eastAsia" w:ascii="宋体" w:hAnsi="宋体" w:cs="宋体"/>
                <w:kern w:val="0"/>
                <w:sz w:val="18"/>
                <w:szCs w:val="18"/>
                <w:lang w:val="zh-CN" w:bidi="zh-CN"/>
              </w:rPr>
              <w:t>文档资源：主要是包含电子大纲，</w:t>
            </w:r>
            <w:r>
              <w:rPr>
                <w:rFonts w:ascii="宋体" w:hAnsi="宋体" w:cs="宋体"/>
                <w:kern w:val="0"/>
                <w:sz w:val="18"/>
                <w:szCs w:val="18"/>
                <w:lang w:val="zh-CN" w:bidi="zh-CN"/>
              </w:rPr>
              <w:t>PPT课件，PDF文件等office文件上传。</w:t>
            </w:r>
          </w:p>
          <w:p>
            <w:pPr>
              <w:rPr>
                <w:rFonts w:ascii="宋体" w:hAnsi="宋体" w:cs="宋体"/>
                <w:kern w:val="0"/>
                <w:sz w:val="18"/>
                <w:szCs w:val="18"/>
                <w:lang w:val="zh-CN" w:bidi="zh-CN"/>
              </w:rPr>
            </w:pPr>
            <w:r>
              <w:rPr>
                <w:rFonts w:hint="eastAsia" w:ascii="宋体" w:hAnsi="宋体" w:cs="宋体"/>
                <w:kern w:val="0"/>
                <w:sz w:val="18"/>
                <w:szCs w:val="18"/>
                <w:lang w:val="zh-CN" w:bidi="zh-CN"/>
              </w:rPr>
              <w:t>视频资源：主要是包含教学视频，微视频，动画等视频类文件上传。</w:t>
            </w:r>
          </w:p>
          <w:p>
            <w:pPr>
              <w:rPr>
                <w:rFonts w:ascii="宋体" w:hAnsi="宋体" w:cs="宋体"/>
                <w:kern w:val="0"/>
                <w:sz w:val="18"/>
                <w:szCs w:val="18"/>
                <w:lang w:val="zh-CN" w:bidi="zh-CN"/>
              </w:rPr>
            </w:pPr>
            <w:r>
              <w:rPr>
                <w:rFonts w:hint="eastAsia" w:ascii="宋体" w:hAnsi="宋体" w:cs="宋体"/>
                <w:kern w:val="0"/>
                <w:sz w:val="18"/>
                <w:szCs w:val="18"/>
                <w:lang w:val="zh-CN" w:bidi="zh-CN"/>
              </w:rPr>
              <w:t>富文本：富文本是对于文字的编辑排版，我们提供了与</w:t>
            </w:r>
            <w:r>
              <w:rPr>
                <w:rFonts w:ascii="宋体" w:hAnsi="宋体" w:cs="宋体"/>
                <w:kern w:val="0"/>
                <w:sz w:val="18"/>
                <w:szCs w:val="18"/>
                <w:lang w:val="zh-CN" w:bidi="zh-CN"/>
              </w:rPr>
              <w:t>WORD相类似的功能，非常简单易用。老师只要熟悉WORD的相关编辑，不需要进行额外的学习，即可轻松掌握课程的编辑方法。在课程编辑的过程中，老师还可以根据课程内容添加与之相关的图片，文档等。(提供相关截图证明材料并加盖供应商公章)</w:t>
            </w:r>
          </w:p>
          <w:p>
            <w:pPr>
              <w:rPr>
                <w:rFonts w:ascii="宋体" w:hAnsi="宋体" w:cs="宋体"/>
                <w:kern w:val="0"/>
                <w:sz w:val="18"/>
                <w:szCs w:val="18"/>
                <w:lang w:val="zh-CN" w:bidi="zh-CN"/>
              </w:rPr>
            </w:pPr>
            <w:r>
              <w:rPr>
                <w:rFonts w:ascii="宋体" w:hAnsi="宋体" w:cs="宋体"/>
                <w:kern w:val="0"/>
                <w:sz w:val="18"/>
                <w:szCs w:val="18"/>
                <w:lang w:val="zh-CN" w:bidi="zh-CN"/>
              </w:rPr>
              <w:t>10、资源上传后的删除和修改：</w:t>
            </w:r>
          </w:p>
          <w:p>
            <w:pPr>
              <w:rPr>
                <w:rFonts w:ascii="宋体" w:hAnsi="宋体" w:cs="宋体"/>
                <w:kern w:val="0"/>
                <w:sz w:val="18"/>
                <w:szCs w:val="18"/>
                <w:lang w:val="zh-CN" w:bidi="zh-CN"/>
              </w:rPr>
            </w:pPr>
            <w:r>
              <w:rPr>
                <w:rFonts w:hint="eastAsia" w:ascii="宋体" w:hAnsi="宋体" w:cs="宋体"/>
                <w:kern w:val="0"/>
                <w:sz w:val="18"/>
                <w:szCs w:val="18"/>
                <w:lang w:val="zh-CN" w:bidi="zh-CN"/>
              </w:rPr>
              <w:t>点击所要管理的菜单栏，选择需要上传的文件类型，上传支持拖动上传和点击上传，支持批量上传功能，上传完毕后会自动保存，以免文件丢失。点击右边功能框缩放按钮，就可以对文件进行删除重新上传。</w:t>
            </w:r>
          </w:p>
          <w:p>
            <w:pPr>
              <w:rPr>
                <w:rFonts w:ascii="宋体" w:hAnsi="宋体" w:cs="宋体"/>
                <w:kern w:val="0"/>
                <w:sz w:val="18"/>
                <w:szCs w:val="18"/>
                <w:lang w:val="zh-CN" w:bidi="zh-CN"/>
              </w:rPr>
            </w:pPr>
            <w:r>
              <w:rPr>
                <w:rFonts w:ascii="宋体" w:hAnsi="宋体" w:cs="宋体"/>
                <w:kern w:val="0"/>
                <w:sz w:val="18"/>
                <w:szCs w:val="18"/>
                <w:lang w:val="zh-CN" w:bidi="zh-CN"/>
              </w:rPr>
              <w:t>11、课程发布和预览：</w:t>
            </w:r>
          </w:p>
          <w:p>
            <w:pPr>
              <w:rPr>
                <w:rFonts w:ascii="宋体" w:hAnsi="宋体" w:cs="宋体"/>
                <w:kern w:val="0"/>
                <w:sz w:val="18"/>
                <w:szCs w:val="18"/>
                <w:lang w:val="zh-CN" w:bidi="zh-CN"/>
              </w:rPr>
            </w:pPr>
            <w:r>
              <w:rPr>
                <w:rFonts w:hint="eastAsia" w:ascii="宋体" w:hAnsi="宋体" w:cs="宋体"/>
                <w:kern w:val="0"/>
                <w:sz w:val="18"/>
                <w:szCs w:val="18"/>
                <w:lang w:val="zh-CN" w:bidi="zh-CN"/>
              </w:rPr>
              <w:t>点击课程发布后，就会生成一门精品课程，点击预览就可以看到精品课程的网址和内容。如果需要修改可以在课程管理里面进行修改。</w:t>
            </w:r>
          </w:p>
        </w:tc>
        <w:tc>
          <w:tcPr>
            <w:tcW w:w="709" w:type="dxa"/>
          </w:tcPr>
          <w:p>
            <w:pPr>
              <w:rPr>
                <w:rFonts w:ascii="宋体" w:hAnsi="宋体"/>
                <w:sz w:val="18"/>
                <w:szCs w:val="18"/>
              </w:rPr>
            </w:pPr>
            <w:r>
              <w:rPr>
                <w:rFonts w:hint="eastAsia" w:ascii="宋体" w:hAnsi="宋体"/>
                <w:sz w:val="18"/>
                <w:szCs w:val="18"/>
              </w:rPr>
              <w:t>门</w:t>
            </w:r>
          </w:p>
        </w:tc>
        <w:tc>
          <w:tcPr>
            <w:tcW w:w="646" w:type="dxa"/>
          </w:tcPr>
          <w:p>
            <w:pPr>
              <w:rPr>
                <w:rFonts w:ascii="宋体" w:hAnsi="宋体"/>
                <w:sz w:val="18"/>
                <w:szCs w:val="18"/>
              </w:rPr>
            </w:pPr>
            <w:r>
              <w:rPr>
                <w:rFonts w:hint="eastAsia" w:ascii="宋体" w:hAnsi="宋体"/>
                <w:sz w:val="18"/>
                <w:szCs w:val="18"/>
              </w:rPr>
              <w:t>1</w:t>
            </w:r>
          </w:p>
        </w:tc>
      </w:tr>
    </w:tbl>
    <w:p>
      <w:pPr>
        <w:rPr>
          <w:rFonts w:ascii="宋体" w:hAnsi="宋体" w:cs="宋体"/>
        </w:rPr>
      </w:pPr>
    </w:p>
    <w:p>
      <w:pPr>
        <w:pStyle w:val="3"/>
        <w:rPr>
          <w:rFonts w:hint="default"/>
          <w:lang w:val="en-US" w:eastAsia="zh-CN"/>
        </w:rPr>
      </w:pPr>
      <w:r>
        <w:rPr>
          <w:rFonts w:hint="eastAsia" w:ascii="宋体" w:hAnsi="宋体"/>
          <w:b/>
          <w:sz w:val="24"/>
          <w:lang w:val="en-US" w:eastAsia="zh-CN"/>
        </w:rPr>
        <w:t xml:space="preserve">     </w:t>
      </w:r>
    </w:p>
    <w:p>
      <w:pPr>
        <w:pStyle w:val="3"/>
      </w:pPr>
    </w:p>
    <w:p>
      <w:pPr>
        <w:pStyle w:val="3"/>
      </w:pPr>
    </w:p>
    <w:p>
      <w:pPr>
        <w:pStyle w:val="3"/>
      </w:pPr>
    </w:p>
    <w:p>
      <w:pPr>
        <w:pStyle w:val="3"/>
      </w:pPr>
    </w:p>
    <w:p>
      <w:pPr>
        <w:pStyle w:val="3"/>
      </w:pPr>
    </w:p>
    <w:p>
      <w:pPr>
        <w:pStyle w:val="3"/>
      </w:pPr>
    </w:p>
    <w:p>
      <w:pPr>
        <w:pStyle w:val="3"/>
      </w:pPr>
    </w:p>
    <w:p>
      <w:pPr>
        <w:pStyle w:val="3"/>
      </w:pPr>
    </w:p>
    <w:p/>
    <w:p>
      <w:pPr>
        <w:pStyle w:val="2"/>
      </w:pPr>
    </w:p>
    <w:p>
      <w:pPr>
        <w:pStyle w:val="2"/>
      </w:pPr>
    </w:p>
    <w:p>
      <w:pPr>
        <w:pStyle w:val="2"/>
      </w:pPr>
    </w:p>
    <w:p>
      <w:pPr>
        <w:pStyle w:val="2"/>
      </w:pPr>
    </w:p>
    <w:p>
      <w:pPr>
        <w:pStyle w:val="4"/>
        <w:numPr>
          <w:ilvl w:val="0"/>
          <w:numId w:val="6"/>
        </w:numPr>
        <w:spacing w:line="360" w:lineRule="auto"/>
        <w:jc w:val="center"/>
        <w:rPr>
          <w:rFonts w:ascii="宋体" w:hAnsi="宋体" w:cs="宋体"/>
        </w:rPr>
      </w:pPr>
      <w:r>
        <w:rPr>
          <w:rFonts w:hint="eastAsia" w:ascii="宋体" w:hAnsi="宋体" w:cs="宋体"/>
        </w:rPr>
        <w:t xml:space="preserve"> </w:t>
      </w:r>
      <w:bookmarkStart w:id="41" w:name="_Toc27922"/>
      <w:r>
        <w:rPr>
          <w:rFonts w:hint="eastAsia" w:ascii="宋体" w:hAnsi="宋体" w:cs="宋体"/>
        </w:rPr>
        <w:t>磋商响应文件格</w:t>
      </w:r>
      <w:bookmarkEnd w:id="30"/>
      <w:bookmarkEnd w:id="31"/>
      <w:bookmarkEnd w:id="32"/>
      <w:bookmarkEnd w:id="36"/>
      <w:r>
        <w:rPr>
          <w:rFonts w:hint="eastAsia" w:ascii="宋体" w:hAnsi="宋体" w:cs="宋体"/>
        </w:rPr>
        <w:t>式</w:t>
      </w:r>
      <w:bookmarkEnd w:id="41"/>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10"/>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42"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pStyle w:val="2"/>
        <w:rPr>
          <w:rFonts w:ascii="宋体" w:hAnsi="宋体" w:cs="宋体"/>
          <w:b/>
          <w:sz w:val="30"/>
          <w:szCs w:val="30"/>
        </w:rPr>
      </w:pPr>
    </w:p>
    <w:p>
      <w:pPr>
        <w:pStyle w:val="2"/>
        <w:rPr>
          <w:rFonts w:ascii="宋体" w:hAnsi="宋体" w:cs="宋体"/>
          <w:b/>
          <w:sz w:val="30"/>
          <w:szCs w:val="30"/>
        </w:rPr>
      </w:pPr>
    </w:p>
    <w:p>
      <w:pPr>
        <w:pStyle w:val="2"/>
        <w:rPr>
          <w:rFonts w:ascii="宋体" w:hAnsi="宋体" w:cs="宋体"/>
          <w:b/>
          <w:sz w:val="30"/>
          <w:szCs w:val="30"/>
        </w:rPr>
      </w:pPr>
    </w:p>
    <w:p>
      <w:pPr>
        <w:pStyle w:val="2"/>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2032" w:type="dxa"/>
            <w:vAlign w:val="center"/>
          </w:tcPr>
          <w:p>
            <w:pPr>
              <w:spacing w:line="360" w:lineRule="auto"/>
              <w:jc w:val="center"/>
              <w:rPr>
                <w:rFonts w:ascii="宋体" w:hAnsi="宋体" w:cs="仿宋"/>
              </w:rPr>
            </w:pPr>
            <w:r>
              <w:rPr>
                <w:rFonts w:hint="eastAsia" w:ascii="宋体" w:hAnsi="宋体" w:cs="仿宋"/>
              </w:rPr>
              <w:t>服务内容</w:t>
            </w:r>
          </w:p>
        </w:tc>
        <w:tc>
          <w:tcPr>
            <w:tcW w:w="1972" w:type="dxa"/>
            <w:vAlign w:val="center"/>
          </w:tcPr>
          <w:p>
            <w:pPr>
              <w:spacing w:line="360" w:lineRule="auto"/>
              <w:jc w:val="center"/>
              <w:rPr>
                <w:rFonts w:ascii="宋体" w:hAnsi="宋体" w:cs="仿宋"/>
              </w:rPr>
            </w:pPr>
            <w:r>
              <w:rPr>
                <w:rFonts w:hint="eastAsia" w:ascii="宋体" w:hAnsi="宋体" w:cs="仿宋"/>
              </w:rPr>
              <w:t>投标总价(元)</w:t>
            </w:r>
          </w:p>
        </w:tc>
        <w:tc>
          <w:tcPr>
            <w:tcW w:w="6677"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pStyle w:val="2"/>
        <w:rPr>
          <w:rFonts w:hint="eastAsia" w:ascii="宋体" w:hAnsi="宋体" w:cs="宋体"/>
          <w:szCs w:val="21"/>
        </w:rPr>
      </w:pPr>
    </w:p>
    <w:p>
      <w:pPr>
        <w:pStyle w:val="2"/>
        <w:rPr>
          <w:rFonts w:hint="eastAsia" w:ascii="宋体" w:hAnsi="宋体" w:cs="宋体"/>
          <w:szCs w:val="21"/>
        </w:rPr>
      </w:pP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“报价明细表”各分项报价合计应当与“开标一览表”报价合计相等</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42"/>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7"/>
        </w:numPr>
        <w:spacing w:line="360" w:lineRule="auto"/>
        <w:rPr>
          <w:rFonts w:ascii="宋体" w:hAnsi="宋体" w:cs="宋体"/>
          <w:szCs w:val="21"/>
        </w:rPr>
      </w:pPr>
      <w:r>
        <w:rPr>
          <w:rFonts w:hint="eastAsia" w:ascii="宋体" w:hAnsi="宋体" w:cs="宋体"/>
          <w:szCs w:val="21"/>
        </w:rPr>
        <w:t>报价一览表；</w:t>
      </w:r>
    </w:p>
    <w:p>
      <w:pPr>
        <w:numPr>
          <w:ilvl w:val="0"/>
          <w:numId w:val="7"/>
        </w:numPr>
        <w:spacing w:line="360" w:lineRule="auto"/>
        <w:rPr>
          <w:rFonts w:ascii="宋体" w:hAnsi="宋体" w:cs="宋体"/>
          <w:szCs w:val="21"/>
        </w:rPr>
      </w:pPr>
      <w:r>
        <w:rPr>
          <w:rFonts w:hint="eastAsia" w:ascii="宋体" w:hAnsi="宋体" w:cs="宋体"/>
          <w:szCs w:val="21"/>
        </w:rPr>
        <w:t>技术说明文件；</w:t>
      </w:r>
    </w:p>
    <w:p>
      <w:pPr>
        <w:numPr>
          <w:ilvl w:val="0"/>
          <w:numId w:val="7"/>
        </w:numPr>
        <w:spacing w:line="360" w:lineRule="auto"/>
        <w:rPr>
          <w:rFonts w:ascii="宋体" w:hAnsi="宋体" w:cs="宋体"/>
          <w:szCs w:val="21"/>
        </w:rPr>
      </w:pPr>
      <w:r>
        <w:rPr>
          <w:rFonts w:hint="eastAsia" w:ascii="宋体" w:hAnsi="宋体" w:cs="宋体"/>
          <w:szCs w:val="21"/>
        </w:rPr>
        <w:t>资格证明文件；</w:t>
      </w:r>
    </w:p>
    <w:p>
      <w:pPr>
        <w:numPr>
          <w:ilvl w:val="0"/>
          <w:numId w:val="7"/>
        </w:numPr>
        <w:spacing w:line="360" w:lineRule="auto"/>
        <w:rPr>
          <w:rFonts w:ascii="宋体" w:hAnsi="宋体" w:cs="宋体"/>
          <w:szCs w:val="21"/>
        </w:rPr>
      </w:pPr>
      <w:r>
        <w:rPr>
          <w:rFonts w:hint="eastAsia" w:ascii="宋体" w:hAnsi="宋体" w:cs="宋体"/>
          <w:szCs w:val="21"/>
        </w:rPr>
        <w:t>法人授权书；</w:t>
      </w:r>
    </w:p>
    <w:p>
      <w:pPr>
        <w:numPr>
          <w:ilvl w:val="0"/>
          <w:numId w:val="7"/>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8"/>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8"/>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8"/>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8"/>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8"/>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8"/>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8"/>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8"/>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pStyle w:val="10"/>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5"/>
        <w:jc w:val="both"/>
        <w:rPr>
          <w:rFonts w:ascii="宋体" w:hAnsi="宋体" w:eastAsia="宋体" w:cs="宋体"/>
          <w:sz w:val="28"/>
          <w:szCs w:val="28"/>
        </w:rPr>
        <w:sectPr>
          <w:footerReference r:id="rId14" w:type="default"/>
          <w:pgSz w:w="11906" w:h="16838"/>
          <w:pgMar w:top="1191" w:right="1587" w:bottom="1191" w:left="1587" w:header="851" w:footer="992" w:gutter="0"/>
          <w:cols w:space="720" w:num="1"/>
          <w:titlePg/>
          <w:docGrid w:linePitch="286" w:charSpace="0"/>
        </w:sectPr>
      </w:pPr>
      <w:bookmarkStart w:id="43" w:name="_Toc60421818"/>
    </w:p>
    <w:bookmarkEnd w:id="43"/>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hint="default" w:ascii="宋体" w:hAnsi="宋体" w:eastAsia="宋体" w:cs="宋体"/>
          <w:szCs w:val="21"/>
          <w:lang w:val="en-US" w:eastAsia="zh-CN"/>
        </w:rPr>
      </w:pPr>
      <w:r>
        <w:rPr>
          <w:rFonts w:hint="eastAsia" w:ascii="宋体" w:hAnsi="宋体" w:cs="宋体"/>
          <w:szCs w:val="21"/>
        </w:rPr>
        <w:t>6.</w:t>
      </w:r>
      <w:r>
        <w:rPr>
          <w:rFonts w:hint="eastAsia" w:ascii="宋体" w:hAnsi="宋体" w:cs="宋体"/>
          <w:szCs w:val="21"/>
          <w:lang w:val="en-US" w:eastAsia="zh-CN"/>
        </w:rPr>
        <w:t>资格承诺函</w:t>
      </w:r>
    </w:p>
    <w:p>
      <w:pPr>
        <w:snapToGrid w:val="0"/>
        <w:spacing w:line="360" w:lineRule="auto"/>
        <w:ind w:firstLine="420" w:firstLineChars="200"/>
        <w:jc w:val="lef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本项目不接受联合体投标。</w:t>
      </w:r>
    </w:p>
    <w:p>
      <w:pPr>
        <w:pStyle w:val="10"/>
        <w:spacing w:line="360" w:lineRule="auto"/>
        <w:rPr>
          <w:rFonts w:ascii="宋体" w:hAnsi="宋体" w:cs="宋体"/>
          <w:szCs w:val="21"/>
        </w:rPr>
      </w:pPr>
    </w:p>
    <w:p>
      <w:pPr>
        <w:spacing w:line="360" w:lineRule="auto"/>
        <w:jc w:val="center"/>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pStyle w:val="10"/>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bookmarkStart w:id="44" w:name="_GoBack"/>
      <w:bookmarkEnd w:id="44"/>
    </w:p>
    <w:p>
      <w:pPr>
        <w:spacing w:line="360" w:lineRule="auto"/>
        <w:rPr>
          <w:rFonts w:ascii="宋体" w:hAnsi="宋体" w:cs="宋体"/>
          <w:b/>
          <w:bCs/>
          <w:szCs w:val="21"/>
        </w:rPr>
      </w:pPr>
    </w:p>
    <w:p>
      <w:pPr>
        <w:pStyle w:val="31"/>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1"/>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1"/>
      </w:pPr>
    </w:p>
    <w:p>
      <w:pPr>
        <w:spacing w:line="360" w:lineRule="auto"/>
        <w:rPr>
          <w:rFonts w:ascii="宋体" w:hAnsi="宋体" w:cs="宋体"/>
          <w:b/>
          <w:bCs/>
          <w:szCs w:val="21"/>
        </w:rPr>
      </w:pPr>
    </w:p>
    <w:p>
      <w:pPr>
        <w:spacing w:line="360" w:lineRule="auto"/>
        <w:rPr>
          <w:rFonts w:ascii="宋体" w:hAnsi="宋体" w:cs="宋体"/>
          <w:b/>
          <w:bCs/>
          <w:szCs w:val="21"/>
        </w:rPr>
      </w:pPr>
    </w:p>
    <w:p>
      <w:pPr>
        <w:pStyle w:val="31"/>
        <w:rPr>
          <w:rFonts w:ascii="宋体" w:hAnsi="宋体" w:cs="宋体"/>
          <w:b/>
          <w:bCs/>
          <w:szCs w:val="21"/>
        </w:rPr>
      </w:pPr>
    </w:p>
    <w:p>
      <w:pPr>
        <w:rPr>
          <w:rFonts w:ascii="宋体" w:hAnsi="宋体" w:cs="宋体"/>
          <w:b/>
          <w:bCs/>
          <w:szCs w:val="21"/>
        </w:rPr>
      </w:pPr>
    </w:p>
    <w:p>
      <w:pPr>
        <w:pStyle w:val="31"/>
        <w:rPr>
          <w:rFonts w:ascii="宋体" w:hAnsi="宋体" w:cs="宋体"/>
          <w:b/>
          <w:bCs/>
          <w:szCs w:val="21"/>
        </w:rPr>
      </w:pPr>
    </w:p>
    <w:p>
      <w:pPr>
        <w:rPr>
          <w:rFonts w:ascii="宋体" w:hAnsi="宋体" w:cs="宋体"/>
          <w:b/>
          <w:bCs/>
          <w:szCs w:val="21"/>
        </w:rPr>
      </w:pPr>
    </w:p>
    <w:p>
      <w:pPr>
        <w:pStyle w:val="31"/>
        <w:rPr>
          <w:rFonts w:ascii="宋体" w:hAnsi="宋体" w:cs="宋体"/>
          <w:b/>
          <w:bCs/>
          <w:szCs w:val="21"/>
        </w:rPr>
      </w:pPr>
    </w:p>
    <w:p>
      <w:pPr>
        <w:rPr>
          <w:rFonts w:ascii="宋体" w:hAnsi="宋体" w:cs="宋体"/>
          <w:b/>
          <w:bCs/>
          <w:szCs w:val="21"/>
        </w:rPr>
      </w:pPr>
    </w:p>
    <w:p>
      <w:pPr>
        <w:pStyle w:val="31"/>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10"/>
        <w:ind w:firstLine="0" w:firstLineChars="0"/>
        <w:rPr>
          <w:rFonts w:ascii="宋体" w:hAnsi="宋体" w:cs="宋体"/>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13B10A72"/>
    <w:multiLevelType w:val="singleLevel"/>
    <w:tmpl w:val="13B10A72"/>
    <w:lvl w:ilvl="0" w:tentative="0">
      <w:start w:val="1"/>
      <w:numFmt w:val="decimal"/>
      <w:lvlText w:val="(%1)"/>
      <w:lvlJc w:val="left"/>
      <w:pPr>
        <w:ind w:left="425" w:hanging="425"/>
      </w:pPr>
      <w:rPr>
        <w:rFonts w:hint="default"/>
      </w:rPr>
    </w:lvl>
  </w:abstractNum>
  <w:abstractNum w:abstractNumId="6">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7">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6"/>
  </w:num>
  <w:num w:numId="3">
    <w:abstractNumId w:val="5"/>
  </w:num>
  <w:num w:numId="4">
    <w:abstractNumId w:val="1"/>
  </w:num>
  <w:num w:numId="5">
    <w:abstractNumId w:val="0"/>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4"/>
    <w:qFormat/>
    <w:uiPriority w:val="0"/>
    <w:pPr>
      <w:keepNext/>
      <w:keepLines/>
      <w:spacing w:before="280" w:after="290" w:line="376" w:lineRule="auto"/>
      <w:outlineLvl w:val="4"/>
    </w:pPr>
    <w:rPr>
      <w:b/>
      <w:sz w:val="28"/>
      <w:szCs w:val="20"/>
    </w:rPr>
  </w:style>
  <w:style w:type="paragraph" w:styleId="9">
    <w:name w:val="heading 6"/>
    <w:basedOn w:val="1"/>
    <w:next w:val="10"/>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10"/>
    <w:qFormat/>
    <w:uiPriority w:val="0"/>
    <w:pPr>
      <w:keepNext/>
      <w:keepLines/>
      <w:spacing w:before="240" w:after="64" w:line="320" w:lineRule="auto"/>
      <w:outlineLvl w:val="6"/>
    </w:pPr>
    <w:rPr>
      <w:b/>
      <w:sz w:val="24"/>
      <w:szCs w:val="20"/>
    </w:rPr>
  </w:style>
  <w:style w:type="paragraph" w:styleId="12">
    <w:name w:val="heading 8"/>
    <w:basedOn w:val="1"/>
    <w:next w:val="10"/>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10"/>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line="480" w:lineRule="auto"/>
    </w:pPr>
    <w:rPr>
      <w:color w:val="000000"/>
      <w:sz w:val="24"/>
    </w:rPr>
  </w:style>
  <w:style w:type="paragraph" w:styleId="10">
    <w:name w:val="Normal Indent"/>
    <w:basedOn w:val="1"/>
    <w:link w:val="92"/>
    <w:qFormat/>
    <w:uiPriority w:val="0"/>
    <w:pPr>
      <w:ind w:firstLine="420" w:firstLineChars="200"/>
    </w:pPr>
  </w:style>
  <w:style w:type="paragraph" w:styleId="14">
    <w:name w:val="toc 7"/>
    <w:basedOn w:val="1"/>
    <w:next w:val="1"/>
    <w:qFormat/>
    <w:uiPriority w:val="0"/>
    <w:pPr>
      <w:ind w:left="1260"/>
      <w:jc w:val="left"/>
    </w:pPr>
    <w:rPr>
      <w:rFonts w:ascii="Calibri" w:hAnsi="Calibri"/>
      <w:sz w:val="18"/>
      <w:szCs w:val="18"/>
    </w:rPr>
  </w:style>
  <w:style w:type="paragraph" w:styleId="15">
    <w:name w:val="Document Map"/>
    <w:basedOn w:val="1"/>
    <w:link w:val="89"/>
    <w:qFormat/>
    <w:uiPriority w:val="0"/>
    <w:rPr>
      <w:rFonts w:ascii="宋体"/>
      <w:sz w:val="18"/>
      <w:szCs w:val="18"/>
    </w:rPr>
  </w:style>
  <w:style w:type="paragraph" w:styleId="16">
    <w:name w:val="annotation text"/>
    <w:basedOn w:val="1"/>
    <w:link w:val="85"/>
    <w:qFormat/>
    <w:uiPriority w:val="0"/>
    <w:pPr>
      <w:jc w:val="left"/>
    </w:pPr>
  </w:style>
  <w:style w:type="paragraph" w:styleId="17">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0"/>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3"/>
    <w:qFormat/>
    <w:uiPriority w:val="0"/>
    <w:rPr>
      <w:sz w:val="24"/>
      <w:szCs w:val="20"/>
    </w:rPr>
  </w:style>
  <w:style w:type="paragraph" w:styleId="23">
    <w:name w:val="Body Text Indent 2"/>
    <w:basedOn w:val="1"/>
    <w:next w:val="1"/>
    <w:link w:val="102"/>
    <w:qFormat/>
    <w:uiPriority w:val="0"/>
    <w:pPr>
      <w:spacing w:before="240" w:line="560" w:lineRule="exact"/>
      <w:ind w:firstLine="480" w:firstLineChars="200"/>
    </w:pPr>
    <w:rPr>
      <w:sz w:val="24"/>
      <w:szCs w:val="32"/>
    </w:rPr>
  </w:style>
  <w:style w:type="paragraph" w:styleId="24">
    <w:name w:val="Balloon Text"/>
    <w:basedOn w:val="1"/>
    <w:link w:val="105"/>
    <w:qFormat/>
    <w:uiPriority w:val="0"/>
    <w:rPr>
      <w:sz w:val="18"/>
      <w:szCs w:val="18"/>
    </w:rPr>
  </w:style>
  <w:style w:type="paragraph" w:styleId="25">
    <w:name w:val="footer"/>
    <w:basedOn w:val="1"/>
    <w:link w:val="79"/>
    <w:qFormat/>
    <w:uiPriority w:val="0"/>
    <w:pPr>
      <w:tabs>
        <w:tab w:val="center" w:pos="4153"/>
        <w:tab w:val="right" w:pos="8306"/>
      </w:tabs>
      <w:snapToGrid w:val="0"/>
      <w:jc w:val="left"/>
    </w:pPr>
    <w:rPr>
      <w:sz w:val="18"/>
      <w:szCs w:val="18"/>
    </w:rPr>
  </w:style>
  <w:style w:type="paragraph" w:styleId="26">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6"/>
    <w:qFormat/>
    <w:uiPriority w:val="0"/>
    <w:pPr>
      <w:spacing w:after="120"/>
      <w:ind w:left="420" w:leftChars="200"/>
    </w:pPr>
    <w:rPr>
      <w:rFonts w:eastAsia="仿宋_GB2312"/>
      <w:sz w:val="16"/>
      <w:szCs w:val="16"/>
    </w:rPr>
  </w:style>
  <w:style w:type="paragraph" w:styleId="31">
    <w:name w:val="toc 2"/>
    <w:basedOn w:val="1"/>
    <w:next w:val="1"/>
    <w:qFormat/>
    <w:uiPriority w:val="39"/>
    <w:pPr>
      <w:ind w:left="210"/>
      <w:jc w:val="left"/>
    </w:pPr>
    <w:rPr>
      <w:rFonts w:ascii="Calibri" w:hAnsi="Calibri"/>
      <w:smallCaps/>
      <w:sz w:val="20"/>
      <w:szCs w:val="20"/>
    </w:rPr>
  </w:style>
  <w:style w:type="paragraph" w:styleId="32">
    <w:name w:val="toc 9"/>
    <w:basedOn w:val="1"/>
    <w:next w:val="1"/>
    <w:qFormat/>
    <w:uiPriority w:val="0"/>
    <w:pPr>
      <w:ind w:left="1680"/>
      <w:jc w:val="left"/>
    </w:pPr>
    <w:rPr>
      <w:rFonts w:ascii="Calibri" w:hAnsi="Calibri"/>
      <w:sz w:val="18"/>
      <w:szCs w:val="18"/>
    </w:rPr>
  </w:style>
  <w:style w:type="paragraph" w:styleId="33">
    <w:name w:val="Body Text 2"/>
    <w:basedOn w:val="1"/>
    <w:link w:val="88"/>
    <w:qFormat/>
    <w:uiPriority w:val="0"/>
    <w:pPr>
      <w:spacing w:after="120" w:line="480" w:lineRule="auto"/>
    </w:pPr>
  </w:style>
  <w:style w:type="paragraph" w:styleId="34">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5">
    <w:name w:val="annotation subject"/>
    <w:basedOn w:val="16"/>
    <w:next w:val="16"/>
    <w:link w:val="81"/>
    <w:qFormat/>
    <w:uiPriority w:val="0"/>
    <w:rPr>
      <w:b/>
      <w:bCs/>
    </w:r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5"/>
    <w:qFormat/>
    <w:uiPriority w:val="0"/>
    <w:pPr>
      <w:shd w:val="clear" w:color="auto" w:fill="000080"/>
    </w:pPr>
    <w:rPr>
      <w:rFonts w:hint="eastAsia" w:hAnsi="宋体"/>
      <w:kern w:val="0"/>
      <w:sz w:val="24"/>
      <w:szCs w:val="24"/>
    </w:rPr>
  </w:style>
  <w:style w:type="paragraph" w:customStyle="1" w:styleId="51">
    <w:name w:val="样式 正文缩进 + 首行缩进:  2 字符"/>
    <w:basedOn w:val="10"/>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3"/>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7"/>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5"/>
    <w:qFormat/>
    <w:uiPriority w:val="0"/>
    <w:rPr>
      <w:rFonts w:eastAsia="宋体"/>
      <w:kern w:val="2"/>
      <w:sz w:val="18"/>
      <w:szCs w:val="18"/>
      <w:lang w:val="en-US" w:eastAsia="zh-CN" w:bidi="ar-SA"/>
    </w:rPr>
  </w:style>
  <w:style w:type="character" w:customStyle="1" w:styleId="80">
    <w:name w:val="标题 4 字符"/>
    <w:link w:val="7"/>
    <w:qFormat/>
    <w:uiPriority w:val="0"/>
    <w:rPr>
      <w:rFonts w:ascii="Arial" w:hAnsi="Arial" w:eastAsia="黑体"/>
      <w:b/>
      <w:kern w:val="2"/>
      <w:sz w:val="28"/>
      <w:lang w:val="en-US" w:eastAsia="zh-CN" w:bidi="ar-SA"/>
    </w:rPr>
  </w:style>
  <w:style w:type="character" w:customStyle="1" w:styleId="81">
    <w:name w:val="批注主题 字符"/>
    <w:link w:val="35"/>
    <w:qFormat/>
    <w:uiPriority w:val="0"/>
    <w:rPr>
      <w:b/>
      <w:bCs/>
      <w:kern w:val="2"/>
      <w:sz w:val="21"/>
      <w:szCs w:val="24"/>
    </w:rPr>
  </w:style>
  <w:style w:type="character" w:customStyle="1" w:styleId="82">
    <w:name w:val="标题 3 字符"/>
    <w:link w:val="6"/>
    <w:qFormat/>
    <w:uiPriority w:val="0"/>
    <w:rPr>
      <w:rFonts w:eastAsia="宋体"/>
      <w:b/>
      <w:sz w:val="21"/>
      <w:lang w:val="en-US" w:eastAsia="zh-CN" w:bidi="ar-SA"/>
    </w:rPr>
  </w:style>
  <w:style w:type="character" w:customStyle="1" w:styleId="83">
    <w:name w:val="日期 字符"/>
    <w:link w:val="22"/>
    <w:qFormat/>
    <w:uiPriority w:val="0"/>
    <w:rPr>
      <w:rFonts w:eastAsia="宋体"/>
      <w:kern w:val="2"/>
      <w:sz w:val="24"/>
      <w:lang w:val="en-US" w:eastAsia="zh-CN" w:bidi="ar-SA"/>
    </w:rPr>
  </w:style>
  <w:style w:type="character" w:customStyle="1" w:styleId="84">
    <w:name w:val="标题 5 字符"/>
    <w:link w:val="8"/>
    <w:qFormat/>
    <w:locked/>
    <w:uiPriority w:val="0"/>
    <w:rPr>
      <w:b/>
      <w:kern w:val="2"/>
      <w:sz w:val="28"/>
    </w:rPr>
  </w:style>
  <w:style w:type="character" w:customStyle="1" w:styleId="85">
    <w:name w:val="批注文字 字符"/>
    <w:link w:val="16"/>
    <w:qFormat/>
    <w:uiPriority w:val="0"/>
    <w:rPr>
      <w:kern w:val="2"/>
      <w:sz w:val="21"/>
      <w:szCs w:val="24"/>
    </w:rPr>
  </w:style>
  <w:style w:type="character" w:customStyle="1" w:styleId="86">
    <w:name w:val="标题 2 字符"/>
    <w:link w:val="5"/>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3"/>
    <w:qFormat/>
    <w:uiPriority w:val="0"/>
    <w:rPr>
      <w:rFonts w:eastAsia="宋体"/>
      <w:kern w:val="2"/>
      <w:sz w:val="21"/>
      <w:szCs w:val="24"/>
      <w:lang w:val="en-US" w:eastAsia="zh-CN" w:bidi="ar-SA"/>
    </w:rPr>
  </w:style>
  <w:style w:type="character" w:customStyle="1" w:styleId="89">
    <w:name w:val="文档结构图 字符"/>
    <w:link w:val="15"/>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4"/>
    <w:qFormat/>
    <w:uiPriority w:val="0"/>
    <w:rPr>
      <w:rFonts w:eastAsia="宋体"/>
      <w:b/>
      <w:bCs/>
      <w:kern w:val="44"/>
      <w:sz w:val="44"/>
      <w:szCs w:val="44"/>
      <w:lang w:val="en-US" w:eastAsia="zh-CN" w:bidi="ar-SA"/>
    </w:rPr>
  </w:style>
  <w:style w:type="character" w:customStyle="1" w:styleId="92">
    <w:name w:val="正文缩进 字符"/>
    <w:link w:val="10"/>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30"/>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20"/>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3"/>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6"/>
    <w:qFormat/>
    <w:uiPriority w:val="99"/>
    <w:rPr>
      <w:kern w:val="2"/>
      <w:sz w:val="18"/>
      <w:szCs w:val="18"/>
    </w:rPr>
  </w:style>
  <w:style w:type="character" w:customStyle="1" w:styleId="105">
    <w:name w:val="批注框文本 字符"/>
    <w:link w:val="24"/>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35</Pages>
  <Words>12473</Words>
  <Characters>13225</Characters>
  <Lines>127</Lines>
  <Paragraphs>35</Paragraphs>
  <TotalTime>0</TotalTime>
  <ScaleCrop>false</ScaleCrop>
  <LinksUpToDate>false</LinksUpToDate>
  <CharactersWithSpaces>14709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2023-05-18T03:28:02Z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F38F38C4DEC94D8D9A069C4CEE8AF115</vt:lpwstr>
  </property>
</Properties>
</file>