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sz w:val="24"/>
        </w:rPr>
      </w:pPr>
      <w:r>
        <w:rPr>
          <w:rFonts w:hint="eastAsia"/>
          <w:sz w:val="28"/>
          <w:szCs w:val="28"/>
        </w:rPr>
        <w:t>项目名称：</w:t>
      </w:r>
      <w:r>
        <w:rPr>
          <w:rFonts w:hint="eastAsia"/>
          <w:sz w:val="24"/>
        </w:rPr>
        <w:t>兰州职业技术学院焊接专业耗材项目</w:t>
      </w:r>
    </w:p>
    <w:p>
      <w:pPr>
        <w:ind w:firstLine="560" w:firstLineChars="200"/>
        <w:jc w:val="left"/>
        <w:rPr>
          <w:sz w:val="28"/>
          <w:szCs w:val="28"/>
        </w:rPr>
      </w:pPr>
      <w:r>
        <w:rPr>
          <w:rFonts w:hint="eastAsia"/>
          <w:sz w:val="28"/>
          <w:szCs w:val="28"/>
        </w:rPr>
        <w:t>项目编号：LZXJ--2020018</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采购时间：2019年9月2</w:t>
      </w:r>
      <w:r>
        <w:rPr>
          <w:rFonts w:hint="eastAsia"/>
          <w:sz w:val="28"/>
          <w:szCs w:val="28"/>
          <w:lang w:val="en-US" w:eastAsia="zh-CN"/>
        </w:rPr>
        <w:t>8</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2020年 9月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ascii="宋体" w:hAnsi="宋体"/>
          <w:sz w:val="24"/>
        </w:rPr>
      </w:pPr>
      <w:r>
        <w:rPr>
          <w:rFonts w:hint="eastAsia" w:ascii="宋体" w:hAnsi="宋体" w:cs="宋体"/>
          <w:sz w:val="24"/>
        </w:rPr>
        <w:t>根据</w:t>
      </w:r>
      <w:r>
        <w:rPr>
          <w:rFonts w:hint="eastAsia" w:ascii="宋体" w:hAnsi="宋体"/>
          <w:sz w:val="24"/>
        </w:rPr>
        <w:t>兰州职业技术学院焊接专业教学需要，现拟对</w:t>
      </w:r>
      <w:r>
        <w:rPr>
          <w:rFonts w:hint="eastAsia"/>
          <w:sz w:val="24"/>
        </w:rPr>
        <w:t>兰州职业技术学院焊接专业耗材项目</w:t>
      </w:r>
      <w:r>
        <w:rPr>
          <w:rFonts w:hint="eastAsia" w:ascii="宋体" w:hAnsi="宋体"/>
          <w:sz w:val="24"/>
        </w:rPr>
        <w:t>进行询价采购。欢迎满足资格要求的供应商前来参加，具体事宜公告如下：</w:t>
      </w:r>
    </w:p>
    <w:p>
      <w:pPr>
        <w:spacing w:line="360" w:lineRule="auto"/>
        <w:rPr>
          <w:rFonts w:ascii="宋体" w:hAnsi="宋体"/>
          <w:sz w:val="24"/>
        </w:rPr>
      </w:pPr>
      <w:r>
        <w:rPr>
          <w:rFonts w:hint="eastAsia" w:ascii="宋体" w:hAnsi="宋体"/>
          <w:sz w:val="24"/>
        </w:rPr>
        <w:t>一、采购项目编号：LZXJ--2020018</w:t>
      </w:r>
    </w:p>
    <w:p>
      <w:pPr>
        <w:spacing w:line="360" w:lineRule="auto"/>
        <w:rPr>
          <w:sz w:val="24"/>
        </w:rPr>
      </w:pPr>
      <w:r>
        <w:rPr>
          <w:rFonts w:hint="eastAsia" w:ascii="宋体" w:hAnsi="宋体"/>
          <w:sz w:val="24"/>
        </w:rPr>
        <w:t>二、采购项目名称：</w:t>
      </w:r>
      <w:r>
        <w:rPr>
          <w:rFonts w:hint="eastAsia"/>
          <w:sz w:val="24"/>
        </w:rPr>
        <w:t>兰州职业技术学院焊接专业耗材项目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spacing w:line="360" w:lineRule="auto"/>
        <w:rPr>
          <w:sz w:val="24"/>
        </w:rPr>
      </w:pPr>
      <w:r>
        <w:rPr>
          <w:rFonts w:hint="eastAsia" w:ascii="宋体" w:hAnsi="宋体"/>
          <w:sz w:val="24"/>
        </w:rPr>
        <w:t xml:space="preserve">   1.</w:t>
      </w:r>
      <w:r>
        <w:rPr>
          <w:rFonts w:hint="eastAsia"/>
          <w:sz w:val="24"/>
        </w:rPr>
        <w:t>焊接专业耗材</w:t>
      </w:r>
    </w:p>
    <w:p>
      <w:pPr>
        <w:spacing w:line="360" w:lineRule="auto"/>
        <w:rPr>
          <w:rFonts w:ascii="宋体" w:hAnsi="宋体"/>
          <w:sz w:val="24"/>
        </w:rPr>
      </w:pPr>
      <w:r>
        <w:rPr>
          <w:rFonts w:hint="eastAsia" w:ascii="宋体" w:hAnsi="宋体"/>
          <w:sz w:val="24"/>
        </w:rPr>
        <w:t xml:space="preserve">   2.预算金额：4844</w:t>
      </w:r>
      <w:r>
        <w:rPr>
          <w:rFonts w:hint="eastAsia" w:ascii="宋体" w:hAnsi="宋体"/>
          <w:sz w:val="24"/>
          <w:lang w:val="en-US" w:eastAsia="zh-CN"/>
        </w:rPr>
        <w:t>3</w:t>
      </w:r>
      <w:r>
        <w:rPr>
          <w:rFonts w:hint="eastAsia" w:ascii="宋体" w:hAnsi="宋体"/>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6.2018年度以来最新的经权威机构审计的完整的财务报告（复印件）（不满一年的新公司不提供该报告）；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rPr>
        <w:t>7.</w:t>
      </w:r>
      <w:r>
        <w:rPr>
          <w:rFonts w:ascii="宋体" w:hAnsi="宋体" w:cs="宋体"/>
          <w:kern w:val="0"/>
          <w:sz w:val="24"/>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rPr>
        <w:t>投标文件</w:t>
      </w:r>
      <w:r>
        <w:rPr>
          <w:rFonts w:ascii="宋体" w:hAnsi="宋体" w:cs="宋体"/>
          <w:kern w:val="0"/>
          <w:sz w:val="24"/>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20年</w:t>
      </w:r>
      <w:r>
        <w:rPr>
          <w:rFonts w:hint="eastAsia" w:ascii="宋体" w:hAnsi="宋体"/>
          <w:sz w:val="24"/>
          <w:lang w:val="en-US" w:eastAsia="zh-CN"/>
        </w:rPr>
        <w:t>10</w:t>
      </w:r>
      <w:r>
        <w:rPr>
          <w:rFonts w:hint="eastAsia" w:ascii="宋体" w:hAnsi="宋体"/>
          <w:sz w:val="24"/>
        </w:rPr>
        <w:t>月</w:t>
      </w:r>
      <w:r>
        <w:rPr>
          <w:rFonts w:hint="eastAsia" w:ascii="宋体" w:hAnsi="宋体"/>
          <w:sz w:val="24"/>
          <w:lang w:val="en-US" w:eastAsia="zh-CN"/>
        </w:rPr>
        <w:t>9</w:t>
      </w:r>
      <w:r>
        <w:rPr>
          <w:rFonts w:hint="eastAsia" w:ascii="宋体" w:hAnsi="宋体"/>
          <w:sz w:val="24"/>
        </w:rPr>
        <w:t>日上午9</w:t>
      </w:r>
      <w:r>
        <w:rPr>
          <w:rFonts w:ascii="宋体" w:hAnsi="宋体"/>
          <w:sz w:val="24"/>
        </w:rPr>
        <w:t>:</w:t>
      </w:r>
      <w:r>
        <w:rPr>
          <w:rFonts w:hint="eastAsia" w:ascii="宋体" w:hAnsi="宋体"/>
          <w:sz w:val="24"/>
        </w:rPr>
        <w:t>0</w:t>
      </w:r>
      <w:r>
        <w:rPr>
          <w:rFonts w:ascii="宋体" w:hAnsi="宋体"/>
          <w:sz w:val="24"/>
        </w:rPr>
        <w:t>0</w:t>
      </w:r>
      <w:r>
        <w:rPr>
          <w:rFonts w:hint="eastAsia" w:ascii="宋体" w:hAnsi="宋体"/>
          <w:sz w:val="24"/>
        </w:rPr>
        <w:t>至9</w:t>
      </w:r>
      <w:r>
        <w:rPr>
          <w:rFonts w:ascii="宋体" w:hAnsi="宋体"/>
          <w:sz w:val="24"/>
        </w:rPr>
        <w:t>:</w:t>
      </w:r>
      <w:r>
        <w:rPr>
          <w:rFonts w:hint="eastAsia" w:ascii="宋体" w:hAnsi="宋体"/>
          <w:sz w:val="24"/>
        </w:rPr>
        <w:t>30分，逾期不予受理。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响应文件递交地点：兰州职业技术学院总校区综合楼801室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20</w:t>
      </w:r>
      <w:r>
        <w:rPr>
          <w:rFonts w:ascii="宋体" w:hAnsi="宋体"/>
          <w:sz w:val="24"/>
        </w:rPr>
        <w:t>年</w:t>
      </w:r>
      <w:r>
        <w:rPr>
          <w:rFonts w:hint="eastAsia" w:ascii="宋体" w:hAnsi="宋体"/>
          <w:sz w:val="24"/>
        </w:rPr>
        <w:t>9</w:t>
      </w:r>
      <w:r>
        <w:rPr>
          <w:rFonts w:ascii="宋体" w:hAnsi="宋体"/>
          <w:sz w:val="24"/>
        </w:rPr>
        <w:t>月</w:t>
      </w:r>
      <w:r>
        <w:rPr>
          <w:rFonts w:hint="eastAsia" w:ascii="宋体" w:hAnsi="宋体"/>
          <w:sz w:val="24"/>
        </w:rPr>
        <w:t>2</w:t>
      </w:r>
      <w:r>
        <w:rPr>
          <w:rFonts w:hint="eastAsia" w:ascii="宋体" w:hAnsi="宋体"/>
          <w:sz w:val="24"/>
          <w:lang w:val="en-US" w:eastAsia="zh-CN"/>
        </w:rPr>
        <w:t>8</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b/>
          <w:sz w:val="24"/>
        </w:rPr>
      </w:pPr>
      <w:r>
        <w:rPr>
          <w:rFonts w:hint="eastAsia" w:ascii="宋体" w:hAnsi="宋体"/>
          <w:b/>
          <w:sz w:val="24"/>
        </w:rPr>
        <w:t>1.货物清单</w:t>
      </w:r>
    </w:p>
    <w:tbl>
      <w:tblPr>
        <w:tblStyle w:val="19"/>
        <w:tblW w:w="4733" w:type="pct"/>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0"/>
        <w:gridCol w:w="1441"/>
        <w:gridCol w:w="3839"/>
        <w:gridCol w:w="1235"/>
        <w:gridCol w:w="14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456" w:type="pct"/>
            <w:vMerge w:val="restart"/>
            <w:vAlign w:val="center"/>
          </w:tcPr>
          <w:p>
            <w:pPr>
              <w:autoSpaceDE w:val="0"/>
              <w:autoSpaceDN w:val="0"/>
              <w:jc w:val="center"/>
              <w:rPr>
                <w:rFonts w:ascii="宋体" w:hAnsi="宋体"/>
                <w:kern w:val="0"/>
                <w:sz w:val="22"/>
                <w:szCs w:val="21"/>
                <w:lang w:eastAsia="en-US"/>
              </w:rPr>
            </w:pPr>
            <w:r>
              <w:rPr>
                <w:rFonts w:ascii="宋体" w:hAnsi="宋体"/>
                <w:kern w:val="0"/>
                <w:sz w:val="22"/>
                <w:szCs w:val="21"/>
                <w:lang w:eastAsia="en-US"/>
              </w:rPr>
              <w:t>序号</w:t>
            </w:r>
          </w:p>
        </w:tc>
        <w:tc>
          <w:tcPr>
            <w:tcW w:w="822" w:type="pct"/>
            <w:vMerge w:val="restart"/>
            <w:vAlign w:val="center"/>
          </w:tcPr>
          <w:p>
            <w:pPr>
              <w:autoSpaceDE w:val="0"/>
              <w:autoSpaceDN w:val="0"/>
              <w:jc w:val="center"/>
              <w:rPr>
                <w:rFonts w:ascii="宋体" w:hAnsi="宋体"/>
                <w:kern w:val="0"/>
                <w:sz w:val="22"/>
                <w:szCs w:val="21"/>
                <w:lang w:eastAsia="en-US"/>
              </w:rPr>
            </w:pPr>
            <w:r>
              <w:rPr>
                <w:rFonts w:ascii="宋体" w:hAnsi="宋体"/>
                <w:kern w:val="0"/>
                <w:sz w:val="22"/>
                <w:szCs w:val="21"/>
                <w:lang w:eastAsia="en-US"/>
              </w:rPr>
              <w:t>产品名称</w:t>
            </w:r>
          </w:p>
        </w:tc>
        <w:tc>
          <w:tcPr>
            <w:tcW w:w="2191" w:type="pct"/>
            <w:vMerge w:val="restart"/>
            <w:vAlign w:val="center"/>
          </w:tcPr>
          <w:p>
            <w:pPr>
              <w:autoSpaceDE w:val="0"/>
              <w:autoSpaceDN w:val="0"/>
              <w:jc w:val="center"/>
              <w:rPr>
                <w:rFonts w:ascii="宋体" w:hAnsi="宋体"/>
                <w:kern w:val="0"/>
                <w:sz w:val="22"/>
                <w:szCs w:val="21"/>
                <w:lang w:eastAsia="en-US"/>
              </w:rPr>
            </w:pPr>
            <w:r>
              <w:rPr>
                <w:rFonts w:ascii="宋体" w:hAnsi="宋体"/>
                <w:kern w:val="0"/>
                <w:sz w:val="22"/>
                <w:szCs w:val="21"/>
                <w:lang w:eastAsia="en-US"/>
              </w:rPr>
              <w:t>型号</w:t>
            </w:r>
          </w:p>
        </w:tc>
        <w:tc>
          <w:tcPr>
            <w:tcW w:w="705" w:type="pct"/>
            <w:vMerge w:val="restart"/>
            <w:vAlign w:val="center"/>
          </w:tcPr>
          <w:p>
            <w:pPr>
              <w:autoSpaceDE w:val="0"/>
              <w:autoSpaceDN w:val="0"/>
              <w:jc w:val="center"/>
              <w:rPr>
                <w:rFonts w:ascii="宋体" w:hAnsi="宋体"/>
                <w:kern w:val="0"/>
                <w:sz w:val="22"/>
                <w:szCs w:val="21"/>
                <w:lang w:eastAsia="en-US"/>
              </w:rPr>
            </w:pPr>
            <w:r>
              <w:rPr>
                <w:rFonts w:ascii="宋体" w:hAnsi="宋体"/>
                <w:kern w:val="0"/>
                <w:sz w:val="22"/>
                <w:szCs w:val="21"/>
                <w:lang w:eastAsia="en-US"/>
              </w:rPr>
              <w:t>数量</w:t>
            </w:r>
          </w:p>
        </w:tc>
        <w:tc>
          <w:tcPr>
            <w:tcW w:w="823" w:type="pct"/>
            <w:vMerge w:val="restart"/>
            <w:vAlign w:val="center"/>
          </w:tcPr>
          <w:p>
            <w:pPr>
              <w:autoSpaceDE w:val="0"/>
              <w:autoSpaceDN w:val="0"/>
              <w:jc w:val="center"/>
              <w:rPr>
                <w:rFonts w:ascii="宋体" w:hAnsi="宋体"/>
                <w:kern w:val="0"/>
                <w:sz w:val="22"/>
                <w:szCs w:val="21"/>
                <w:lang w:eastAsia="en-US"/>
              </w:rPr>
            </w:pPr>
            <w:r>
              <w:rPr>
                <w:rFonts w:ascii="宋体" w:hAnsi="宋体"/>
                <w:kern w:val="0"/>
                <w:sz w:val="22"/>
                <w:szCs w:val="21"/>
                <w:lang w:eastAsia="en-US"/>
              </w:rPr>
              <w:t>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456" w:type="pct"/>
            <w:vMerge w:val="continue"/>
            <w:tcBorders>
              <w:top w:val="nil"/>
            </w:tcBorders>
            <w:vAlign w:val="center"/>
          </w:tcPr>
          <w:p>
            <w:pPr>
              <w:autoSpaceDE w:val="0"/>
              <w:autoSpaceDN w:val="0"/>
              <w:jc w:val="center"/>
              <w:rPr>
                <w:rFonts w:ascii="宋体" w:hAnsi="宋体"/>
                <w:kern w:val="0"/>
                <w:sz w:val="22"/>
                <w:szCs w:val="21"/>
                <w:lang w:eastAsia="en-US"/>
              </w:rPr>
            </w:pPr>
          </w:p>
        </w:tc>
        <w:tc>
          <w:tcPr>
            <w:tcW w:w="822" w:type="pct"/>
            <w:vMerge w:val="continue"/>
            <w:tcBorders>
              <w:top w:val="nil"/>
            </w:tcBorders>
            <w:vAlign w:val="center"/>
          </w:tcPr>
          <w:p>
            <w:pPr>
              <w:autoSpaceDE w:val="0"/>
              <w:autoSpaceDN w:val="0"/>
              <w:jc w:val="center"/>
              <w:rPr>
                <w:rFonts w:ascii="宋体" w:hAnsi="宋体"/>
                <w:kern w:val="0"/>
                <w:sz w:val="22"/>
                <w:szCs w:val="21"/>
                <w:lang w:eastAsia="en-US"/>
              </w:rPr>
            </w:pPr>
          </w:p>
        </w:tc>
        <w:tc>
          <w:tcPr>
            <w:tcW w:w="2191" w:type="pct"/>
            <w:vMerge w:val="continue"/>
            <w:tcBorders>
              <w:top w:val="nil"/>
            </w:tcBorders>
            <w:vAlign w:val="center"/>
          </w:tcPr>
          <w:p>
            <w:pPr>
              <w:autoSpaceDE w:val="0"/>
              <w:autoSpaceDN w:val="0"/>
              <w:jc w:val="center"/>
              <w:rPr>
                <w:rFonts w:ascii="宋体" w:hAnsi="宋体"/>
                <w:kern w:val="0"/>
                <w:sz w:val="22"/>
                <w:szCs w:val="21"/>
                <w:lang w:eastAsia="en-US"/>
              </w:rPr>
            </w:pPr>
          </w:p>
        </w:tc>
        <w:tc>
          <w:tcPr>
            <w:tcW w:w="705" w:type="pct"/>
            <w:vMerge w:val="continue"/>
            <w:tcBorders>
              <w:top w:val="nil"/>
            </w:tcBorders>
            <w:vAlign w:val="center"/>
          </w:tcPr>
          <w:p>
            <w:pPr>
              <w:autoSpaceDE w:val="0"/>
              <w:autoSpaceDN w:val="0"/>
              <w:jc w:val="center"/>
              <w:rPr>
                <w:rFonts w:ascii="宋体" w:hAnsi="宋体"/>
                <w:kern w:val="0"/>
                <w:sz w:val="22"/>
                <w:szCs w:val="21"/>
                <w:lang w:eastAsia="en-US"/>
              </w:rPr>
            </w:pPr>
          </w:p>
        </w:tc>
        <w:tc>
          <w:tcPr>
            <w:tcW w:w="823" w:type="pct"/>
            <w:vMerge w:val="continue"/>
            <w:tcBorders>
              <w:top w:val="nil"/>
            </w:tcBorders>
            <w:vAlign w:val="center"/>
          </w:tcPr>
          <w:p>
            <w:pPr>
              <w:autoSpaceDE w:val="0"/>
              <w:autoSpaceDN w:val="0"/>
              <w:jc w:val="center"/>
              <w:rPr>
                <w:rFonts w:ascii="宋体" w:hAnsi="宋体"/>
                <w:kern w:val="0"/>
                <w:sz w:val="22"/>
                <w:szCs w:val="21"/>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trPr>
        <w:tc>
          <w:tcPr>
            <w:tcW w:w="456" w:type="pct"/>
            <w:vAlign w:val="center"/>
          </w:tcPr>
          <w:p>
            <w:pPr>
              <w:autoSpaceDE w:val="0"/>
              <w:autoSpaceDN w:val="0"/>
              <w:jc w:val="center"/>
              <w:rPr>
                <w:rFonts w:ascii="宋体" w:hAnsi="宋体"/>
                <w:kern w:val="0"/>
                <w:sz w:val="22"/>
                <w:szCs w:val="21"/>
                <w:lang w:eastAsia="en-US"/>
              </w:rPr>
            </w:pPr>
            <w:r>
              <w:rPr>
                <w:rFonts w:ascii="宋体" w:hAnsi="宋体"/>
                <w:kern w:val="0"/>
                <w:sz w:val="22"/>
                <w:szCs w:val="21"/>
                <w:lang w:eastAsia="en-US"/>
              </w:rPr>
              <w:t>1</w:t>
            </w:r>
          </w:p>
        </w:tc>
        <w:tc>
          <w:tcPr>
            <w:tcW w:w="822" w:type="pct"/>
            <w:vAlign w:val="center"/>
          </w:tcPr>
          <w:p>
            <w:pPr>
              <w:widowControl/>
              <w:jc w:val="center"/>
              <w:rPr>
                <w:rFonts w:ascii="宋体" w:hAnsi="宋体"/>
                <w:sz w:val="24"/>
              </w:rPr>
            </w:pPr>
            <w:r>
              <w:rPr>
                <w:rFonts w:hint="eastAsia" w:ascii="宋体" w:hAnsi="宋体"/>
                <w:sz w:val="24"/>
              </w:rPr>
              <w:t>钢板</w:t>
            </w:r>
          </w:p>
        </w:tc>
        <w:tc>
          <w:tcPr>
            <w:tcW w:w="2191" w:type="pct"/>
            <w:vAlign w:val="center"/>
          </w:tcPr>
          <w:p>
            <w:pPr>
              <w:widowControl/>
              <w:jc w:val="left"/>
              <w:rPr>
                <w:rFonts w:ascii="宋体" w:hAnsi="宋体"/>
                <w:sz w:val="24"/>
              </w:rPr>
            </w:pPr>
            <w:r>
              <w:rPr>
                <w:rFonts w:hint="eastAsia" w:ascii="宋体" w:hAnsi="宋体"/>
                <w:sz w:val="24"/>
              </w:rPr>
              <w:t>Q235B</w:t>
            </w:r>
          </w:p>
          <w:p>
            <w:pPr>
              <w:widowControl/>
              <w:jc w:val="left"/>
              <w:rPr>
                <w:rFonts w:ascii="宋体" w:hAnsi="宋体"/>
                <w:sz w:val="24"/>
              </w:rPr>
            </w:pPr>
            <w:r>
              <w:rPr>
                <w:rFonts w:hint="eastAsia" w:ascii="宋体" w:hAnsi="宋体"/>
                <w:sz w:val="24"/>
              </w:rPr>
              <w:t>300mm×150mm×12mm</w:t>
            </w:r>
          </w:p>
        </w:tc>
        <w:tc>
          <w:tcPr>
            <w:tcW w:w="705" w:type="pct"/>
            <w:vAlign w:val="center"/>
          </w:tcPr>
          <w:p>
            <w:pPr>
              <w:widowControl/>
              <w:jc w:val="center"/>
              <w:rPr>
                <w:rFonts w:ascii="宋体" w:hAnsi="宋体"/>
                <w:sz w:val="24"/>
              </w:rPr>
            </w:pPr>
            <w:r>
              <w:rPr>
                <w:rFonts w:hint="eastAsia" w:ascii="宋体" w:hAnsi="宋体"/>
                <w:sz w:val="24"/>
              </w:rPr>
              <w:t>857</w:t>
            </w:r>
          </w:p>
        </w:tc>
        <w:tc>
          <w:tcPr>
            <w:tcW w:w="823" w:type="pct"/>
            <w:vAlign w:val="center"/>
          </w:tcPr>
          <w:p>
            <w:pPr>
              <w:widowControl/>
              <w:jc w:val="center"/>
              <w:rPr>
                <w:rFonts w:ascii="宋体" w:hAnsi="宋体"/>
                <w:sz w:val="24"/>
              </w:rPr>
            </w:pPr>
            <w:r>
              <w:rPr>
                <w:rFonts w:hint="eastAsia" w:ascii="宋体" w:hAnsi="宋体"/>
                <w:sz w:val="24"/>
              </w:rPr>
              <w:t>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456" w:type="pct"/>
            <w:vAlign w:val="center"/>
          </w:tcPr>
          <w:p>
            <w:pPr>
              <w:autoSpaceDE w:val="0"/>
              <w:autoSpaceDN w:val="0"/>
              <w:jc w:val="center"/>
              <w:rPr>
                <w:rFonts w:ascii="宋体" w:hAnsi="宋体"/>
                <w:kern w:val="0"/>
                <w:sz w:val="22"/>
                <w:szCs w:val="21"/>
                <w:lang w:eastAsia="en-US"/>
              </w:rPr>
            </w:pPr>
            <w:r>
              <w:rPr>
                <w:rFonts w:ascii="宋体" w:hAnsi="宋体"/>
                <w:kern w:val="0"/>
                <w:sz w:val="22"/>
                <w:szCs w:val="21"/>
                <w:lang w:eastAsia="en-US"/>
              </w:rPr>
              <w:t>2</w:t>
            </w:r>
          </w:p>
        </w:tc>
        <w:tc>
          <w:tcPr>
            <w:tcW w:w="822" w:type="pct"/>
            <w:vAlign w:val="center"/>
          </w:tcPr>
          <w:p>
            <w:pPr>
              <w:widowControl/>
              <w:jc w:val="center"/>
              <w:rPr>
                <w:rFonts w:ascii="宋体" w:hAnsi="宋体"/>
                <w:sz w:val="24"/>
              </w:rPr>
            </w:pPr>
            <w:r>
              <w:rPr>
                <w:rFonts w:hint="eastAsia" w:ascii="宋体" w:hAnsi="宋体"/>
                <w:sz w:val="24"/>
              </w:rPr>
              <w:t>钢板</w:t>
            </w:r>
          </w:p>
        </w:tc>
        <w:tc>
          <w:tcPr>
            <w:tcW w:w="2191" w:type="pct"/>
            <w:vAlign w:val="center"/>
          </w:tcPr>
          <w:p>
            <w:pPr>
              <w:widowControl/>
              <w:jc w:val="left"/>
              <w:rPr>
                <w:rFonts w:ascii="宋体" w:hAnsi="宋体"/>
                <w:sz w:val="24"/>
              </w:rPr>
            </w:pPr>
            <w:r>
              <w:rPr>
                <w:rFonts w:hint="eastAsia" w:ascii="宋体" w:hAnsi="宋体"/>
                <w:sz w:val="24"/>
              </w:rPr>
              <w:t>Q235B</w:t>
            </w:r>
          </w:p>
          <w:p>
            <w:pPr>
              <w:widowControl/>
              <w:jc w:val="left"/>
              <w:rPr>
                <w:rFonts w:ascii="宋体" w:hAnsi="宋体"/>
                <w:sz w:val="24"/>
              </w:rPr>
            </w:pPr>
            <w:r>
              <w:rPr>
                <w:rFonts w:hint="eastAsia" w:ascii="宋体" w:hAnsi="宋体"/>
                <w:sz w:val="24"/>
              </w:rPr>
              <w:t>300mm×120mm×12mm</w:t>
            </w:r>
          </w:p>
        </w:tc>
        <w:tc>
          <w:tcPr>
            <w:tcW w:w="705" w:type="pct"/>
            <w:vAlign w:val="center"/>
          </w:tcPr>
          <w:p>
            <w:pPr>
              <w:widowControl/>
              <w:jc w:val="center"/>
              <w:rPr>
                <w:rFonts w:ascii="宋体" w:hAnsi="宋体"/>
                <w:sz w:val="24"/>
              </w:rPr>
            </w:pPr>
            <w:r>
              <w:rPr>
                <w:rFonts w:hint="eastAsia" w:ascii="宋体" w:hAnsi="宋体"/>
                <w:sz w:val="24"/>
              </w:rPr>
              <w:t>218</w:t>
            </w:r>
          </w:p>
        </w:tc>
        <w:tc>
          <w:tcPr>
            <w:tcW w:w="823" w:type="pct"/>
            <w:vAlign w:val="center"/>
          </w:tcPr>
          <w:p>
            <w:pPr>
              <w:widowControl/>
              <w:jc w:val="center"/>
              <w:rPr>
                <w:rFonts w:ascii="宋体" w:hAnsi="宋体"/>
                <w:sz w:val="24"/>
              </w:rPr>
            </w:pPr>
            <w:r>
              <w:rPr>
                <w:rFonts w:hint="eastAsia" w:ascii="宋体" w:hAnsi="宋体"/>
                <w:sz w:val="24"/>
              </w:rPr>
              <w:t>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456" w:type="pct"/>
            <w:vAlign w:val="center"/>
          </w:tcPr>
          <w:p>
            <w:pPr>
              <w:autoSpaceDE w:val="0"/>
              <w:autoSpaceDN w:val="0"/>
              <w:jc w:val="center"/>
              <w:rPr>
                <w:rFonts w:ascii="宋体" w:hAnsi="宋体"/>
                <w:kern w:val="0"/>
                <w:sz w:val="22"/>
                <w:szCs w:val="21"/>
                <w:lang w:eastAsia="en-US"/>
              </w:rPr>
            </w:pPr>
            <w:r>
              <w:rPr>
                <w:rFonts w:ascii="宋体" w:hAnsi="宋体"/>
                <w:kern w:val="0"/>
                <w:sz w:val="22"/>
                <w:szCs w:val="21"/>
                <w:lang w:eastAsia="en-US"/>
              </w:rPr>
              <w:t>3</w:t>
            </w:r>
          </w:p>
        </w:tc>
        <w:tc>
          <w:tcPr>
            <w:tcW w:w="822" w:type="pct"/>
            <w:vAlign w:val="center"/>
          </w:tcPr>
          <w:p>
            <w:pPr>
              <w:widowControl/>
              <w:jc w:val="center"/>
              <w:rPr>
                <w:rFonts w:ascii="宋体" w:hAnsi="宋体"/>
                <w:sz w:val="24"/>
              </w:rPr>
            </w:pPr>
            <w:r>
              <w:rPr>
                <w:rFonts w:hint="eastAsia" w:ascii="宋体" w:hAnsi="宋体"/>
                <w:sz w:val="24"/>
              </w:rPr>
              <w:t>钢板</w:t>
            </w:r>
          </w:p>
        </w:tc>
        <w:tc>
          <w:tcPr>
            <w:tcW w:w="2191" w:type="pct"/>
            <w:vAlign w:val="center"/>
          </w:tcPr>
          <w:p>
            <w:pPr>
              <w:widowControl/>
              <w:jc w:val="left"/>
              <w:rPr>
                <w:rFonts w:ascii="宋体" w:hAnsi="宋体"/>
                <w:sz w:val="24"/>
              </w:rPr>
            </w:pPr>
            <w:r>
              <w:rPr>
                <w:rFonts w:hint="eastAsia" w:ascii="宋体" w:hAnsi="宋体"/>
                <w:sz w:val="24"/>
              </w:rPr>
              <w:t>Q235B</w:t>
            </w:r>
          </w:p>
          <w:p>
            <w:pPr>
              <w:widowControl/>
              <w:jc w:val="left"/>
              <w:rPr>
                <w:rFonts w:ascii="宋体" w:hAnsi="宋体"/>
                <w:sz w:val="24"/>
              </w:rPr>
            </w:pPr>
            <w:r>
              <w:rPr>
                <w:rFonts w:hint="eastAsia" w:ascii="宋体" w:hAnsi="宋体"/>
                <w:sz w:val="24"/>
              </w:rPr>
              <w:t>300mm×75mm×12mm</w:t>
            </w:r>
          </w:p>
        </w:tc>
        <w:tc>
          <w:tcPr>
            <w:tcW w:w="705" w:type="pct"/>
            <w:vAlign w:val="center"/>
          </w:tcPr>
          <w:p>
            <w:pPr>
              <w:widowControl/>
              <w:jc w:val="center"/>
              <w:rPr>
                <w:rFonts w:ascii="宋体" w:hAnsi="宋体"/>
                <w:sz w:val="24"/>
              </w:rPr>
            </w:pPr>
            <w:r>
              <w:rPr>
                <w:rFonts w:hint="eastAsia" w:ascii="宋体" w:hAnsi="宋体"/>
                <w:sz w:val="24"/>
              </w:rPr>
              <w:t>57</w:t>
            </w:r>
          </w:p>
        </w:tc>
        <w:tc>
          <w:tcPr>
            <w:tcW w:w="823" w:type="pct"/>
            <w:vAlign w:val="center"/>
          </w:tcPr>
          <w:p>
            <w:pPr>
              <w:widowControl/>
              <w:jc w:val="center"/>
              <w:rPr>
                <w:rFonts w:ascii="宋体" w:hAnsi="宋体"/>
                <w:sz w:val="24"/>
              </w:rPr>
            </w:pPr>
            <w:r>
              <w:rPr>
                <w:rFonts w:hint="eastAsia" w:ascii="宋体" w:hAnsi="宋体"/>
                <w:sz w:val="24"/>
              </w:rPr>
              <w:t>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456" w:type="pct"/>
            <w:vAlign w:val="center"/>
          </w:tcPr>
          <w:p>
            <w:pPr>
              <w:autoSpaceDE w:val="0"/>
              <w:autoSpaceDN w:val="0"/>
              <w:jc w:val="center"/>
              <w:rPr>
                <w:rFonts w:ascii="宋体" w:hAnsi="宋体"/>
                <w:kern w:val="0"/>
                <w:sz w:val="22"/>
                <w:szCs w:val="21"/>
                <w:highlight w:val="yellow"/>
                <w:lang w:eastAsia="en-US"/>
              </w:rPr>
            </w:pPr>
            <w:r>
              <w:rPr>
                <w:rFonts w:ascii="宋体" w:hAnsi="宋体"/>
                <w:kern w:val="0"/>
                <w:sz w:val="22"/>
                <w:szCs w:val="21"/>
                <w:lang w:eastAsia="en-US"/>
              </w:rPr>
              <w:t>4</w:t>
            </w:r>
          </w:p>
        </w:tc>
        <w:tc>
          <w:tcPr>
            <w:tcW w:w="822" w:type="pct"/>
            <w:vAlign w:val="center"/>
          </w:tcPr>
          <w:p>
            <w:pPr>
              <w:widowControl/>
              <w:jc w:val="center"/>
              <w:rPr>
                <w:rFonts w:ascii="宋体" w:hAnsi="宋体"/>
                <w:sz w:val="24"/>
              </w:rPr>
            </w:pPr>
            <w:r>
              <w:rPr>
                <w:rFonts w:hint="eastAsia" w:ascii="宋体" w:hAnsi="宋体"/>
                <w:sz w:val="24"/>
              </w:rPr>
              <w:t>焊丝</w:t>
            </w:r>
          </w:p>
        </w:tc>
        <w:tc>
          <w:tcPr>
            <w:tcW w:w="2191" w:type="pct"/>
            <w:vAlign w:val="center"/>
          </w:tcPr>
          <w:p>
            <w:pPr>
              <w:widowControl/>
              <w:jc w:val="left"/>
              <w:rPr>
                <w:rFonts w:ascii="宋体" w:hAnsi="宋体"/>
                <w:sz w:val="24"/>
              </w:rPr>
            </w:pPr>
            <w:r>
              <w:rPr>
                <w:rFonts w:hint="eastAsia" w:ascii="宋体" w:hAnsi="宋体"/>
                <w:sz w:val="24"/>
              </w:rPr>
              <w:t>ER50-6 Φ1.2</w:t>
            </w:r>
          </w:p>
        </w:tc>
        <w:tc>
          <w:tcPr>
            <w:tcW w:w="705" w:type="pct"/>
            <w:vAlign w:val="center"/>
          </w:tcPr>
          <w:p>
            <w:pPr>
              <w:widowControl/>
              <w:jc w:val="center"/>
              <w:rPr>
                <w:rFonts w:ascii="宋体" w:hAnsi="宋体"/>
                <w:sz w:val="24"/>
              </w:rPr>
            </w:pPr>
            <w:r>
              <w:rPr>
                <w:rFonts w:hint="eastAsia" w:ascii="宋体" w:hAnsi="宋体"/>
                <w:sz w:val="24"/>
              </w:rPr>
              <w:t>10</w:t>
            </w:r>
          </w:p>
        </w:tc>
        <w:tc>
          <w:tcPr>
            <w:tcW w:w="823" w:type="pct"/>
            <w:vAlign w:val="center"/>
          </w:tcPr>
          <w:p>
            <w:pPr>
              <w:widowControl/>
              <w:jc w:val="center"/>
              <w:rPr>
                <w:rFonts w:ascii="宋体" w:hAnsi="宋体"/>
                <w:sz w:val="24"/>
              </w:rPr>
            </w:pPr>
            <w:r>
              <w:rPr>
                <w:rFonts w:hint="eastAsia" w:ascii="宋体" w:hAnsi="宋体"/>
                <w:sz w:val="24"/>
              </w:rPr>
              <w:t>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456" w:type="pct"/>
            <w:vAlign w:val="center"/>
          </w:tcPr>
          <w:p>
            <w:pPr>
              <w:autoSpaceDE w:val="0"/>
              <w:autoSpaceDN w:val="0"/>
              <w:jc w:val="center"/>
              <w:rPr>
                <w:rFonts w:ascii="宋体" w:hAnsi="宋体"/>
                <w:kern w:val="0"/>
                <w:sz w:val="22"/>
                <w:szCs w:val="21"/>
                <w:lang w:eastAsia="en-US"/>
              </w:rPr>
            </w:pPr>
            <w:r>
              <w:rPr>
                <w:rFonts w:ascii="宋体" w:hAnsi="宋体"/>
                <w:kern w:val="0"/>
                <w:sz w:val="22"/>
                <w:szCs w:val="21"/>
                <w:lang w:eastAsia="en-US"/>
              </w:rPr>
              <w:t>5</w:t>
            </w:r>
          </w:p>
        </w:tc>
        <w:tc>
          <w:tcPr>
            <w:tcW w:w="822" w:type="pct"/>
            <w:vAlign w:val="center"/>
          </w:tcPr>
          <w:p>
            <w:pPr>
              <w:widowControl/>
              <w:jc w:val="center"/>
              <w:rPr>
                <w:rFonts w:ascii="宋体" w:hAnsi="宋体"/>
                <w:sz w:val="24"/>
              </w:rPr>
            </w:pPr>
            <w:r>
              <w:rPr>
                <w:rFonts w:hint="eastAsia" w:ascii="宋体" w:hAnsi="宋体"/>
                <w:sz w:val="24"/>
              </w:rPr>
              <w:t>焊条</w:t>
            </w:r>
          </w:p>
        </w:tc>
        <w:tc>
          <w:tcPr>
            <w:tcW w:w="2191" w:type="pct"/>
            <w:vAlign w:val="center"/>
          </w:tcPr>
          <w:p>
            <w:pPr>
              <w:widowControl/>
              <w:jc w:val="left"/>
              <w:rPr>
                <w:rFonts w:ascii="宋体" w:hAnsi="宋体"/>
                <w:sz w:val="24"/>
              </w:rPr>
            </w:pPr>
            <w:r>
              <w:rPr>
                <w:rFonts w:hint="eastAsia" w:ascii="宋体" w:hAnsi="宋体"/>
                <w:sz w:val="24"/>
              </w:rPr>
              <w:t>E4303 Φ3.2</w:t>
            </w:r>
          </w:p>
        </w:tc>
        <w:tc>
          <w:tcPr>
            <w:tcW w:w="705" w:type="pct"/>
            <w:vAlign w:val="center"/>
          </w:tcPr>
          <w:p>
            <w:pPr>
              <w:widowControl/>
              <w:jc w:val="center"/>
              <w:rPr>
                <w:rFonts w:ascii="宋体" w:hAnsi="宋体"/>
                <w:sz w:val="24"/>
              </w:rPr>
            </w:pPr>
            <w:r>
              <w:rPr>
                <w:rFonts w:hint="eastAsia" w:ascii="宋体" w:hAnsi="宋体"/>
                <w:sz w:val="24"/>
              </w:rPr>
              <w:t>75</w:t>
            </w:r>
          </w:p>
        </w:tc>
        <w:tc>
          <w:tcPr>
            <w:tcW w:w="823" w:type="pct"/>
            <w:vAlign w:val="center"/>
          </w:tcPr>
          <w:p>
            <w:pPr>
              <w:widowControl/>
              <w:jc w:val="center"/>
              <w:rPr>
                <w:rFonts w:ascii="宋体" w:hAnsi="宋体"/>
                <w:sz w:val="24"/>
              </w:rPr>
            </w:pPr>
            <w:r>
              <w:rPr>
                <w:rFonts w:hint="eastAsia" w:ascii="宋体" w:hAnsi="宋体"/>
                <w:sz w:val="24"/>
              </w:rPr>
              <w:t>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456" w:type="pct"/>
            <w:vAlign w:val="center"/>
          </w:tcPr>
          <w:p>
            <w:pPr>
              <w:autoSpaceDE w:val="0"/>
              <w:autoSpaceDN w:val="0"/>
              <w:jc w:val="center"/>
              <w:rPr>
                <w:rFonts w:ascii="宋体" w:hAnsi="宋体"/>
                <w:kern w:val="0"/>
                <w:sz w:val="22"/>
                <w:szCs w:val="21"/>
                <w:lang w:eastAsia="en-US"/>
              </w:rPr>
            </w:pPr>
            <w:r>
              <w:rPr>
                <w:rFonts w:ascii="宋体" w:hAnsi="宋体"/>
                <w:kern w:val="0"/>
                <w:sz w:val="22"/>
                <w:szCs w:val="21"/>
                <w:lang w:eastAsia="en-US"/>
              </w:rPr>
              <w:t>6</w:t>
            </w:r>
          </w:p>
        </w:tc>
        <w:tc>
          <w:tcPr>
            <w:tcW w:w="822" w:type="pct"/>
            <w:vAlign w:val="center"/>
          </w:tcPr>
          <w:p>
            <w:pPr>
              <w:widowControl/>
              <w:jc w:val="center"/>
              <w:rPr>
                <w:rFonts w:ascii="宋体" w:hAnsi="宋体"/>
                <w:sz w:val="24"/>
              </w:rPr>
            </w:pPr>
            <w:r>
              <w:rPr>
                <w:rFonts w:hint="eastAsia" w:ascii="宋体" w:hAnsi="宋体"/>
                <w:sz w:val="24"/>
              </w:rPr>
              <w:t>二氧化碳</w:t>
            </w:r>
          </w:p>
        </w:tc>
        <w:tc>
          <w:tcPr>
            <w:tcW w:w="2191" w:type="pct"/>
            <w:vAlign w:val="center"/>
          </w:tcPr>
          <w:p>
            <w:pPr>
              <w:widowControl/>
              <w:jc w:val="left"/>
              <w:rPr>
                <w:rFonts w:ascii="宋体" w:hAnsi="宋体"/>
                <w:sz w:val="24"/>
              </w:rPr>
            </w:pPr>
            <w:r>
              <w:rPr>
                <w:rFonts w:hint="eastAsia" w:ascii="宋体" w:hAnsi="宋体"/>
                <w:sz w:val="24"/>
              </w:rPr>
              <w:t>40L钢瓶装，纯度大于99.7%</w:t>
            </w:r>
          </w:p>
        </w:tc>
        <w:tc>
          <w:tcPr>
            <w:tcW w:w="705" w:type="pct"/>
            <w:vAlign w:val="center"/>
          </w:tcPr>
          <w:p>
            <w:pPr>
              <w:widowControl/>
              <w:jc w:val="center"/>
              <w:rPr>
                <w:rFonts w:ascii="宋体" w:hAnsi="宋体"/>
                <w:sz w:val="24"/>
              </w:rPr>
            </w:pPr>
            <w:r>
              <w:rPr>
                <w:rFonts w:hint="eastAsia" w:ascii="宋体" w:hAnsi="宋体"/>
                <w:sz w:val="24"/>
              </w:rPr>
              <w:t>55</w:t>
            </w:r>
          </w:p>
        </w:tc>
        <w:tc>
          <w:tcPr>
            <w:tcW w:w="823" w:type="pct"/>
            <w:vAlign w:val="center"/>
          </w:tcPr>
          <w:p>
            <w:pPr>
              <w:widowControl/>
              <w:jc w:val="center"/>
              <w:rPr>
                <w:rFonts w:ascii="宋体" w:hAnsi="宋体"/>
                <w:sz w:val="24"/>
              </w:rPr>
            </w:pPr>
            <w:r>
              <w:rPr>
                <w:rFonts w:hint="eastAsia" w:ascii="宋体" w:hAnsi="宋体"/>
                <w:sz w:val="24"/>
              </w:rPr>
              <w:t>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456" w:type="pct"/>
            <w:vAlign w:val="center"/>
          </w:tcPr>
          <w:p>
            <w:pPr>
              <w:autoSpaceDE w:val="0"/>
              <w:autoSpaceDN w:val="0"/>
              <w:jc w:val="center"/>
              <w:rPr>
                <w:rFonts w:ascii="宋体" w:hAnsi="宋体"/>
                <w:kern w:val="0"/>
                <w:sz w:val="22"/>
                <w:szCs w:val="21"/>
                <w:lang w:eastAsia="en-US"/>
              </w:rPr>
            </w:pPr>
            <w:r>
              <w:rPr>
                <w:rFonts w:ascii="宋体" w:hAnsi="宋体"/>
                <w:kern w:val="0"/>
                <w:sz w:val="22"/>
                <w:szCs w:val="21"/>
                <w:lang w:eastAsia="en-US"/>
              </w:rPr>
              <w:t>7</w:t>
            </w:r>
          </w:p>
        </w:tc>
        <w:tc>
          <w:tcPr>
            <w:tcW w:w="822" w:type="pct"/>
            <w:vAlign w:val="center"/>
          </w:tcPr>
          <w:p>
            <w:pPr>
              <w:widowControl/>
              <w:jc w:val="center"/>
              <w:rPr>
                <w:rFonts w:ascii="宋体" w:hAnsi="宋体"/>
                <w:sz w:val="24"/>
              </w:rPr>
            </w:pPr>
            <w:r>
              <w:rPr>
                <w:rFonts w:hint="eastAsia" w:ascii="宋体" w:hAnsi="宋体"/>
                <w:sz w:val="24"/>
              </w:rPr>
              <w:t>氧气</w:t>
            </w:r>
          </w:p>
        </w:tc>
        <w:tc>
          <w:tcPr>
            <w:tcW w:w="2191" w:type="pct"/>
            <w:vAlign w:val="center"/>
          </w:tcPr>
          <w:p>
            <w:pPr>
              <w:widowControl/>
              <w:jc w:val="left"/>
              <w:rPr>
                <w:rFonts w:ascii="宋体" w:hAnsi="宋体"/>
                <w:sz w:val="24"/>
              </w:rPr>
            </w:pPr>
            <w:r>
              <w:rPr>
                <w:rFonts w:hint="eastAsia" w:ascii="宋体" w:hAnsi="宋体"/>
                <w:sz w:val="24"/>
              </w:rPr>
              <w:t>40L钢瓶装</w:t>
            </w:r>
          </w:p>
        </w:tc>
        <w:tc>
          <w:tcPr>
            <w:tcW w:w="705" w:type="pct"/>
            <w:vAlign w:val="center"/>
          </w:tcPr>
          <w:p>
            <w:pPr>
              <w:widowControl/>
              <w:jc w:val="center"/>
              <w:rPr>
                <w:rFonts w:ascii="宋体" w:hAnsi="宋体"/>
                <w:sz w:val="24"/>
              </w:rPr>
            </w:pPr>
            <w:r>
              <w:rPr>
                <w:rFonts w:hint="eastAsia" w:ascii="宋体" w:hAnsi="宋体"/>
                <w:sz w:val="24"/>
              </w:rPr>
              <w:t>20</w:t>
            </w:r>
          </w:p>
        </w:tc>
        <w:tc>
          <w:tcPr>
            <w:tcW w:w="823" w:type="pct"/>
            <w:vAlign w:val="center"/>
          </w:tcPr>
          <w:p>
            <w:pPr>
              <w:widowControl/>
              <w:jc w:val="center"/>
              <w:rPr>
                <w:rFonts w:ascii="宋体" w:hAnsi="宋体"/>
                <w:sz w:val="24"/>
              </w:rPr>
            </w:pPr>
            <w:r>
              <w:rPr>
                <w:rFonts w:hint="eastAsia" w:ascii="宋体" w:hAnsi="宋体"/>
                <w:sz w:val="24"/>
              </w:rPr>
              <w:t>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456" w:type="pct"/>
            <w:vAlign w:val="center"/>
          </w:tcPr>
          <w:p>
            <w:pPr>
              <w:autoSpaceDE w:val="0"/>
              <w:autoSpaceDN w:val="0"/>
              <w:jc w:val="center"/>
              <w:rPr>
                <w:rFonts w:ascii="宋体" w:hAnsi="宋体"/>
                <w:kern w:val="0"/>
                <w:sz w:val="22"/>
                <w:szCs w:val="21"/>
                <w:lang w:eastAsia="en-US"/>
              </w:rPr>
            </w:pPr>
            <w:r>
              <w:rPr>
                <w:rFonts w:hint="eastAsia" w:ascii="宋体" w:hAnsi="宋体"/>
                <w:kern w:val="0"/>
                <w:sz w:val="22"/>
                <w:szCs w:val="21"/>
              </w:rPr>
              <w:t>8</w:t>
            </w:r>
          </w:p>
        </w:tc>
        <w:tc>
          <w:tcPr>
            <w:tcW w:w="822" w:type="pct"/>
            <w:vAlign w:val="center"/>
          </w:tcPr>
          <w:p>
            <w:pPr>
              <w:widowControl/>
              <w:jc w:val="center"/>
              <w:rPr>
                <w:rFonts w:ascii="宋体" w:hAnsi="宋体"/>
                <w:sz w:val="24"/>
              </w:rPr>
            </w:pPr>
            <w:r>
              <w:rPr>
                <w:rFonts w:hint="eastAsia" w:ascii="宋体" w:hAnsi="宋体"/>
                <w:sz w:val="24"/>
              </w:rPr>
              <w:t>乙炔气</w:t>
            </w:r>
          </w:p>
        </w:tc>
        <w:tc>
          <w:tcPr>
            <w:tcW w:w="2191" w:type="pct"/>
            <w:vAlign w:val="center"/>
          </w:tcPr>
          <w:p>
            <w:pPr>
              <w:widowControl/>
              <w:jc w:val="left"/>
              <w:rPr>
                <w:rFonts w:ascii="宋体" w:hAnsi="宋体"/>
                <w:sz w:val="24"/>
              </w:rPr>
            </w:pPr>
            <w:r>
              <w:rPr>
                <w:rFonts w:hint="eastAsia" w:ascii="宋体" w:hAnsi="宋体"/>
                <w:sz w:val="24"/>
              </w:rPr>
              <w:t>丙酮钢瓶装</w:t>
            </w:r>
          </w:p>
        </w:tc>
        <w:tc>
          <w:tcPr>
            <w:tcW w:w="705" w:type="pct"/>
            <w:vAlign w:val="center"/>
          </w:tcPr>
          <w:p>
            <w:pPr>
              <w:widowControl/>
              <w:jc w:val="center"/>
              <w:rPr>
                <w:rFonts w:ascii="宋体" w:hAnsi="宋体"/>
                <w:sz w:val="24"/>
              </w:rPr>
            </w:pPr>
            <w:r>
              <w:rPr>
                <w:rFonts w:hint="eastAsia" w:ascii="宋体" w:hAnsi="宋体"/>
                <w:sz w:val="24"/>
              </w:rPr>
              <w:t>10</w:t>
            </w:r>
          </w:p>
        </w:tc>
        <w:tc>
          <w:tcPr>
            <w:tcW w:w="823" w:type="pct"/>
            <w:vAlign w:val="center"/>
          </w:tcPr>
          <w:p>
            <w:pPr>
              <w:widowControl/>
              <w:jc w:val="center"/>
              <w:rPr>
                <w:rFonts w:ascii="宋体" w:hAnsi="宋体"/>
                <w:sz w:val="24"/>
              </w:rPr>
            </w:pPr>
            <w:r>
              <w:rPr>
                <w:rFonts w:hint="eastAsia" w:ascii="宋体" w:hAnsi="宋体"/>
                <w:sz w:val="24"/>
              </w:rPr>
              <w:t>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456" w:type="pct"/>
            <w:vAlign w:val="center"/>
          </w:tcPr>
          <w:p>
            <w:pPr>
              <w:autoSpaceDE w:val="0"/>
              <w:autoSpaceDN w:val="0"/>
              <w:jc w:val="center"/>
              <w:rPr>
                <w:rFonts w:ascii="宋体" w:hAnsi="宋体"/>
                <w:kern w:val="0"/>
                <w:sz w:val="22"/>
                <w:szCs w:val="21"/>
                <w:lang w:eastAsia="en-US"/>
              </w:rPr>
            </w:pPr>
            <w:r>
              <w:rPr>
                <w:rFonts w:hint="eastAsia" w:ascii="宋体" w:hAnsi="宋体"/>
                <w:kern w:val="0"/>
                <w:sz w:val="22"/>
                <w:szCs w:val="21"/>
              </w:rPr>
              <w:t>9</w:t>
            </w:r>
          </w:p>
        </w:tc>
        <w:tc>
          <w:tcPr>
            <w:tcW w:w="822" w:type="pct"/>
            <w:vAlign w:val="center"/>
          </w:tcPr>
          <w:p>
            <w:pPr>
              <w:widowControl/>
              <w:jc w:val="center"/>
              <w:rPr>
                <w:rFonts w:ascii="宋体" w:hAnsi="宋体"/>
                <w:sz w:val="24"/>
              </w:rPr>
            </w:pPr>
            <w:r>
              <w:rPr>
                <w:rFonts w:hint="eastAsia" w:ascii="宋体" w:hAnsi="宋体"/>
                <w:sz w:val="24"/>
              </w:rPr>
              <w:t>氩气</w:t>
            </w:r>
          </w:p>
        </w:tc>
        <w:tc>
          <w:tcPr>
            <w:tcW w:w="2191" w:type="pct"/>
            <w:vAlign w:val="center"/>
          </w:tcPr>
          <w:p>
            <w:pPr>
              <w:widowControl/>
              <w:jc w:val="left"/>
              <w:rPr>
                <w:rFonts w:ascii="宋体" w:hAnsi="宋体"/>
                <w:sz w:val="24"/>
              </w:rPr>
            </w:pPr>
            <w:r>
              <w:rPr>
                <w:rFonts w:hint="eastAsia" w:ascii="宋体" w:hAnsi="宋体"/>
                <w:sz w:val="24"/>
              </w:rPr>
              <w:t>40L钢瓶装</w:t>
            </w:r>
          </w:p>
        </w:tc>
        <w:tc>
          <w:tcPr>
            <w:tcW w:w="705" w:type="pct"/>
            <w:vAlign w:val="center"/>
          </w:tcPr>
          <w:p>
            <w:pPr>
              <w:widowControl/>
              <w:jc w:val="center"/>
              <w:rPr>
                <w:rFonts w:ascii="宋体" w:hAnsi="宋体"/>
                <w:sz w:val="24"/>
              </w:rPr>
            </w:pPr>
            <w:r>
              <w:rPr>
                <w:rFonts w:hint="eastAsia" w:ascii="宋体" w:hAnsi="宋体"/>
                <w:sz w:val="24"/>
              </w:rPr>
              <w:t>10</w:t>
            </w:r>
          </w:p>
        </w:tc>
        <w:tc>
          <w:tcPr>
            <w:tcW w:w="823" w:type="pct"/>
            <w:vAlign w:val="center"/>
          </w:tcPr>
          <w:p>
            <w:pPr>
              <w:widowControl/>
              <w:jc w:val="center"/>
              <w:rPr>
                <w:rFonts w:ascii="宋体" w:hAnsi="宋体"/>
                <w:sz w:val="24"/>
              </w:rPr>
            </w:pPr>
            <w:r>
              <w:rPr>
                <w:rFonts w:hint="eastAsia" w:ascii="宋体" w:hAnsi="宋体"/>
                <w:sz w:val="24"/>
              </w:rPr>
              <w:t>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456" w:type="pct"/>
            <w:vAlign w:val="center"/>
          </w:tcPr>
          <w:p>
            <w:pPr>
              <w:autoSpaceDE w:val="0"/>
              <w:autoSpaceDN w:val="0"/>
              <w:jc w:val="center"/>
              <w:rPr>
                <w:rFonts w:ascii="宋体" w:hAnsi="宋体"/>
                <w:kern w:val="0"/>
                <w:sz w:val="22"/>
                <w:szCs w:val="21"/>
                <w:lang w:eastAsia="en-US"/>
              </w:rPr>
            </w:pPr>
            <w:r>
              <w:rPr>
                <w:rFonts w:hint="eastAsia" w:ascii="宋体" w:hAnsi="宋体"/>
                <w:kern w:val="0"/>
                <w:sz w:val="22"/>
                <w:szCs w:val="21"/>
              </w:rPr>
              <w:t>10</w:t>
            </w:r>
          </w:p>
        </w:tc>
        <w:tc>
          <w:tcPr>
            <w:tcW w:w="822" w:type="pct"/>
            <w:vAlign w:val="center"/>
          </w:tcPr>
          <w:p>
            <w:pPr>
              <w:widowControl/>
              <w:jc w:val="left"/>
              <w:rPr>
                <w:rFonts w:ascii="宋体" w:hAnsi="宋体"/>
                <w:sz w:val="24"/>
              </w:rPr>
            </w:pPr>
            <w:r>
              <w:rPr>
                <w:rFonts w:hint="eastAsia" w:ascii="宋体" w:hAnsi="宋体"/>
                <w:sz w:val="24"/>
              </w:rPr>
              <w:t>试件X射线检测费用</w:t>
            </w:r>
          </w:p>
        </w:tc>
        <w:tc>
          <w:tcPr>
            <w:tcW w:w="2191" w:type="pct"/>
            <w:vAlign w:val="center"/>
          </w:tcPr>
          <w:p>
            <w:pPr>
              <w:widowControl/>
              <w:jc w:val="left"/>
              <w:rPr>
                <w:rFonts w:ascii="宋体" w:hAnsi="宋体"/>
                <w:sz w:val="24"/>
              </w:rPr>
            </w:pPr>
            <w:r>
              <w:rPr>
                <w:rFonts w:hint="eastAsia" w:ascii="宋体" w:hAnsi="宋体"/>
                <w:sz w:val="24"/>
              </w:rPr>
              <w:t>Q235B</w:t>
            </w:r>
          </w:p>
          <w:p>
            <w:pPr>
              <w:widowControl/>
              <w:jc w:val="left"/>
              <w:rPr>
                <w:rFonts w:ascii="宋体" w:hAnsi="宋体"/>
                <w:sz w:val="24"/>
              </w:rPr>
            </w:pPr>
            <w:r>
              <w:rPr>
                <w:rFonts w:hint="eastAsia" w:ascii="宋体" w:hAnsi="宋体"/>
                <w:sz w:val="24"/>
              </w:rPr>
              <w:t>300mm×150mm×12mm</w:t>
            </w:r>
          </w:p>
        </w:tc>
        <w:tc>
          <w:tcPr>
            <w:tcW w:w="705" w:type="pct"/>
            <w:vAlign w:val="center"/>
          </w:tcPr>
          <w:p>
            <w:pPr>
              <w:widowControl/>
              <w:jc w:val="center"/>
              <w:rPr>
                <w:rFonts w:ascii="宋体" w:hAnsi="宋体"/>
                <w:sz w:val="24"/>
              </w:rPr>
            </w:pPr>
            <w:r>
              <w:rPr>
                <w:rFonts w:hint="eastAsia" w:ascii="宋体" w:hAnsi="宋体"/>
                <w:sz w:val="24"/>
              </w:rPr>
              <w:t>104</w:t>
            </w:r>
          </w:p>
        </w:tc>
        <w:tc>
          <w:tcPr>
            <w:tcW w:w="823" w:type="pct"/>
            <w:vAlign w:val="center"/>
          </w:tcPr>
          <w:p>
            <w:pPr>
              <w:widowControl/>
              <w:jc w:val="center"/>
              <w:rPr>
                <w:rFonts w:ascii="宋体" w:hAnsi="宋体"/>
                <w:sz w:val="24"/>
              </w:rPr>
            </w:pPr>
            <w:r>
              <w:rPr>
                <w:rFonts w:hint="eastAsia" w:ascii="宋体" w:hAnsi="宋体"/>
                <w:sz w:val="24"/>
              </w:rPr>
              <w:t>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456" w:type="pct"/>
            <w:vAlign w:val="center"/>
          </w:tcPr>
          <w:p>
            <w:pPr>
              <w:autoSpaceDE w:val="0"/>
              <w:autoSpaceDN w:val="0"/>
              <w:jc w:val="center"/>
              <w:rPr>
                <w:rFonts w:ascii="宋体" w:hAnsi="宋体"/>
                <w:kern w:val="0"/>
                <w:sz w:val="22"/>
                <w:szCs w:val="21"/>
                <w:highlight w:val="yellow"/>
                <w:lang w:eastAsia="en-US"/>
              </w:rPr>
            </w:pPr>
            <w:r>
              <w:rPr>
                <w:rFonts w:hint="eastAsia" w:ascii="宋体" w:hAnsi="宋体"/>
                <w:kern w:val="0"/>
                <w:sz w:val="22"/>
                <w:szCs w:val="21"/>
              </w:rPr>
              <w:t>11</w:t>
            </w:r>
          </w:p>
        </w:tc>
        <w:tc>
          <w:tcPr>
            <w:tcW w:w="822" w:type="pct"/>
            <w:vAlign w:val="center"/>
          </w:tcPr>
          <w:p>
            <w:pPr>
              <w:widowControl/>
              <w:jc w:val="left"/>
              <w:rPr>
                <w:rFonts w:ascii="宋体" w:hAnsi="宋体"/>
                <w:sz w:val="24"/>
              </w:rPr>
            </w:pPr>
            <w:r>
              <w:rPr>
                <w:rFonts w:hint="eastAsia" w:ascii="宋体" w:hAnsi="宋体"/>
                <w:sz w:val="24"/>
              </w:rPr>
              <w:t>试件折断检测费用</w:t>
            </w:r>
          </w:p>
        </w:tc>
        <w:tc>
          <w:tcPr>
            <w:tcW w:w="2191" w:type="pct"/>
            <w:vAlign w:val="center"/>
          </w:tcPr>
          <w:p>
            <w:pPr>
              <w:widowControl/>
              <w:jc w:val="left"/>
              <w:rPr>
                <w:rFonts w:ascii="宋体" w:hAnsi="宋体"/>
                <w:sz w:val="24"/>
              </w:rPr>
            </w:pPr>
            <w:r>
              <w:rPr>
                <w:rFonts w:hint="eastAsia" w:ascii="宋体" w:hAnsi="宋体"/>
                <w:sz w:val="24"/>
              </w:rPr>
              <w:t>Q235B</w:t>
            </w:r>
          </w:p>
          <w:p>
            <w:pPr>
              <w:widowControl/>
              <w:jc w:val="left"/>
              <w:rPr>
                <w:rFonts w:ascii="宋体" w:hAnsi="宋体"/>
                <w:sz w:val="24"/>
              </w:rPr>
            </w:pPr>
            <w:r>
              <w:rPr>
                <w:rFonts w:hint="eastAsia" w:ascii="宋体" w:hAnsi="宋体"/>
                <w:sz w:val="24"/>
              </w:rPr>
              <w:t>300mm×120mm×12mm</w:t>
            </w:r>
          </w:p>
        </w:tc>
        <w:tc>
          <w:tcPr>
            <w:tcW w:w="705" w:type="pct"/>
            <w:vAlign w:val="center"/>
          </w:tcPr>
          <w:p>
            <w:pPr>
              <w:widowControl/>
              <w:jc w:val="center"/>
              <w:rPr>
                <w:rFonts w:ascii="宋体" w:hAnsi="宋体"/>
                <w:sz w:val="24"/>
              </w:rPr>
            </w:pPr>
            <w:r>
              <w:rPr>
                <w:rFonts w:hint="eastAsia" w:ascii="宋体" w:hAnsi="宋体"/>
                <w:sz w:val="24"/>
              </w:rPr>
              <w:t>57</w:t>
            </w:r>
          </w:p>
        </w:tc>
        <w:tc>
          <w:tcPr>
            <w:tcW w:w="823" w:type="pct"/>
            <w:vAlign w:val="center"/>
          </w:tcPr>
          <w:p>
            <w:pPr>
              <w:widowControl/>
              <w:jc w:val="center"/>
              <w:rPr>
                <w:rFonts w:ascii="宋体" w:hAnsi="宋体"/>
                <w:sz w:val="24"/>
              </w:rPr>
            </w:pPr>
            <w:r>
              <w:rPr>
                <w:rFonts w:hint="eastAsia" w:ascii="宋体" w:hAnsi="宋体"/>
                <w:sz w:val="24"/>
              </w:rPr>
              <w:t>次</w:t>
            </w:r>
          </w:p>
        </w:tc>
      </w:tr>
    </w:tbl>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ascii="宋体" w:hAnsi="宋体"/>
          <w:b/>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ascii="宋体" w:hAnsi="宋体"/>
          <w:color w:val="000000" w:themeColor="text1"/>
          <w:sz w:val="24"/>
        </w:rPr>
      </w:pPr>
      <w:r>
        <w:rPr>
          <w:rFonts w:hint="eastAsia" w:ascii="宋体" w:hAnsi="宋体"/>
          <w:color w:val="000000" w:themeColor="text1"/>
          <w:sz w:val="24"/>
        </w:rPr>
        <w:t>本项目所涉及产品，必须符合国家相关规定的安全及环保要求，存在质量问题时（人为因素除外），供应商须在3日内无条件进行产品更换。产品质量保质期为在产品验收合格且双方签字并交付使用之日起半年。</w:t>
      </w:r>
    </w:p>
    <w:p>
      <w:pPr>
        <w:autoSpaceDE w:val="0"/>
        <w:autoSpaceDN w:val="0"/>
        <w:adjustRightInd w:val="0"/>
        <w:snapToGrid w:val="0"/>
        <w:spacing w:line="400" w:lineRule="exact"/>
        <w:ind w:right="-178" w:rightChars="-85"/>
        <w:textAlignment w:val="bottom"/>
        <w:rPr>
          <w:rFonts w:ascii="宋体" w:hAnsi="宋体"/>
          <w:b/>
          <w:color w:val="000000" w:themeColor="text1"/>
          <w:sz w:val="24"/>
        </w:rPr>
      </w:pPr>
    </w:p>
    <w:p>
      <w:pPr>
        <w:numPr>
          <w:ilvl w:val="0"/>
          <w:numId w:val="3"/>
        </w:numPr>
        <w:spacing w:line="360" w:lineRule="auto"/>
        <w:ind w:left="-181" w:leftChars="-86" w:firstLine="482" w:firstLineChars="200"/>
        <w:contextualSpacing/>
        <w:rPr>
          <w:rFonts w:ascii="宋体" w:hAnsi="宋体"/>
          <w:b/>
          <w:color w:val="000000" w:themeColor="text1"/>
          <w:sz w:val="24"/>
        </w:rPr>
      </w:pPr>
      <w:bookmarkStart w:id="2" w:name="_Toc416681035"/>
      <w:bookmarkEnd w:id="2"/>
      <w:r>
        <w:rPr>
          <w:rFonts w:hint="eastAsia" w:ascii="宋体" w:hAnsi="宋体"/>
          <w:b/>
          <w:color w:val="000000" w:themeColor="text1"/>
          <w:sz w:val="24"/>
        </w:rPr>
        <w:t>其他要求：</w:t>
      </w:r>
    </w:p>
    <w:p>
      <w:pPr>
        <w:spacing w:line="400" w:lineRule="exact"/>
        <w:ind w:firstLine="480" w:firstLineChars="200"/>
        <w:rPr>
          <w:color w:val="000000" w:themeColor="text1"/>
          <w:sz w:val="24"/>
        </w:rPr>
      </w:pPr>
      <w:r>
        <w:rPr>
          <w:rFonts w:hint="eastAsia"/>
          <w:color w:val="000000" w:themeColor="text1"/>
          <w:sz w:val="24"/>
        </w:rPr>
        <w:t>供应商须在规定时间内完成供货，3天内完成型号不符货物的更换和调配。所提供的样品必须与项目标书采购人样品一致，中标单位样品将进行留存并在实际交货时需对照，如出现样品跟实际供货不一样将取消中标资格。</w:t>
      </w:r>
    </w:p>
    <w:p>
      <w:pPr>
        <w:spacing w:line="400" w:lineRule="exact"/>
        <w:ind w:firstLine="480" w:firstLineChars="200"/>
        <w:rPr>
          <w:rFonts w:ascii="宋体" w:hAnsi="宋体"/>
          <w:b/>
          <w:color w:val="000000" w:themeColor="text1"/>
          <w:sz w:val="24"/>
        </w:rPr>
      </w:pPr>
      <w:r>
        <w:rPr>
          <w:rFonts w:hint="eastAsia"/>
          <w:color w:val="000000" w:themeColor="text1"/>
          <w:sz w:val="24"/>
        </w:rPr>
        <w:t>4、</w:t>
      </w:r>
      <w:r>
        <w:rPr>
          <w:color w:val="000000" w:themeColor="text1"/>
          <w:sz w:val="24"/>
        </w:rPr>
        <w:t>技术资料</w:t>
      </w:r>
      <w:r>
        <w:rPr>
          <w:rFonts w:hint="eastAsia"/>
          <w:color w:val="000000" w:themeColor="text1"/>
          <w:sz w:val="24"/>
        </w:rPr>
        <w:t>：供应商</w:t>
      </w:r>
      <w:r>
        <w:rPr>
          <w:color w:val="000000" w:themeColor="text1"/>
          <w:sz w:val="24"/>
        </w:rPr>
        <w:t>必须保证</w:t>
      </w:r>
      <w:r>
        <w:rPr>
          <w:rFonts w:hint="eastAsia"/>
          <w:color w:val="000000" w:themeColor="text1"/>
          <w:sz w:val="24"/>
        </w:rPr>
        <w:t>响应</w:t>
      </w:r>
      <w:r>
        <w:rPr>
          <w:color w:val="000000" w:themeColor="text1"/>
          <w:sz w:val="24"/>
        </w:rPr>
        <w:t>文件所提供的全部技术资料（包括：投标货物原厂原版彩印技术样本、使用保养说明书、图纸、各种试验报告和鉴定证书、货物获奖证书等）真实可靠，不得</w:t>
      </w:r>
      <w:r>
        <w:rPr>
          <w:rFonts w:hint="eastAsia"/>
          <w:color w:val="000000" w:themeColor="text1"/>
          <w:sz w:val="24"/>
        </w:rPr>
        <w:t>用虚假材料进行响应</w:t>
      </w:r>
      <w:r>
        <w:rPr>
          <w:color w:val="000000" w:themeColor="text1"/>
          <w:sz w:val="24"/>
        </w:rPr>
        <w:t>，并接受</w:t>
      </w:r>
      <w:r>
        <w:rPr>
          <w:rFonts w:hint="eastAsia"/>
          <w:color w:val="000000" w:themeColor="text1"/>
          <w:sz w:val="24"/>
        </w:rPr>
        <w:t>评标委员会</w:t>
      </w:r>
      <w:r>
        <w:rPr>
          <w:color w:val="000000" w:themeColor="text1"/>
          <w:sz w:val="24"/>
        </w:rPr>
        <w:t>对其中任何资料进一步审查和采购人认可的第3方测试</w:t>
      </w:r>
      <w:r>
        <w:rPr>
          <w:rFonts w:hint="eastAsia"/>
          <w:color w:val="000000" w:themeColor="text1"/>
          <w:sz w:val="24"/>
        </w:rPr>
        <w:t>机构</w:t>
      </w:r>
      <w:r>
        <w:rPr>
          <w:color w:val="000000" w:themeColor="text1"/>
          <w:sz w:val="24"/>
        </w:rPr>
        <w:t>对货物进行测试的要求。</w:t>
      </w:r>
      <w:r>
        <w:rPr>
          <w:rFonts w:hint="eastAsia"/>
          <w:color w:val="000000" w:themeColor="text1"/>
          <w:sz w:val="24"/>
        </w:rPr>
        <w:t>如有虚假应标，将视为无效投标，并追究相关法律责任。</w:t>
      </w:r>
    </w:p>
    <w:p>
      <w:pPr>
        <w:spacing w:line="360" w:lineRule="auto"/>
        <w:rPr>
          <w:rFonts w:ascii="宋体" w:hAnsi="宋体"/>
          <w:b/>
          <w:color w:val="000000" w:themeColor="text1"/>
          <w:sz w:val="24"/>
        </w:rPr>
      </w:pPr>
      <w:r>
        <w:rPr>
          <w:rFonts w:hint="eastAsia" w:ascii="宋体" w:hAnsi="宋体"/>
          <w:b/>
          <w:color w:val="000000" w:themeColor="text1"/>
          <w:sz w:val="24"/>
        </w:rPr>
        <w:t>二、完成时间及付款方式</w:t>
      </w:r>
    </w:p>
    <w:p>
      <w:pPr>
        <w:spacing w:line="360" w:lineRule="auto"/>
        <w:ind w:firstLine="480" w:firstLineChars="200"/>
        <w:rPr>
          <w:rFonts w:ascii="宋体" w:hAnsi="宋体"/>
          <w:color w:val="000000" w:themeColor="text1"/>
          <w:sz w:val="24"/>
        </w:rPr>
      </w:pPr>
      <w:r>
        <w:rPr>
          <w:rFonts w:hint="eastAsia" w:ascii="宋体" w:hAnsi="宋体"/>
          <w:color w:val="000000" w:themeColor="text1"/>
          <w:sz w:val="24"/>
        </w:rPr>
        <w:t>1．合同签订后，供应商应在接到采购人通知</w:t>
      </w:r>
      <w:r>
        <w:rPr>
          <w:rFonts w:hint="eastAsia" w:ascii="宋体" w:hAnsi="宋体"/>
          <w:color w:val="000000" w:themeColor="text1"/>
          <w:sz w:val="24"/>
          <w:lang w:val="en-US" w:eastAsia="zh-CN"/>
        </w:rPr>
        <w:t>5</w:t>
      </w:r>
      <w:r>
        <w:rPr>
          <w:rFonts w:hint="eastAsia" w:ascii="宋体" w:hAnsi="宋体"/>
          <w:color w:val="000000" w:themeColor="text1"/>
          <w:sz w:val="24"/>
          <w:u w:val="single"/>
        </w:rPr>
        <w:t>天内</w:t>
      </w:r>
      <w:r>
        <w:rPr>
          <w:rFonts w:hint="eastAsia" w:ascii="宋体" w:hAnsi="宋体"/>
          <w:color w:val="000000" w:themeColor="text1"/>
          <w:sz w:val="24"/>
        </w:rPr>
        <w:t>完成项目的所需货物的供货、发放、调配，如不能按期按投标要求供货，供应商按中标报价的3倍进行赔偿。</w:t>
      </w:r>
    </w:p>
    <w:p>
      <w:pPr>
        <w:spacing w:line="360" w:lineRule="auto"/>
        <w:ind w:firstLine="480" w:firstLineChars="200"/>
        <w:rPr>
          <w:rFonts w:ascii="宋体" w:hAnsi="宋体"/>
          <w:sz w:val="24"/>
        </w:rPr>
      </w:pPr>
      <w:r>
        <w:rPr>
          <w:rFonts w:hint="eastAsia" w:ascii="宋体" w:hAnsi="宋体"/>
          <w:color w:val="000000" w:themeColor="text1"/>
          <w:sz w:val="24"/>
        </w:rPr>
        <w:t>2．供应商按采购人要求完成货物的供应、发放、调配，</w:t>
      </w:r>
      <w:bookmarkStart w:id="14" w:name="_GoBack"/>
      <w:bookmarkEnd w:id="14"/>
      <w:r>
        <w:rPr>
          <w:rFonts w:hint="eastAsia" w:ascii="宋体" w:hAnsi="宋体"/>
          <w:color w:val="000000" w:themeColor="text1"/>
          <w:sz w:val="24"/>
        </w:rPr>
        <w:t>并经采购人验收合格</w:t>
      </w:r>
      <w:r>
        <w:rPr>
          <w:rFonts w:hint="eastAsia" w:ascii="宋体" w:hAnsi="宋体"/>
          <w:sz w:val="24"/>
        </w:rPr>
        <w:t>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三、对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3"/>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rPr>
        <w:t>四、响应文件的编制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ind w:firstLine="460" w:firstLineChars="192"/>
        <w:rPr>
          <w:rFonts w:ascii="宋体" w:hAnsi="宋体"/>
          <w:sz w:val="24"/>
        </w:rPr>
      </w:pPr>
      <w:r>
        <w:rPr>
          <w:rFonts w:hint="eastAsia" w:ascii="宋体" w:hAnsi="宋体"/>
          <w:sz w:val="24"/>
        </w:rPr>
        <w:t>8.响应文件电子版U盘一份，须单独封装。</w:t>
      </w:r>
    </w:p>
    <w:p>
      <w:pPr>
        <w:tabs>
          <w:tab w:val="left" w:pos="1080"/>
        </w:tabs>
        <w:spacing w:line="360" w:lineRule="auto"/>
        <w:rPr>
          <w:rFonts w:ascii="宋体" w:hAnsi="宋体"/>
          <w:b/>
          <w:sz w:val="24"/>
        </w:rPr>
      </w:pPr>
      <w:r>
        <w:rPr>
          <w:rFonts w:hint="eastAsia" w:ascii="宋体" w:hAnsi="宋体"/>
          <w:b/>
          <w:sz w:val="24"/>
        </w:rPr>
        <w:t>五、响应文件的密封及标记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六、响应文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七、公开“报价一览表”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八、评审程序与标准：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236473298"/>
      <w:bookmarkStart w:id="10" w:name="_Toc238276242"/>
      <w:bookmarkStart w:id="11" w:name="_Toc265109445"/>
      <w:bookmarkStart w:id="12" w:name="_Toc294609003"/>
      <w:bookmarkStart w:id="13"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4"/>
        </w:numPr>
        <w:rPr>
          <w:rFonts w:ascii="宋体" w:hAnsi="宋体"/>
          <w:sz w:val="24"/>
          <w:szCs w:val="24"/>
        </w:rPr>
      </w:pPr>
      <w:r>
        <w:rPr>
          <w:rFonts w:hint="eastAsia" w:ascii="宋体" w:hAnsi="宋体"/>
          <w:sz w:val="24"/>
          <w:szCs w:val="24"/>
        </w:rPr>
        <w:t>所有价格均用人民币表示，单位为元。</w:t>
      </w:r>
    </w:p>
    <w:p>
      <w:pPr>
        <w:pStyle w:val="5"/>
        <w:numPr>
          <w:ilvl w:val="0"/>
          <w:numId w:val="4"/>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附件五</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4、类似项目业绩证明</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5、技术参数证明文件</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6、供应商认为应提供的其他材料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01097AEB"/>
    <w:multiLevelType w:val="singleLevel"/>
    <w:tmpl w:val="01097AEB"/>
    <w:lvl w:ilvl="0" w:tentative="0">
      <w:start w:val="8"/>
      <w:numFmt w:val="decimal"/>
      <w:suff w:val="space"/>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2"/>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B5AEE"/>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1AE7"/>
    <w:rsid w:val="001D4838"/>
    <w:rsid w:val="001D4CD7"/>
    <w:rsid w:val="001D55B8"/>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50BD"/>
    <w:rsid w:val="0041681A"/>
    <w:rsid w:val="004169BD"/>
    <w:rsid w:val="0041774E"/>
    <w:rsid w:val="00423A32"/>
    <w:rsid w:val="004275D8"/>
    <w:rsid w:val="004347CF"/>
    <w:rsid w:val="00434EEC"/>
    <w:rsid w:val="004359FC"/>
    <w:rsid w:val="00436109"/>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1781"/>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8F36AC"/>
    <w:rsid w:val="0090065A"/>
    <w:rsid w:val="00906D44"/>
    <w:rsid w:val="00910EB6"/>
    <w:rsid w:val="00914625"/>
    <w:rsid w:val="00921649"/>
    <w:rsid w:val="009246DE"/>
    <w:rsid w:val="00925A16"/>
    <w:rsid w:val="0092677D"/>
    <w:rsid w:val="0093322F"/>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53B3D"/>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69DF"/>
    <w:rsid w:val="00E9712A"/>
    <w:rsid w:val="00EA00EE"/>
    <w:rsid w:val="00EA47B8"/>
    <w:rsid w:val="00EB38ED"/>
    <w:rsid w:val="00EB7968"/>
    <w:rsid w:val="00EC2246"/>
    <w:rsid w:val="00EC3961"/>
    <w:rsid w:val="00EC47C6"/>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87DAD"/>
    <w:rsid w:val="00F9254D"/>
    <w:rsid w:val="00F95146"/>
    <w:rsid w:val="00F96FAC"/>
    <w:rsid w:val="00F97180"/>
    <w:rsid w:val="00FA75B2"/>
    <w:rsid w:val="00FB339F"/>
    <w:rsid w:val="00FB7553"/>
    <w:rsid w:val="00FC46F2"/>
    <w:rsid w:val="00FD47E7"/>
    <w:rsid w:val="00FF63FD"/>
    <w:rsid w:val="024C2861"/>
    <w:rsid w:val="02AC4654"/>
    <w:rsid w:val="033E7859"/>
    <w:rsid w:val="04765BFE"/>
    <w:rsid w:val="04C11398"/>
    <w:rsid w:val="098C501E"/>
    <w:rsid w:val="0A412F0D"/>
    <w:rsid w:val="0B1B470A"/>
    <w:rsid w:val="0C8D0B1C"/>
    <w:rsid w:val="0DB2633E"/>
    <w:rsid w:val="0E170F1D"/>
    <w:rsid w:val="1096558D"/>
    <w:rsid w:val="1132687B"/>
    <w:rsid w:val="167C7678"/>
    <w:rsid w:val="16CE0DE2"/>
    <w:rsid w:val="180C163C"/>
    <w:rsid w:val="22E13702"/>
    <w:rsid w:val="29175E93"/>
    <w:rsid w:val="29C651C2"/>
    <w:rsid w:val="2BD831ED"/>
    <w:rsid w:val="30ED3773"/>
    <w:rsid w:val="30F454E0"/>
    <w:rsid w:val="32082D80"/>
    <w:rsid w:val="3A7D7082"/>
    <w:rsid w:val="3B0418F4"/>
    <w:rsid w:val="3C800FC9"/>
    <w:rsid w:val="3E842D9E"/>
    <w:rsid w:val="41E83D03"/>
    <w:rsid w:val="42497455"/>
    <w:rsid w:val="469902C4"/>
    <w:rsid w:val="4BF27BEA"/>
    <w:rsid w:val="531410DD"/>
    <w:rsid w:val="5398783B"/>
    <w:rsid w:val="553E2EC3"/>
    <w:rsid w:val="56666A83"/>
    <w:rsid w:val="59575F32"/>
    <w:rsid w:val="59A565CA"/>
    <w:rsid w:val="59F903C5"/>
    <w:rsid w:val="5B0A7487"/>
    <w:rsid w:val="5CA2370E"/>
    <w:rsid w:val="62472877"/>
    <w:rsid w:val="64413EB6"/>
    <w:rsid w:val="650B258F"/>
    <w:rsid w:val="65B03214"/>
    <w:rsid w:val="68EC003C"/>
    <w:rsid w:val="6959727F"/>
    <w:rsid w:val="6FA636AF"/>
    <w:rsid w:val="7562300B"/>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qFormat/>
    <w:uiPriority w:val="0"/>
    <w:rPr>
      <w:rFonts w:ascii="宋体" w:hAnsi="Courier New" w:eastAsia="宋体" w:cs="Courier New"/>
      <w:kern w:val="2"/>
      <w:sz w:val="21"/>
      <w:szCs w:val="21"/>
      <w:lang w:val="en-US" w:eastAsia="zh-CN" w:bidi="ar-SA"/>
    </w:rPr>
  </w:style>
  <w:style w:type="character" w:customStyle="1" w:styleId="38">
    <w:name w:val="正文缩进 Char"/>
    <w:link w:val="5"/>
    <w:qFormat/>
    <w:uiPriority w:val="0"/>
    <w:rPr>
      <w:rFonts w:eastAsia="宋体"/>
      <w:kern w:val="2"/>
      <w:sz w:val="21"/>
      <w:lang w:val="en-US" w:eastAsia="zh-CN" w:bidi="ar-SA"/>
    </w:rPr>
  </w:style>
  <w:style w:type="character" w:customStyle="1" w:styleId="39">
    <w:name w:val="页眉 Char"/>
    <w:link w:val="13"/>
    <w:qFormat/>
    <w:uiPriority w:val="0"/>
    <w:rPr>
      <w:rFonts w:eastAsia="宋体"/>
      <w:kern w:val="2"/>
      <w:sz w:val="18"/>
      <w:szCs w:val="18"/>
      <w:lang w:val="en-US" w:eastAsia="zh-CN" w:bidi="ar-SA"/>
    </w:rPr>
  </w:style>
  <w:style w:type="character" w:customStyle="1" w:styleId="40">
    <w:name w:val="标题 3 Char"/>
    <w:basedOn w:val="21"/>
    <w:link w:val="4"/>
    <w:semiHidden/>
    <w:qFormat/>
    <w:uiPriority w:val="0"/>
    <w:rPr>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16</Pages>
  <Words>6044</Words>
  <Characters>1486</Characters>
  <Lines>12</Lines>
  <Paragraphs>15</Paragraphs>
  <TotalTime>63</TotalTime>
  <ScaleCrop>false</ScaleCrop>
  <LinksUpToDate>false</LinksUpToDate>
  <CharactersWithSpaces>7515</CharactersWithSpaces>
  <Application>WPS Office_11.1.0.9820_F1E327BC-269C-435d-A152-05C5408002CA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Administrator</cp:lastModifiedBy>
  <cp:lastPrinted>2019-03-28T00:30:00Z</cp:lastPrinted>
  <dcterms:modified xsi:type="dcterms:W3CDTF">2020-09-28T03:11:04Z</dcterms:modified>
  <dc:title>湖北省省级政府采购</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2052-11.1.0.9820</vt:lpwstr>
  </property>
</Properties>
</file>