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rFonts w:ascii="宋体" w:hAnsi="宋体" w:cs="宋体"/>
          <w:b w:val="0"/>
          <w:bCs w:val="0"/>
          <w:sz w:val="28"/>
          <w:szCs w:val="28"/>
        </w:rPr>
      </w:pPr>
      <w:r>
        <w:rPr>
          <w:rFonts w:hint="eastAsia"/>
          <w:b w:val="0"/>
          <w:bCs w:val="0"/>
          <w:sz w:val="28"/>
          <w:szCs w:val="28"/>
        </w:rPr>
        <w:t>项目名称：</w:t>
      </w:r>
      <w:r>
        <w:rPr>
          <w:rFonts w:ascii="宋体" w:hAnsi="宋体" w:eastAsia="宋体" w:cs="宋体"/>
          <w:b w:val="0"/>
          <w:bCs w:val="0"/>
          <w:sz w:val="28"/>
          <w:szCs w:val="28"/>
        </w:rPr>
        <w:t>兰州职业技术学院</w:t>
      </w:r>
      <w:r>
        <w:rPr>
          <w:rFonts w:hint="eastAsia" w:ascii="宋体" w:hAnsi="宋体" w:cs="宋体"/>
          <w:b w:val="0"/>
          <w:bCs w:val="0"/>
          <w:sz w:val="28"/>
          <w:szCs w:val="28"/>
          <w:lang w:val="en-US" w:eastAsia="zh-CN"/>
        </w:rPr>
        <w:t>购买教育设备</w:t>
      </w:r>
      <w:r>
        <w:rPr>
          <w:rFonts w:ascii="宋体" w:hAnsi="宋体" w:eastAsia="宋体" w:cs="宋体"/>
          <w:b w:val="0"/>
          <w:bCs w:val="0"/>
          <w:sz w:val="28"/>
          <w:szCs w:val="28"/>
        </w:rPr>
        <w:t>项目</w:t>
      </w:r>
    </w:p>
    <w:p>
      <w:pPr>
        <w:ind w:firstLine="560" w:firstLineChars="200"/>
        <w:jc w:val="left"/>
        <w:rPr>
          <w:rFonts w:hint="default"/>
          <w:b w:val="0"/>
          <w:bCs w:val="0"/>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4004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rFonts w:hint="eastAsia"/>
          <w:sz w:val="28"/>
          <w:szCs w:val="28"/>
          <w:lang w:val="en-US" w:eastAsia="zh-CN"/>
        </w:rPr>
        <w:t>7</w:t>
      </w:r>
      <w:r>
        <w:rPr>
          <w:rFonts w:hint="eastAsia"/>
          <w:sz w:val="28"/>
          <w:szCs w:val="28"/>
        </w:rPr>
        <w:t>月</w:t>
      </w:r>
      <w:r>
        <w:rPr>
          <w:rFonts w:hint="eastAsia"/>
          <w:sz w:val="28"/>
          <w:szCs w:val="28"/>
          <w:lang w:val="en-US" w:eastAsia="zh-CN"/>
        </w:rPr>
        <w:t>4</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lang w:val="en-US" w:eastAsia="zh-CN"/>
        </w:rPr>
        <w:t>学院</w:t>
      </w:r>
      <w:r>
        <w:rPr>
          <w:rFonts w:hint="eastAsia" w:ascii="宋体" w:hAnsi="宋体" w:cs="宋体"/>
          <w:sz w:val="24"/>
        </w:rPr>
        <w:t>需要，现拟对</w:t>
      </w:r>
      <w:r>
        <w:rPr>
          <w:rFonts w:ascii="宋体" w:hAnsi="宋体" w:eastAsia="宋体" w:cs="宋体"/>
          <w:sz w:val="24"/>
          <w:szCs w:val="24"/>
        </w:rPr>
        <w:t>兰州职业技术学院</w:t>
      </w:r>
      <w:r>
        <w:rPr>
          <w:rFonts w:hint="eastAsia" w:ascii="宋体" w:hAnsi="宋体" w:eastAsia="宋体" w:cs="宋体"/>
          <w:sz w:val="24"/>
          <w:szCs w:val="24"/>
        </w:rPr>
        <w:t>兰州职业技术学院购买教育设备项目</w:t>
      </w:r>
      <w:r>
        <w:rPr>
          <w:rFonts w:hint="eastAsia" w:ascii="宋体" w:hAnsi="宋体" w:cs="宋体"/>
          <w:sz w:val="24"/>
        </w:rPr>
        <w:t>进行询价采购。欢迎满足资格要求的供应商前来参加，具体事宜公告如下：</w:t>
      </w:r>
    </w:p>
    <w:p>
      <w:pPr>
        <w:numPr>
          <w:ilvl w:val="0"/>
          <w:numId w:val="0"/>
        </w:numPr>
        <w:spacing w:line="360" w:lineRule="auto"/>
        <w:rPr>
          <w:rFonts w:hint="default" w:ascii="宋体" w:hAnsi="宋体" w:eastAsia="宋体"/>
          <w:sz w:val="24"/>
          <w:lang w:val="en-US" w:eastAsia="zh-CN"/>
        </w:rPr>
      </w:pPr>
      <w:r>
        <w:rPr>
          <w:rFonts w:hint="eastAsia" w:ascii="宋体" w:hAnsi="宋体"/>
          <w:sz w:val="24"/>
          <w:lang w:val="en-US" w:eastAsia="zh-CN"/>
        </w:rPr>
        <w:t xml:space="preserve">    一、</w:t>
      </w:r>
      <w:r>
        <w:rPr>
          <w:rFonts w:hint="eastAsia" w:ascii="宋体" w:hAnsi="宋体"/>
          <w:sz w:val="24"/>
        </w:rPr>
        <w:t>采购项目编号：LZXJ--202</w:t>
      </w:r>
      <w:r>
        <w:rPr>
          <w:rFonts w:hint="eastAsia" w:ascii="宋体" w:hAnsi="宋体"/>
          <w:sz w:val="24"/>
          <w:lang w:val="en-US" w:eastAsia="zh-CN"/>
        </w:rPr>
        <w:t>4004</w:t>
      </w:r>
      <w:bookmarkStart w:id="13" w:name="_GoBack"/>
      <w:bookmarkEnd w:id="13"/>
    </w:p>
    <w:p>
      <w:pPr>
        <w:spacing w:line="360" w:lineRule="auto"/>
        <w:ind w:firstLine="480" w:firstLineChars="200"/>
        <w:rPr>
          <w:rFonts w:hint="eastAsia" w:ascii="宋体" w:hAnsi="宋体" w:eastAsia="宋体" w:cs="宋体"/>
          <w:sz w:val="24"/>
          <w:szCs w:val="24"/>
        </w:rPr>
      </w:pPr>
      <w:r>
        <w:rPr>
          <w:rFonts w:hint="eastAsia" w:ascii="宋体" w:hAnsi="宋体"/>
          <w:sz w:val="24"/>
        </w:rPr>
        <w:t>二、采购项目名称：</w:t>
      </w:r>
      <w:r>
        <w:rPr>
          <w:rFonts w:hint="eastAsia" w:ascii="宋体" w:hAnsi="宋体" w:eastAsia="宋体" w:cs="宋体"/>
          <w:sz w:val="24"/>
          <w:szCs w:val="24"/>
        </w:rPr>
        <w:t>兰州职业技术学院购买教育设备项目</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w:t>
      </w:r>
      <w:r>
        <w:rPr>
          <w:rFonts w:hint="eastAsia" w:ascii="宋体" w:hAnsi="宋体" w:eastAsia="宋体" w:cs="宋体"/>
          <w:sz w:val="24"/>
          <w:szCs w:val="24"/>
        </w:rPr>
        <w:t>兰州职业技术学院购买教育设备</w:t>
      </w:r>
    </w:p>
    <w:p>
      <w:pPr>
        <w:spacing w:line="360" w:lineRule="auto"/>
        <w:ind w:firstLine="480" w:firstLineChars="200"/>
        <w:rPr>
          <w:rFonts w:hint="eastAsia" w:ascii="宋体" w:hAnsi="宋体" w:eastAsia="宋体" w:cs="宋体"/>
          <w:sz w:val="24"/>
          <w:szCs w:val="24"/>
        </w:rPr>
      </w:pPr>
      <w:r>
        <w:rPr>
          <w:rFonts w:hint="eastAsia" w:ascii="宋体" w:hAnsi="宋体" w:cs="宋体"/>
          <w:sz w:val="24"/>
        </w:rPr>
        <w:t> 2、预算金额：</w:t>
      </w:r>
      <w:r>
        <w:rPr>
          <w:rFonts w:hint="eastAsia" w:ascii="宋体" w:hAnsi="宋体" w:cs="宋体"/>
          <w:sz w:val="24"/>
          <w:lang w:val="en-US" w:eastAsia="zh-CN"/>
        </w:rPr>
        <w:t>130000</w:t>
      </w:r>
      <w:r>
        <w:rPr>
          <w:rFonts w:hint="eastAsia" w:ascii="宋体" w:hAnsi="宋体" w:eastAsia="宋体" w:cs="宋体"/>
          <w:sz w:val="24"/>
          <w:szCs w:val="24"/>
        </w:rPr>
        <w:t>元</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五、资质要求（商务部分）：</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1.供应商必须符合《中华人民共和国政府采购法》第二十二条要求；</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2.供应商应是在中华人民共和国境内注册取得营业执照的独立法人或其他组织，具有相应经营范围；</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3.营业执照副本（复印件）；</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4.法人代表身份证（正、反面复印件）；</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5.法人授权函（原件）及被授权人身份证（正、反面复印件）；</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6.资格承诺函</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8.本项目不接受联合体竞价。</w:t>
      </w:r>
    </w:p>
    <w:p>
      <w:pPr>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12</w:t>
      </w:r>
      <w:r>
        <w:rPr>
          <w:rFonts w:hint="eastAsia" w:ascii="宋体" w:hAnsi="宋体"/>
          <w:color w:val="auto"/>
          <w:sz w:val="24"/>
        </w:rPr>
        <w:t>日</w:t>
      </w:r>
      <w:r>
        <w:rPr>
          <w:rFonts w:hint="eastAsia" w:ascii="宋体" w:hAnsi="宋体"/>
          <w:color w:val="auto"/>
          <w:sz w:val="24"/>
          <w:lang w:val="en-US" w:eastAsia="zh-CN"/>
        </w:rPr>
        <w:t>10:30</w:t>
      </w:r>
      <w:r>
        <w:rPr>
          <w:rFonts w:hint="eastAsia" w:ascii="宋体" w:hAnsi="宋体"/>
          <w:color w:val="auto"/>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王</w:t>
      </w:r>
      <w:r>
        <w:rPr>
          <w:rFonts w:hint="eastAsia" w:ascii="宋体" w:hAnsi="宋体"/>
          <w:sz w:val="24"/>
        </w:rPr>
        <w:t>老师</w:t>
      </w:r>
    </w:p>
    <w:p>
      <w:pPr>
        <w:spacing w:line="360" w:lineRule="auto"/>
        <w:ind w:firstLine="480" w:firstLineChars="200"/>
        <w:rPr>
          <w:rFonts w:ascii="宋体" w:hAnsi="宋体"/>
          <w:sz w:val="24"/>
        </w:rPr>
      </w:pPr>
      <w:r>
        <w:rPr>
          <w:rFonts w:hint="eastAsia" w:ascii="宋体" w:hAnsi="宋体"/>
          <w:sz w:val="24"/>
        </w:rPr>
        <w:t>电话：13659457415</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4</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lang w:val="en-US" w:eastAsia="zh-CN"/>
        </w:rPr>
        <w:t>采购</w:t>
      </w:r>
      <w:r>
        <w:rPr>
          <w:rFonts w:hint="eastAsia" w:ascii="宋体" w:hAnsi="宋体"/>
          <w:b/>
          <w:sz w:val="24"/>
        </w:rPr>
        <w:t>内容及要求</w:t>
      </w:r>
    </w:p>
    <w:tbl>
      <w:tblPr>
        <w:tblStyle w:val="19"/>
        <w:tblW w:w="9366"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7"/>
        <w:gridCol w:w="5621"/>
        <w:gridCol w:w="656"/>
        <w:gridCol w:w="2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0" w:type="auto"/>
            <w:tcBorders>
              <w:tl2br w:val="nil"/>
              <w:tr2bl w:val="nil"/>
            </w:tcBorders>
            <w:shd w:val="clear" w:color="auto" w:fill="auto"/>
          </w:tcPr>
          <w:p>
            <w:pPr>
              <w:widowControl/>
              <w:jc w:val="left"/>
              <w:textAlignment w:val="top"/>
              <w:rPr>
                <w:rFonts w:ascii="宋体" w:hAnsi="宋体" w:eastAsia="宋体" w:cs="宋体"/>
                <w:b w:val="0"/>
                <w:bCs w:val="0"/>
                <w:color w:val="000000"/>
                <w:sz w:val="20"/>
                <w:szCs w:val="20"/>
              </w:rPr>
            </w:pPr>
            <w:r>
              <w:rPr>
                <w:rFonts w:hint="eastAsia" w:ascii="宋体" w:hAnsi="宋体" w:eastAsia="宋体" w:cs="宋体"/>
                <w:b w:val="0"/>
                <w:bCs w:val="0"/>
                <w:color w:val="000000"/>
                <w:kern w:val="0"/>
                <w:sz w:val="20"/>
                <w:szCs w:val="20"/>
                <w:lang w:bidi="ar"/>
              </w:rPr>
              <w:t>名称</w:t>
            </w:r>
          </w:p>
        </w:tc>
        <w:tc>
          <w:tcPr>
            <w:tcW w:w="0" w:type="auto"/>
            <w:tcBorders>
              <w:tl2br w:val="nil"/>
              <w:tr2bl w:val="nil"/>
            </w:tcBorders>
            <w:shd w:val="clear" w:color="auto" w:fill="auto"/>
            <w:noWrap/>
            <w:vAlign w:val="center"/>
          </w:tcPr>
          <w:p>
            <w:pPr>
              <w:widowControl/>
              <w:jc w:val="left"/>
              <w:textAlignment w:val="center"/>
              <w:rPr>
                <w:rFonts w:ascii="宋体" w:hAnsi="宋体" w:eastAsia="宋体" w:cs="宋体"/>
                <w:b w:val="0"/>
                <w:bCs w:val="0"/>
                <w:color w:val="000000"/>
                <w:sz w:val="20"/>
                <w:szCs w:val="20"/>
              </w:rPr>
            </w:pPr>
            <w:r>
              <w:rPr>
                <w:rFonts w:hint="eastAsia" w:ascii="宋体" w:hAnsi="宋体" w:eastAsia="宋体" w:cs="宋体"/>
                <w:b w:val="0"/>
                <w:bCs w:val="0"/>
                <w:color w:val="000000"/>
                <w:kern w:val="0"/>
                <w:sz w:val="20"/>
                <w:szCs w:val="20"/>
                <w:lang w:bidi="ar"/>
              </w:rPr>
              <w:t>参数</w:t>
            </w:r>
          </w:p>
        </w:tc>
        <w:tc>
          <w:tcPr>
            <w:tcW w:w="0" w:type="auto"/>
            <w:tcBorders>
              <w:tl2br w:val="nil"/>
              <w:tr2bl w:val="nil"/>
            </w:tcBorders>
            <w:shd w:val="clear" w:color="auto" w:fill="auto"/>
            <w:noWrap/>
          </w:tcPr>
          <w:p>
            <w:pPr>
              <w:widowControl/>
              <w:jc w:val="center"/>
              <w:textAlignment w:val="top"/>
              <w:rPr>
                <w:rFonts w:ascii="宋体" w:hAnsi="宋体" w:eastAsia="宋体" w:cs="宋体"/>
                <w:b w:val="0"/>
                <w:bCs w:val="0"/>
                <w:color w:val="000000"/>
                <w:sz w:val="22"/>
                <w:szCs w:val="22"/>
              </w:rPr>
            </w:pPr>
            <w:r>
              <w:rPr>
                <w:rFonts w:hint="eastAsia" w:ascii="宋体" w:hAnsi="宋体" w:eastAsia="宋体" w:cs="宋体"/>
                <w:b w:val="0"/>
                <w:bCs w:val="0"/>
                <w:color w:val="000000"/>
                <w:kern w:val="0"/>
                <w:sz w:val="22"/>
                <w:szCs w:val="22"/>
                <w:lang w:bidi="ar"/>
              </w:rPr>
              <w:t>数量</w:t>
            </w:r>
          </w:p>
        </w:tc>
        <w:tc>
          <w:tcPr>
            <w:tcW w:w="2262" w:type="dxa"/>
            <w:tcBorders>
              <w:tl2br w:val="nil"/>
              <w:tr2bl w:val="nil"/>
            </w:tcBorders>
            <w:shd w:val="clear" w:color="auto" w:fill="auto"/>
            <w:noWrap/>
            <w:vAlign w:val="center"/>
          </w:tcPr>
          <w:p>
            <w:pPr>
              <w:widowControl/>
              <w:jc w:val="center"/>
              <w:textAlignment w:val="center"/>
              <w:rPr>
                <w:rFonts w:ascii="宋体" w:hAnsi="宋体" w:eastAsia="宋体" w:cs="宋体"/>
                <w:b w:val="0"/>
                <w:bCs w:val="0"/>
                <w:color w:val="000000"/>
                <w:sz w:val="22"/>
                <w:szCs w:val="22"/>
              </w:rPr>
            </w:pPr>
            <w:r>
              <w:rPr>
                <w:rFonts w:hint="eastAsia" w:ascii="宋体" w:hAnsi="宋体" w:eastAsia="宋体" w:cs="宋体"/>
                <w:b w:val="0"/>
                <w:bCs w:val="0"/>
                <w:color w:val="000000"/>
                <w:kern w:val="0"/>
                <w:sz w:val="22"/>
                <w:szCs w:val="22"/>
                <w:lang w:bidi="ar"/>
              </w:rPr>
              <w:t>设备参考图片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1、调频机</w:t>
            </w:r>
          </w:p>
        </w:tc>
        <w:tc>
          <w:tcPr>
            <w:tcW w:w="0" w:type="auto"/>
            <w:tcBorders>
              <w:tl2br w:val="nil"/>
              <w:tr2bl w:val="nil"/>
            </w:tcBorders>
            <w:shd w:val="clear" w:color="auto" w:fill="auto"/>
          </w:tcPr>
          <w:p>
            <w:pPr>
              <w:widowControl/>
              <w:numPr>
                <w:ilvl w:val="0"/>
                <w:numId w:val="2"/>
              </w:numPr>
              <w:jc w:val="left"/>
              <w:textAlignment w:val="top"/>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发射功率：根据实际需求配置，满足考场全覆盖 ；（提供无线电发射设备型号核准证复印件或工业和信息化部网上查询截图）</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2.频率：定制可调；供电电源：AC220V；</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3.环境温度：5℃～40℃。3.1.2相对湿度∶&lt;95%（不结露）；海拔高度∶≤2000米；残波辐射：小于1mW ，低于载波功率60dB；载波频率允许偏差：50W以下≤±2000Hz ；寄生调幅噪声∶&lt;-50dB（无调制）；功率允许偏差：发射机额定功率标称值100%时，运行时允许在±10%以内；失真∶总失真在100%调制下小于0.5%；频率响应∶400Hz音频信号调制时，在不加重和不去重的情况下，音频通道的频率响应在±0.5dB 之内；在加重和去加重的情况下，音频通道的总频率响应应在士1dB之内；信噪比∶音频信号频率为1kHz、100%调制时，信噪比大于 60dB。射频输出阻抗：50Ω；</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  后面板不少于1路RAC左右声道莲花头输入插孔，可直接连接音频播放设备。（提供实物照片佐证）</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  前面板不少于1路6.5MM话筒输入插孔和1路6.5MM音频输入接口，可插入无源话筒播音，并且有对应话筒音量调节旋钮和输入音量调节旋钮；（提供实物照片佐证）</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  机器内部采用铝合金散热片和低速扇散热设计，降低机器噪声，便于考试监听。（提供实物照片佐证）</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  前面板音频输入插孔需具备优先执行功能，便于在紧急需要更换其他音频播放设备时，直接插入前端即可优先播放，无需暂停或断开之前连接的设备；(提供国家知识产权局出具的技术证明材料）</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  采用限幅低频放大电路，使输入音量自动均衡，因考试时无提前调试考试光碟音量的时间，此技术可避免音量过大或过小。(提供国家知识产权局出具的技术证明材料）</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  前后面板全中文界面，一键开机工作，无初使设置，开机无延时；</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  针孔式频率调节按钮，防止误操作；（提供实物照片并加以说明）</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11.  前面板需有单独的频率显示窗口和单独的左声道和右声道输出声音频率大小反馈窗口；（提供开机播音状态图片证明，可分别反馈左、右声道音量变化）</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12.  提供检验依据为GY/T 169-2001《米波调频广播发射机技术要求和测量方法》、《无线广播电视发射设备产品生产许可证实施细则》的检验报告首页加盖制造商公章。</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13.  提供《全国工业品生产许可证》</w:t>
            </w:r>
          </w:p>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14.  提供《广播电视设备器材入网认定》</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15.  提供供应商《无线电发射设备销售备案》网上查询截图。</w:t>
            </w: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bdr w:val="single" w:color="000000" w:sz="4" w:space="0"/>
              </w:rPr>
              <w:drawing>
                <wp:anchor distT="0" distB="0" distL="114300" distR="114300" simplePos="0" relativeHeight="251659264" behindDoc="0" locked="0" layoutInCell="1" allowOverlap="1">
                  <wp:simplePos x="0" y="0"/>
                  <wp:positionH relativeFrom="column">
                    <wp:posOffset>-1270</wp:posOffset>
                  </wp:positionH>
                  <wp:positionV relativeFrom="paragraph">
                    <wp:posOffset>517525</wp:posOffset>
                  </wp:positionV>
                  <wp:extent cx="1283970" cy="763270"/>
                  <wp:effectExtent l="0" t="0" r="11430" b="13970"/>
                  <wp:wrapNone/>
                  <wp:docPr id="6" name="图片_8"/>
                  <wp:cNvGraphicFramePr/>
                  <a:graphic xmlns:a="http://schemas.openxmlformats.org/drawingml/2006/main">
                    <a:graphicData uri="http://schemas.openxmlformats.org/drawingml/2006/picture">
                      <pic:pic xmlns:pic="http://schemas.openxmlformats.org/drawingml/2006/picture">
                        <pic:nvPicPr>
                          <pic:cNvPr id="6" name="图片_8"/>
                          <pic:cNvPicPr/>
                        </pic:nvPicPr>
                        <pic:blipFill>
                          <a:blip r:embed="rId4"/>
                          <a:stretch>
                            <a:fillRect/>
                          </a:stretch>
                        </pic:blipFill>
                        <pic:spPr>
                          <a:xfrm>
                            <a:off x="0" y="0"/>
                            <a:ext cx="1283970" cy="763270"/>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6"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2、天线</w:t>
            </w:r>
          </w:p>
        </w:tc>
        <w:tc>
          <w:tcPr>
            <w:tcW w:w="0" w:type="auto"/>
            <w:tcBorders>
              <w:tl2br w:val="nil"/>
              <w:tr2bl w:val="nil"/>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1.振子材质：304不锈钢；</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2.驻波比≤1.10；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3.功率容量≥1kW；</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  天线振子有防水设计。（提供天线图片并加以说明）</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5.天线桅杆需可伸缩，便于调试天线高度。</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6.天线阻抗：50Ω</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7.天线增益：≥1.64dB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8.天线形式：丁字形半波偶极子垂直极化天线</w:t>
            </w: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bdr w:val="single" w:color="000000" w:sz="4" w:space="0"/>
              </w:rPr>
              <w:drawing>
                <wp:anchor distT="0" distB="0" distL="114300" distR="114300" simplePos="0" relativeHeight="251660288" behindDoc="0" locked="0" layoutInCell="1" allowOverlap="1">
                  <wp:simplePos x="0" y="0"/>
                  <wp:positionH relativeFrom="column">
                    <wp:posOffset>102870</wp:posOffset>
                  </wp:positionH>
                  <wp:positionV relativeFrom="paragraph">
                    <wp:posOffset>422275</wp:posOffset>
                  </wp:positionV>
                  <wp:extent cx="1191260" cy="1323975"/>
                  <wp:effectExtent l="0" t="0" r="12700" b="1905"/>
                  <wp:wrapNone/>
                  <wp:docPr id="9" name="图片_9"/>
                  <wp:cNvGraphicFramePr/>
                  <a:graphic xmlns:a="http://schemas.openxmlformats.org/drawingml/2006/main">
                    <a:graphicData uri="http://schemas.openxmlformats.org/drawingml/2006/picture">
                      <pic:pic xmlns:pic="http://schemas.openxmlformats.org/drawingml/2006/picture">
                        <pic:nvPicPr>
                          <pic:cNvPr id="9" name="图片_9"/>
                          <pic:cNvPicPr/>
                        </pic:nvPicPr>
                        <pic:blipFill>
                          <a:blip r:embed="rId5"/>
                          <a:stretch>
                            <a:fillRect/>
                          </a:stretch>
                        </pic:blipFill>
                        <pic:spPr>
                          <a:xfrm>
                            <a:off x="0" y="0"/>
                            <a:ext cx="1191260" cy="1323975"/>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0" w:hRule="atLeast"/>
        </w:trPr>
        <w:tc>
          <w:tcPr>
            <w:tcW w:w="0" w:type="auto"/>
            <w:tcBorders>
              <w:tl2br w:val="nil"/>
              <w:tr2bl w:val="nil"/>
            </w:tcBorders>
            <w:shd w:val="clear" w:color="auto" w:fill="auto"/>
          </w:tcPr>
          <w:p>
            <w:pPr>
              <w:widowControl/>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3、馈线</w:t>
            </w:r>
          </w:p>
        </w:tc>
        <w:tc>
          <w:tcPr>
            <w:tcW w:w="0" w:type="auto"/>
            <w:tcBorders>
              <w:tl2br w:val="nil"/>
              <w:tr2bl w:val="nil"/>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内导体规格mm：7/0.75铜</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绝缘外径mm：7.25±0.25</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外导体编制密度：≥90%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护套外径mm：11.00±0.30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连续使用最高交流电压（峰值）kV：6.5</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单项脉冲工作最大电压（峰值）kV：13.0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灭晕电压（有效值）≥kV：5.0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绝缘电阻≥MΩ·km:10000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特性阻抗：50±2Ω</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最小弯曲半径mm： 室外100 室内50；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屏蔽衰减:60dB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标称衰减：200MHz  ≦0.095dB/m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绝缘最薄厚度：不小于2.0mm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护套最薄厚度：不小于0.85mm</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 馈线长度：标配25米，根据实际所需配备，两端带N型连接头。</w:t>
            </w: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bdr w:val="single" w:color="000000" w:sz="4" w:space="0"/>
              </w:rPr>
              <w:drawing>
                <wp:anchor distT="0" distB="0" distL="114300" distR="114300" simplePos="0" relativeHeight="251661312" behindDoc="0" locked="0" layoutInCell="1" allowOverlap="1">
                  <wp:simplePos x="0" y="0"/>
                  <wp:positionH relativeFrom="column">
                    <wp:posOffset>90170</wp:posOffset>
                  </wp:positionH>
                  <wp:positionV relativeFrom="paragraph">
                    <wp:posOffset>955040</wp:posOffset>
                  </wp:positionV>
                  <wp:extent cx="1247140" cy="1090295"/>
                  <wp:effectExtent l="0" t="0" r="2540" b="6985"/>
                  <wp:wrapNone/>
                  <wp:docPr id="3" name="图片_11"/>
                  <wp:cNvGraphicFramePr/>
                  <a:graphic xmlns:a="http://schemas.openxmlformats.org/drawingml/2006/main">
                    <a:graphicData uri="http://schemas.openxmlformats.org/drawingml/2006/picture">
                      <pic:pic xmlns:pic="http://schemas.openxmlformats.org/drawingml/2006/picture">
                        <pic:nvPicPr>
                          <pic:cNvPr id="3" name="图片_11"/>
                          <pic:cNvPicPr/>
                        </pic:nvPicPr>
                        <pic:blipFill>
                          <a:blip r:embed="rId6"/>
                          <a:stretch>
                            <a:fillRect/>
                          </a:stretch>
                        </pic:blipFill>
                        <pic:spPr>
                          <a:xfrm>
                            <a:off x="0" y="0"/>
                            <a:ext cx="1247140" cy="1090295"/>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6"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4、避雷器</w:t>
            </w:r>
          </w:p>
        </w:tc>
        <w:tc>
          <w:tcPr>
            <w:tcW w:w="0" w:type="auto"/>
            <w:tcBorders>
              <w:tl2br w:val="nil"/>
              <w:tr2bl w:val="nil"/>
            </w:tcBorders>
            <w:shd w:val="clear" w:color="auto" w:fill="auto"/>
            <w:vAlign w:val="center"/>
          </w:tcPr>
          <w:p>
            <w:pPr>
              <w:widowControl/>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与天线安装架配套，底部与天线杆连接。回波损耗：﹤-28dB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插入损耗：﹤0.1dB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输入输出阻抗：50Ω</w:t>
            </w:r>
          </w:p>
          <w:p>
            <w:pPr>
              <w:pStyle w:val="44"/>
              <w:rPr>
                <w:rFonts w:hint="eastAsia" w:ascii="仿宋" w:hAnsi="仿宋" w:eastAsia="仿宋" w:cs="仿宋"/>
                <w:color w:val="000000"/>
                <w:sz w:val="21"/>
                <w:szCs w:val="21"/>
                <w:lang w:bidi="ar"/>
              </w:rPr>
            </w:pPr>
          </w:p>
          <w:p>
            <w:pPr>
              <w:pStyle w:val="8"/>
              <w:rPr>
                <w:rFonts w:hint="eastAsia" w:ascii="仿宋" w:hAnsi="仿宋" w:eastAsia="仿宋" w:cs="仿宋"/>
                <w:color w:val="000000"/>
                <w:kern w:val="0"/>
                <w:sz w:val="21"/>
                <w:szCs w:val="21"/>
                <w:lang w:bidi="ar"/>
              </w:rPr>
            </w:pPr>
          </w:p>
          <w:p>
            <w:pPr>
              <w:rPr>
                <w:rFonts w:hint="eastAsia" w:ascii="仿宋" w:hAnsi="仿宋" w:eastAsia="仿宋" w:cs="仿宋"/>
                <w:color w:val="000000"/>
                <w:kern w:val="0"/>
                <w:sz w:val="21"/>
                <w:szCs w:val="21"/>
                <w:lang w:bidi="ar"/>
              </w:rPr>
            </w:pPr>
          </w:p>
          <w:p>
            <w:pPr>
              <w:pStyle w:val="8"/>
              <w:rPr>
                <w:rFonts w:hint="eastAsia" w:ascii="仿宋" w:hAnsi="仿宋" w:eastAsia="仿宋" w:cs="仿宋"/>
                <w:sz w:val="21"/>
                <w:szCs w:val="21"/>
              </w:rPr>
            </w:pP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bdr w:val="single" w:color="000000" w:sz="4" w:space="0"/>
              </w:rPr>
              <w:drawing>
                <wp:anchor distT="0" distB="0" distL="114300" distR="114300" simplePos="0" relativeHeight="251662336" behindDoc="0" locked="0" layoutInCell="1" allowOverlap="1">
                  <wp:simplePos x="0" y="0"/>
                  <wp:positionH relativeFrom="column">
                    <wp:posOffset>175895</wp:posOffset>
                  </wp:positionH>
                  <wp:positionV relativeFrom="paragraph">
                    <wp:posOffset>570230</wp:posOffset>
                  </wp:positionV>
                  <wp:extent cx="876300" cy="876300"/>
                  <wp:effectExtent l="0" t="0" r="7620" b="7620"/>
                  <wp:wrapNone/>
                  <wp:docPr id="7" name="图片_12"/>
                  <wp:cNvGraphicFramePr/>
                  <a:graphic xmlns:a="http://schemas.openxmlformats.org/drawingml/2006/main">
                    <a:graphicData uri="http://schemas.openxmlformats.org/drawingml/2006/picture">
                      <pic:pic xmlns:pic="http://schemas.openxmlformats.org/drawingml/2006/picture">
                        <pic:nvPicPr>
                          <pic:cNvPr id="7" name="图片_12"/>
                          <pic:cNvPicPr/>
                        </pic:nvPicPr>
                        <pic:blipFill>
                          <a:blip r:embed="rId7"/>
                          <a:stretch>
                            <a:fillRect/>
                          </a:stretch>
                        </pic:blipFill>
                        <pic:spPr>
                          <a:xfrm>
                            <a:off x="0" y="0"/>
                            <a:ext cx="876300" cy="876300"/>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6"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5、听力播放设备应急切换及</w:t>
            </w:r>
          </w:p>
        </w:tc>
        <w:tc>
          <w:tcPr>
            <w:tcW w:w="0" w:type="auto"/>
            <w:tcBorders>
              <w:tl2br w:val="nil"/>
              <w:tr2bl w:val="nil"/>
            </w:tcBorders>
            <w:shd w:val="clear" w:color="auto" w:fill="auto"/>
            <w:vAlign w:val="center"/>
          </w:tcPr>
          <w:p>
            <w:pPr>
              <w:spacing w:before="103" w:line="209" w:lineRule="exact"/>
              <w:jc w:val="left"/>
              <w:rPr>
                <w:rFonts w:hint="eastAsia" w:ascii="仿宋" w:hAnsi="仿宋" w:eastAsia="仿宋" w:cs="仿宋"/>
                <w:color w:val="000000"/>
                <w:spacing w:val="-3"/>
                <w:sz w:val="21"/>
                <w:szCs w:val="21"/>
              </w:rPr>
            </w:pPr>
            <w:r>
              <w:rPr>
                <w:rFonts w:hint="eastAsia" w:ascii="仿宋" w:hAnsi="仿宋" w:eastAsia="仿宋" w:cs="仿宋"/>
                <w:color w:val="000000"/>
                <w:spacing w:val="-3"/>
                <w:sz w:val="21"/>
                <w:szCs w:val="21"/>
              </w:rPr>
              <w:t>1、后面板可接入不少于3台音源播放设备的电源（如电脑、DVD、智能定时MP3播控机等），并且为持续供电，确保3路音频可以同时通电工作。</w:t>
            </w:r>
          </w:p>
          <w:p>
            <w:pPr>
              <w:spacing w:before="103" w:line="209" w:lineRule="exact"/>
              <w:jc w:val="left"/>
              <w:rPr>
                <w:rFonts w:hint="eastAsia" w:ascii="仿宋" w:hAnsi="仿宋" w:eastAsia="仿宋" w:cs="仿宋"/>
                <w:color w:val="000000"/>
                <w:spacing w:val="-3"/>
                <w:sz w:val="21"/>
                <w:szCs w:val="21"/>
              </w:rPr>
            </w:pPr>
            <w:r>
              <w:rPr>
                <w:rFonts w:hint="eastAsia" w:ascii="仿宋" w:hAnsi="仿宋" w:eastAsia="仿宋" w:cs="仿宋"/>
                <w:color w:val="000000"/>
                <w:spacing w:val="-3"/>
                <w:sz w:val="21"/>
                <w:szCs w:val="21"/>
              </w:rPr>
              <w:t>2、后面板可接入不少于</w:t>
            </w:r>
            <w:r>
              <w:rPr>
                <w:rFonts w:hint="eastAsia" w:ascii="仿宋" w:hAnsi="仿宋" w:eastAsia="仿宋" w:cs="仿宋"/>
                <w:color w:val="000000"/>
                <w:sz w:val="21"/>
                <w:szCs w:val="21"/>
              </w:rPr>
              <w:t xml:space="preserve"> 3</w:t>
            </w:r>
            <w:r>
              <w:rPr>
                <w:rFonts w:hint="eastAsia" w:ascii="仿宋" w:hAnsi="仿宋" w:eastAsia="仿宋" w:cs="仿宋"/>
                <w:color w:val="000000"/>
                <w:spacing w:val="1"/>
                <w:sz w:val="21"/>
                <w:szCs w:val="21"/>
              </w:rPr>
              <w:t xml:space="preserve"> </w:t>
            </w:r>
            <w:r>
              <w:rPr>
                <w:rFonts w:hint="eastAsia" w:ascii="仿宋" w:hAnsi="仿宋" w:eastAsia="仿宋" w:cs="仿宋"/>
                <w:color w:val="000000"/>
                <w:spacing w:val="-2"/>
                <w:sz w:val="21"/>
                <w:szCs w:val="21"/>
              </w:rPr>
              <w:t>台调频广播发射机的电源，并且发</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机电源为互斥式，确保受控时，只有一路通电。每路电源插孔</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必须为一个 2</w:t>
            </w:r>
            <w:r>
              <w:rPr>
                <w:rFonts w:hint="eastAsia" w:ascii="仿宋" w:hAnsi="仿宋" w:eastAsia="仿宋" w:cs="仿宋"/>
                <w:color w:val="000000"/>
                <w:spacing w:val="1"/>
                <w:sz w:val="21"/>
                <w:szCs w:val="21"/>
              </w:rPr>
              <w:t xml:space="preserve"> </w:t>
            </w:r>
            <w:r>
              <w:rPr>
                <w:rFonts w:hint="eastAsia" w:ascii="仿宋" w:hAnsi="仿宋" w:eastAsia="仿宋" w:cs="仿宋"/>
                <w:color w:val="000000"/>
                <w:spacing w:val="-1"/>
                <w:sz w:val="21"/>
                <w:szCs w:val="21"/>
              </w:rPr>
              <w:t>项和</w:t>
            </w:r>
            <w:r>
              <w:rPr>
                <w:rFonts w:hint="eastAsia" w:ascii="仿宋" w:hAnsi="仿宋" w:eastAsia="仿宋" w:cs="仿宋"/>
                <w:color w:val="000000"/>
                <w:sz w:val="21"/>
                <w:szCs w:val="21"/>
              </w:rPr>
              <w:t xml:space="preserve"> 1</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个三项的国标插座；</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8"/>
                <w:sz w:val="21"/>
                <w:szCs w:val="21"/>
              </w:rPr>
              <w:t>3、后面板有不少于</w:t>
            </w:r>
            <w:r>
              <w:rPr>
                <w:rFonts w:hint="eastAsia" w:ascii="仿宋" w:hAnsi="仿宋" w:eastAsia="仿宋" w:cs="仿宋"/>
                <w:color w:val="000000"/>
                <w:spacing w:val="8"/>
                <w:sz w:val="21"/>
                <w:szCs w:val="21"/>
              </w:rPr>
              <w:t xml:space="preserve"> </w:t>
            </w:r>
            <w:r>
              <w:rPr>
                <w:rFonts w:hint="eastAsia" w:ascii="仿宋" w:hAnsi="仿宋" w:eastAsia="仿宋" w:cs="仿宋"/>
                <w:color w:val="000000"/>
                <w:sz w:val="21"/>
                <w:szCs w:val="21"/>
              </w:rPr>
              <w:t>3</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组 6</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 xml:space="preserve">个 </w:t>
            </w:r>
            <w:r>
              <w:rPr>
                <w:rFonts w:hint="eastAsia" w:ascii="仿宋" w:hAnsi="仿宋" w:eastAsia="仿宋" w:cs="仿宋"/>
                <w:color w:val="000000"/>
                <w:spacing w:val="1"/>
                <w:sz w:val="21"/>
                <w:szCs w:val="21"/>
              </w:rPr>
              <w:t>RAC</w:t>
            </w:r>
            <w:r>
              <w:rPr>
                <w:rFonts w:hint="eastAsia" w:ascii="仿宋" w:hAnsi="仿宋" w:eastAsia="仿宋" w:cs="仿宋"/>
                <w:color w:val="000000"/>
                <w:spacing w:val="-2"/>
                <w:sz w:val="21"/>
                <w:szCs w:val="21"/>
              </w:rPr>
              <w:t xml:space="preserve"> </w:t>
            </w:r>
            <w:r>
              <w:rPr>
                <w:rFonts w:hint="eastAsia" w:ascii="仿宋" w:hAnsi="仿宋" w:eastAsia="仿宋" w:cs="仿宋"/>
                <w:color w:val="000000"/>
                <w:sz w:val="21"/>
                <w:szCs w:val="21"/>
              </w:rPr>
              <w:t>莲花头左右声道音频输入孔和3</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组 6</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 xml:space="preserve">个 </w:t>
            </w:r>
            <w:r>
              <w:rPr>
                <w:rFonts w:hint="eastAsia" w:ascii="仿宋" w:hAnsi="仿宋" w:eastAsia="仿宋" w:cs="仿宋"/>
                <w:color w:val="000000"/>
                <w:spacing w:val="1"/>
                <w:sz w:val="21"/>
                <w:szCs w:val="21"/>
              </w:rPr>
              <w:t>RAC</w:t>
            </w:r>
            <w:r>
              <w:rPr>
                <w:rFonts w:hint="eastAsia" w:ascii="仿宋" w:hAnsi="仿宋" w:eastAsia="仿宋" w:cs="仿宋"/>
                <w:color w:val="000000"/>
                <w:spacing w:val="-2"/>
                <w:sz w:val="21"/>
                <w:szCs w:val="21"/>
              </w:rPr>
              <w:t xml:space="preserve"> </w:t>
            </w:r>
            <w:r>
              <w:rPr>
                <w:rFonts w:hint="eastAsia" w:ascii="仿宋" w:hAnsi="仿宋" w:eastAsia="仿宋" w:cs="仿宋"/>
                <w:color w:val="000000"/>
                <w:sz w:val="21"/>
                <w:szCs w:val="21"/>
              </w:rPr>
              <w:t>莲花头左右声道音频输出孔。</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3"/>
                <w:sz w:val="21"/>
                <w:szCs w:val="21"/>
              </w:rPr>
              <w:t>4、前面板上有音频信号一键全关按键和调频发射机电源一键全</w:t>
            </w:r>
            <w:r>
              <w:rPr>
                <w:rFonts w:hint="eastAsia" w:ascii="仿宋" w:hAnsi="仿宋" w:eastAsia="仿宋" w:cs="仿宋"/>
                <w:color w:val="000000"/>
                <w:sz w:val="21"/>
                <w:szCs w:val="21"/>
              </w:rPr>
              <w:t>关按键，便于一键断开所有音频和调频广播发射机电源，无需逐一关闭所受控设备。</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4"/>
                <w:sz w:val="21"/>
                <w:szCs w:val="21"/>
              </w:rPr>
              <w:t>5、前面板有不少于</w:t>
            </w:r>
            <w:r>
              <w:rPr>
                <w:rFonts w:hint="eastAsia" w:ascii="仿宋" w:hAnsi="仿宋" w:eastAsia="仿宋" w:cs="仿宋"/>
                <w:color w:val="000000"/>
                <w:spacing w:val="4"/>
                <w:sz w:val="21"/>
                <w:szCs w:val="21"/>
              </w:rPr>
              <w:t xml:space="preserve"> </w:t>
            </w:r>
            <w:r>
              <w:rPr>
                <w:rFonts w:hint="eastAsia" w:ascii="仿宋" w:hAnsi="仿宋" w:eastAsia="仿宋" w:cs="仿宋"/>
                <w:color w:val="000000"/>
                <w:sz w:val="21"/>
                <w:szCs w:val="21"/>
              </w:rPr>
              <w:t>3</w:t>
            </w:r>
            <w:r>
              <w:rPr>
                <w:rFonts w:hint="eastAsia" w:ascii="仿宋" w:hAnsi="仿宋" w:eastAsia="仿宋" w:cs="仿宋"/>
                <w:color w:val="000000"/>
                <w:spacing w:val="-1"/>
                <w:sz w:val="21"/>
                <w:szCs w:val="21"/>
              </w:rPr>
              <w:t xml:space="preserve"> </w:t>
            </w:r>
            <w:r>
              <w:rPr>
                <w:rFonts w:hint="eastAsia" w:ascii="仿宋" w:hAnsi="仿宋" w:eastAsia="仿宋" w:cs="仿宋"/>
                <w:color w:val="000000"/>
                <w:spacing w:val="-3"/>
                <w:sz w:val="21"/>
                <w:szCs w:val="21"/>
              </w:rPr>
              <w:t>路音频控制按键，和不少于</w:t>
            </w:r>
            <w:r>
              <w:rPr>
                <w:rFonts w:hint="eastAsia" w:ascii="仿宋" w:hAnsi="仿宋" w:eastAsia="仿宋" w:cs="仿宋"/>
                <w:color w:val="000000"/>
                <w:spacing w:val="3"/>
                <w:sz w:val="21"/>
                <w:szCs w:val="21"/>
              </w:rPr>
              <w:t xml:space="preserve"> </w:t>
            </w:r>
            <w:r>
              <w:rPr>
                <w:rFonts w:hint="eastAsia" w:ascii="仿宋" w:hAnsi="仿宋" w:eastAsia="仿宋" w:cs="仿宋"/>
                <w:color w:val="000000"/>
                <w:sz w:val="21"/>
                <w:szCs w:val="21"/>
              </w:rPr>
              <w:t>3</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路发射机控制按键，该控制按键必须为互斥式开关，始终保持一路音源播放和一路发射设备工作，不会重音，不会同频干扰；</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6、各按键上方均有对应的工作状态指示灯；</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3"/>
                <w:sz w:val="21"/>
                <w:szCs w:val="21"/>
              </w:rPr>
              <w:t>7、设备内部也必须为主备双路保障设计，音频控制和发射机控制按键必须为双路，当一路发生故障，可以切换到另一路控制，</w:t>
            </w:r>
            <w:r>
              <w:rPr>
                <w:rFonts w:hint="eastAsia" w:ascii="仿宋" w:hAnsi="仿宋" w:eastAsia="仿宋" w:cs="仿宋"/>
                <w:color w:val="000000"/>
                <w:sz w:val="21"/>
                <w:szCs w:val="21"/>
              </w:rPr>
              <w:t>有单独的双路控制切换按键。</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6"/>
                <w:sz w:val="21"/>
                <w:szCs w:val="21"/>
              </w:rPr>
              <w:t>8、无需在设备上预制程序，也不通过电脑等外接设备设置程序。</w:t>
            </w:r>
            <w:r>
              <w:rPr>
                <w:rFonts w:hint="eastAsia" w:ascii="仿宋" w:hAnsi="仿宋" w:eastAsia="仿宋" w:cs="仿宋"/>
                <w:color w:val="000000"/>
                <w:spacing w:val="-1"/>
                <w:sz w:val="21"/>
                <w:szCs w:val="21"/>
              </w:rPr>
              <w:t>仅需</w:t>
            </w:r>
            <w:r>
              <w:rPr>
                <w:rFonts w:hint="eastAsia" w:ascii="仿宋" w:hAnsi="仿宋" w:eastAsia="仿宋" w:cs="仿宋"/>
                <w:color w:val="000000"/>
                <w:sz w:val="21"/>
                <w:szCs w:val="21"/>
              </w:rPr>
              <w:t xml:space="preserve"> 1</w:t>
            </w:r>
            <w:r>
              <w:rPr>
                <w:rFonts w:hint="eastAsia" w:ascii="仿宋" w:hAnsi="仿宋" w:eastAsia="仿宋" w:cs="仿宋"/>
                <w:color w:val="000000"/>
                <w:spacing w:val="1"/>
                <w:sz w:val="21"/>
                <w:szCs w:val="21"/>
              </w:rPr>
              <w:t xml:space="preserve"> </w:t>
            </w:r>
            <w:r>
              <w:rPr>
                <w:rFonts w:hint="eastAsia" w:ascii="仿宋" w:hAnsi="仿宋" w:eastAsia="仿宋" w:cs="仿宋"/>
                <w:color w:val="000000"/>
                <w:sz w:val="21"/>
                <w:szCs w:val="21"/>
              </w:rPr>
              <w:t>键就可以实现主备音源设备和主备发射机设备的任意选择切换。不得有音量调节，声音混合、分区控制等功能。</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pacing w:val="-3"/>
                <w:sz w:val="21"/>
                <w:szCs w:val="21"/>
              </w:rPr>
              <w:t>9、各路控制按键带有记忆功能，断电开启后自动记忆上次关闭</w:t>
            </w:r>
            <w:r>
              <w:rPr>
                <w:rFonts w:hint="eastAsia" w:ascii="仿宋" w:hAnsi="仿宋" w:eastAsia="仿宋" w:cs="仿宋"/>
                <w:color w:val="000000"/>
                <w:sz w:val="21"/>
                <w:szCs w:val="21"/>
              </w:rPr>
              <w:t>前的选择。</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 xml:space="preserve">10、提供依据 </w:t>
            </w:r>
            <w:r>
              <w:rPr>
                <w:rFonts w:hint="eastAsia" w:ascii="仿宋" w:hAnsi="仿宋" w:eastAsia="仿宋" w:cs="仿宋"/>
                <w:color w:val="000000"/>
                <w:spacing w:val="-1"/>
                <w:sz w:val="21"/>
                <w:szCs w:val="21"/>
              </w:rPr>
              <w:t>GB8898-2011《音频、视频及类似电子设备</w:t>
            </w:r>
            <w:r>
              <w:rPr>
                <w:rFonts w:hint="eastAsia" w:ascii="仿宋" w:hAnsi="仿宋" w:eastAsia="仿宋" w:cs="仿宋"/>
                <w:color w:val="000000"/>
                <w:spacing w:val="51"/>
                <w:sz w:val="21"/>
                <w:szCs w:val="21"/>
              </w:rPr>
              <w:t xml:space="preserve"> </w:t>
            </w:r>
            <w:r>
              <w:rPr>
                <w:rFonts w:hint="eastAsia" w:ascii="仿宋" w:hAnsi="仿宋" w:eastAsia="仿宋" w:cs="仿宋"/>
                <w:color w:val="000000"/>
                <w:sz w:val="21"/>
                <w:szCs w:val="21"/>
              </w:rPr>
              <w:t>安全要求》检验报告</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14、提供听力播放设备应急切换机软件登记证书；</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15、提供听力播放设备应急切换机品实用新型专利证书或发</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明人技术使用授权证书。</w:t>
            </w:r>
          </w:p>
          <w:p>
            <w:pPr>
              <w:spacing w:before="103" w:line="209" w:lineRule="exact"/>
              <w:jc w:val="left"/>
              <w:rPr>
                <w:rFonts w:hint="eastAsia" w:ascii="仿宋" w:hAnsi="仿宋" w:eastAsia="仿宋" w:cs="仿宋"/>
                <w:color w:val="000000"/>
                <w:sz w:val="21"/>
                <w:szCs w:val="21"/>
              </w:rPr>
            </w:pPr>
            <w:r>
              <w:rPr>
                <w:rFonts w:hint="eastAsia" w:ascii="仿宋" w:hAnsi="仿宋" w:eastAsia="仿宋" w:cs="仿宋"/>
                <w:color w:val="000000"/>
                <w:sz w:val="21"/>
                <w:szCs w:val="21"/>
              </w:rPr>
              <w:t xml:space="preserve">17、提供符合 </w:t>
            </w:r>
            <w:r>
              <w:rPr>
                <w:rFonts w:hint="eastAsia" w:ascii="仿宋" w:hAnsi="仿宋" w:eastAsia="仿宋" w:cs="仿宋"/>
                <w:color w:val="000000"/>
                <w:spacing w:val="1"/>
                <w:sz w:val="21"/>
                <w:szCs w:val="21"/>
              </w:rPr>
              <w:t>1-7</w:t>
            </w:r>
            <w:r>
              <w:rPr>
                <w:rFonts w:hint="eastAsia" w:ascii="仿宋" w:hAnsi="仿宋" w:eastAsia="仿宋" w:cs="仿宋"/>
                <w:color w:val="000000"/>
                <w:spacing w:val="-2"/>
                <w:sz w:val="21"/>
                <w:szCs w:val="21"/>
              </w:rPr>
              <w:t xml:space="preserve"> </w:t>
            </w:r>
            <w:r>
              <w:rPr>
                <w:rFonts w:hint="eastAsia" w:ascii="仿宋" w:hAnsi="仿宋" w:eastAsia="仿宋" w:cs="仿宋"/>
                <w:color w:val="000000"/>
                <w:sz w:val="21"/>
                <w:szCs w:val="21"/>
              </w:rPr>
              <w:t>项参数的产品正面、反面实物照片并加以说明；</w:t>
            </w:r>
          </w:p>
          <w:p>
            <w:pPr>
              <w:widowControl/>
              <w:jc w:val="left"/>
              <w:textAlignment w:val="center"/>
              <w:rPr>
                <w:rFonts w:hint="eastAsia" w:ascii="仿宋" w:hAnsi="仿宋" w:eastAsia="仿宋" w:cs="仿宋"/>
                <w:color w:val="000000"/>
                <w:kern w:val="0"/>
                <w:sz w:val="21"/>
                <w:szCs w:val="21"/>
                <w:lang w:bidi="ar"/>
              </w:rPr>
            </w:pP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kern w:val="0"/>
                <w:sz w:val="21"/>
                <w:szCs w:val="21"/>
                <w:lang w:bidi="ar"/>
              </w:rPr>
            </w:pPr>
          </w:p>
        </w:tc>
        <w:tc>
          <w:tcPr>
            <w:tcW w:w="2262" w:type="dxa"/>
            <w:tcBorders>
              <w:tl2br w:val="nil"/>
              <w:tr2bl w:val="nil"/>
            </w:tcBorders>
            <w:shd w:val="clear" w:color="auto" w:fill="auto"/>
            <w:vAlign w:val="center"/>
          </w:tcPr>
          <w:p>
            <w:pPr>
              <w:widowControl/>
              <w:jc w:val="center"/>
              <w:textAlignment w:val="center"/>
              <w:rPr>
                <w:rFonts w:ascii="宋体" w:hAnsi="宋体" w:eastAsia="宋体" w:cs="宋体"/>
                <w:color w:val="000000"/>
                <w:kern w:val="0"/>
                <w:sz w:val="22"/>
                <w:szCs w:val="22"/>
                <w:bdr w:val="single" w:color="000000" w:sz="4" w:space="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5"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5、机架式音频播放机</w:t>
            </w:r>
          </w:p>
        </w:tc>
        <w:tc>
          <w:tcPr>
            <w:tcW w:w="0" w:type="auto"/>
            <w:tcBorders>
              <w:tl2br w:val="nil"/>
              <w:tr2bl w:val="nil"/>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高档铝质1.5U黑色拉丝面板，机架式安装，美观大方；</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通电自动播放，红外线远距离全功能遥控；</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自动播出控制，全数码伺服；</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兼容DVD、VCD、CD、MP3、SVCD、MPEG4等格式的碟片；</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系统+ESS解码方案，超强纠错功能；</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自带MP3读卡器，可插入U盘进行播放；</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具有高清视频输出接口；</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音频输出：0.775V±0.2V(输出阻抗600欧)；</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视频输出：0.775V±0.2V(输出阻抗75欧)；</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失真加噪音：≤-60dB；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音频信噪比：≥80dB；</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频率响应：20Hz~18KHz；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电源线：(3×0.5 mm2)×1.5M  (标准)；</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电源：AC220V±10% 50~60Hz；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功率：10~15W；</w:t>
            </w: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bdr w:val="single" w:color="000000" w:sz="4" w:space="0"/>
              </w:rPr>
              <w:drawing>
                <wp:anchor distT="0" distB="0" distL="114300" distR="114300" simplePos="0" relativeHeight="251663360" behindDoc="0" locked="0" layoutInCell="1" allowOverlap="1">
                  <wp:simplePos x="0" y="0"/>
                  <wp:positionH relativeFrom="column">
                    <wp:posOffset>-57785</wp:posOffset>
                  </wp:positionH>
                  <wp:positionV relativeFrom="paragraph">
                    <wp:posOffset>1167765</wp:posOffset>
                  </wp:positionV>
                  <wp:extent cx="1443990" cy="428625"/>
                  <wp:effectExtent l="0" t="0" r="3810" b="13335"/>
                  <wp:wrapNone/>
                  <wp:docPr id="4" name="图片_15"/>
                  <wp:cNvGraphicFramePr/>
                  <a:graphic xmlns:a="http://schemas.openxmlformats.org/drawingml/2006/main">
                    <a:graphicData uri="http://schemas.openxmlformats.org/drawingml/2006/picture">
                      <pic:pic xmlns:pic="http://schemas.openxmlformats.org/drawingml/2006/picture">
                        <pic:nvPicPr>
                          <pic:cNvPr id="4" name="图片_15"/>
                          <pic:cNvPicPr/>
                        </pic:nvPicPr>
                        <pic:blipFill>
                          <a:blip r:embed="rId8"/>
                          <a:stretch>
                            <a:fillRect/>
                          </a:stretch>
                        </pic:blipFill>
                        <pic:spPr>
                          <a:xfrm>
                            <a:off x="0" y="0"/>
                            <a:ext cx="1443990" cy="428625"/>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6、监考测试接收机</w:t>
            </w:r>
          </w:p>
        </w:tc>
        <w:tc>
          <w:tcPr>
            <w:tcW w:w="0" w:type="auto"/>
            <w:tcBorders>
              <w:tl2br w:val="nil"/>
              <w:tr2bl w:val="nil"/>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1.必须为数字调频立体声头戴式耳机，不接受模拟机；</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2.接收频率范围：FM:50-108MHz；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3.可以自动搜台，存台数不少于15个；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4.灵敏度：小于3µV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5.信噪比：大于56db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6.整机失真度：小于3%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7.额定输出功率：100mW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8.最大输出功率：200mW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9.电源：直流3V，配两节五号AA电池；</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10. 长按2秒开关机。(防止学生使用时候,误按到关机键,导致关机)；</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 xml:space="preserve">11. 布质耳套，吸汗透气； </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12.耳机没有外露的过线，防止勾断；</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13. 耳机天线必须是金属铜制伸缩天线，且完全隐蔽，即为美观也防止折断。如果有天线能不受线路板干扰的设计,优先考虑；</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14. 数字显示屏的大小不得小于27*14mm，确保16-70岁人不佩戴眼镜也能看清；大屏幕是保证屏幕显示的斑马纸导体接触面积大，不易缺笔画。</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16.必须采用硅胶按键；</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17.带电量显示功能，能显示电池剩余电量；</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18. 9键操作，无复合键，操作简便；</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19. 单独立体声/单声道切换按钮；</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20.一键校台单独存储；</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21.16级音量调节；</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22.有自动搜台功能，手动调节步进0.1MHz；</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23.弹性头梁，内有钢条，外有套管，可拉伸至180°；</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24.全新白色ABS工程塑料，非回收再生塑料，无漆环保；</w:t>
            </w:r>
          </w:p>
        </w:tc>
        <w:tc>
          <w:tcPr>
            <w:tcW w:w="0" w:type="auto"/>
            <w:tcBorders>
              <w:tl2br w:val="nil"/>
              <w:tr2bl w:val="nil"/>
            </w:tcBorders>
            <w:shd w:val="clear" w:color="auto" w:fill="auto"/>
            <w:noWrap/>
          </w:tcPr>
          <w:p>
            <w:pPr>
              <w:widowControl/>
              <w:textAlignment w:val="top"/>
              <w:rPr>
                <w:rFonts w:hint="eastAsia" w:ascii="仿宋" w:hAnsi="仿宋" w:eastAsia="仿宋" w:cs="仿宋"/>
                <w:color w:val="000000"/>
                <w:sz w:val="21"/>
                <w:szCs w:val="21"/>
              </w:rPr>
            </w:pPr>
            <w:r>
              <w:rPr>
                <w:rFonts w:hint="eastAsia" w:ascii="仿宋" w:hAnsi="仿宋" w:eastAsia="仿宋" w:cs="仿宋"/>
                <w:color w:val="000000"/>
                <w:sz w:val="21"/>
                <w:szCs w:val="21"/>
              </w:rPr>
              <w:t>3</w:t>
            </w:r>
          </w:p>
        </w:tc>
        <w:tc>
          <w:tcPr>
            <w:tcW w:w="2262"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 w:val="22"/>
                <w:szCs w:val="22"/>
              </w:rPr>
            </w:pPr>
            <w:r>
              <w:rPr>
                <w:sz w:val="18"/>
                <w:szCs w:val="18"/>
              </w:rPr>
              <w:drawing>
                <wp:inline distT="0" distB="0" distL="114300" distR="114300">
                  <wp:extent cx="1073785" cy="1525905"/>
                  <wp:effectExtent l="0" t="0" r="0" b="0"/>
                  <wp:docPr id="22" name="图片 1" descr="3393主图800x8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3393主图800x800 1"/>
                          <pic:cNvPicPr>
                            <a:picLocks noChangeAspect="1"/>
                          </pic:cNvPicPr>
                        </pic:nvPicPr>
                        <pic:blipFill>
                          <a:blip r:embed="rId9"/>
                          <a:srcRect l="16423" r="13054"/>
                          <a:stretch>
                            <a:fillRect/>
                          </a:stretch>
                        </pic:blipFill>
                        <pic:spPr>
                          <a:xfrm>
                            <a:off x="0" y="0"/>
                            <a:ext cx="1073785" cy="152590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7、音频链接线</w:t>
            </w:r>
          </w:p>
        </w:tc>
        <w:tc>
          <w:tcPr>
            <w:tcW w:w="0" w:type="auto"/>
            <w:tcBorders>
              <w:tl2br w:val="nil"/>
              <w:tr2bl w:val="nil"/>
            </w:tcBorders>
            <w:shd w:val="clear" w:color="auto" w:fill="auto"/>
          </w:tcPr>
          <w:p>
            <w:pPr>
              <w:widowControl/>
              <w:textAlignment w:val="top"/>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3.5 转莲花头</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3.5mm 音频线一分二 3.5 转双莲花头 2RCA 红</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白公对公连接线</w:t>
            </w: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noWrap/>
          </w:tcPr>
          <w:p>
            <w:pPr>
              <w:widowControl/>
              <w:jc w:val="center"/>
              <w:textAlignment w:val="top"/>
              <w:rPr>
                <w:rFonts w:ascii="宋体" w:hAnsi="宋体" w:eastAsia="宋体" w:cs="宋体"/>
                <w:color w:val="000000"/>
                <w:sz w:val="20"/>
                <w:szCs w:val="20"/>
              </w:rPr>
            </w:pPr>
            <w:r>
              <w:rPr>
                <w:rFonts w:hint="eastAsia" w:ascii="宋体" w:hAnsi="宋体" w:eastAsia="宋体" w:cs="宋体"/>
                <w:color w:val="000000"/>
                <w:kern w:val="0"/>
                <w:sz w:val="20"/>
                <w:szCs w:val="20"/>
                <w:bdr w:val="single" w:color="000000" w:sz="4" w:space="0"/>
              </w:rPr>
              <w:drawing>
                <wp:anchor distT="0" distB="0" distL="114300" distR="114300" simplePos="0" relativeHeight="251664384" behindDoc="0" locked="0" layoutInCell="1" allowOverlap="1">
                  <wp:simplePos x="0" y="0"/>
                  <wp:positionH relativeFrom="column">
                    <wp:posOffset>41910</wp:posOffset>
                  </wp:positionH>
                  <wp:positionV relativeFrom="paragraph">
                    <wp:posOffset>45720</wp:posOffset>
                  </wp:positionV>
                  <wp:extent cx="1238250" cy="1171575"/>
                  <wp:effectExtent l="0" t="0" r="11430" b="1905"/>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0"/>
                          <a:stretch>
                            <a:fillRect/>
                          </a:stretch>
                        </pic:blipFill>
                        <pic:spPr>
                          <a:xfrm>
                            <a:off x="0" y="0"/>
                            <a:ext cx="1238250" cy="1171575"/>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0" w:hRule="atLeast"/>
        </w:trPr>
        <w:tc>
          <w:tcPr>
            <w:tcW w:w="0" w:type="auto"/>
            <w:tcBorders>
              <w:tl2br w:val="nil"/>
              <w:tr2bl w:val="nil"/>
            </w:tcBorders>
            <w:shd w:val="clear" w:color="auto" w:fill="auto"/>
          </w:tcPr>
          <w:p>
            <w:pPr>
              <w:widowControl/>
              <w:jc w:val="left"/>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8、天线支架</w:t>
            </w:r>
          </w:p>
        </w:tc>
        <w:tc>
          <w:tcPr>
            <w:tcW w:w="0" w:type="auto"/>
            <w:tcBorders>
              <w:tl2br w:val="nil"/>
              <w:tr2bl w:val="nil"/>
            </w:tcBorders>
            <w:shd w:val="clear" w:color="auto" w:fill="auto"/>
          </w:tcPr>
          <w:p>
            <w:pPr>
              <w:widowControl/>
              <w:textAlignment w:val="top"/>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天线桅杆采用三节镀锌圆管伸缩结构，可伸</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长至 4.5 米高，便于安装时调节天线高度，</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bidi="ar"/>
              </w:rPr>
              <w:t>便于调试到最佳发射位置</w:t>
            </w: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p>
            <w:pPr>
              <w:widowControl/>
              <w:textAlignment w:val="top"/>
              <w:rPr>
                <w:rFonts w:hint="eastAsia" w:ascii="仿宋" w:hAnsi="仿宋" w:eastAsia="仿宋" w:cs="仿宋"/>
                <w:color w:val="000000"/>
                <w:kern w:val="0"/>
                <w:sz w:val="21"/>
                <w:szCs w:val="21"/>
                <w:lang w:bidi="ar"/>
              </w:rPr>
            </w:pPr>
          </w:p>
        </w:tc>
        <w:tc>
          <w:tcPr>
            <w:tcW w:w="0" w:type="auto"/>
            <w:tcBorders>
              <w:tl2br w:val="nil"/>
              <w:tr2bl w:val="nil"/>
            </w:tcBorders>
            <w:shd w:val="clear" w:color="auto" w:fill="auto"/>
            <w:noWrap/>
          </w:tcPr>
          <w:p>
            <w:pPr>
              <w:widowControl/>
              <w:jc w:val="center"/>
              <w:textAlignment w:val="top"/>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3</w:t>
            </w:r>
          </w:p>
        </w:tc>
        <w:tc>
          <w:tcPr>
            <w:tcW w:w="2262" w:type="dxa"/>
            <w:tcBorders>
              <w:tl2br w:val="nil"/>
              <w:tr2bl w:val="nil"/>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bdr w:val="single" w:color="000000" w:sz="4" w:space="0"/>
              </w:rPr>
              <w:drawing>
                <wp:anchor distT="0" distB="0" distL="114300" distR="114300" simplePos="0" relativeHeight="251665408" behindDoc="0" locked="0" layoutInCell="1" allowOverlap="1">
                  <wp:simplePos x="0" y="0"/>
                  <wp:positionH relativeFrom="column">
                    <wp:posOffset>29210</wp:posOffset>
                  </wp:positionH>
                  <wp:positionV relativeFrom="paragraph">
                    <wp:posOffset>79375</wp:posOffset>
                  </wp:positionV>
                  <wp:extent cx="1191260" cy="1323975"/>
                  <wp:effectExtent l="0" t="0" r="12700" b="1905"/>
                  <wp:wrapNone/>
                  <wp:docPr id="5" name="图片_10"/>
                  <wp:cNvGraphicFramePr/>
                  <a:graphic xmlns:a="http://schemas.openxmlformats.org/drawingml/2006/main">
                    <a:graphicData uri="http://schemas.openxmlformats.org/drawingml/2006/picture">
                      <pic:pic xmlns:pic="http://schemas.openxmlformats.org/drawingml/2006/picture">
                        <pic:nvPicPr>
                          <pic:cNvPr id="5" name="图片_10"/>
                          <pic:cNvPicPr/>
                        </pic:nvPicPr>
                        <pic:blipFill>
                          <a:blip r:embed="rId11"/>
                          <a:stretch>
                            <a:fillRect/>
                          </a:stretch>
                        </pic:blipFill>
                        <pic:spPr>
                          <a:xfrm>
                            <a:off x="0" y="0"/>
                            <a:ext cx="1191260" cy="1323975"/>
                          </a:xfrm>
                          <a:prstGeom prst="rect">
                            <a:avLst/>
                          </a:prstGeom>
                          <a:noFill/>
                          <a:ln>
                            <a:noFill/>
                          </a:ln>
                        </pic:spPr>
                      </pic:pic>
                    </a:graphicData>
                  </a:graphic>
                </wp:anchor>
              </w:drawing>
            </w:r>
          </w:p>
        </w:tc>
      </w:tr>
      <w:bookmarkEnd w:id="1"/>
    </w:tbl>
    <w:p>
      <w:pPr>
        <w:spacing w:line="360" w:lineRule="auto"/>
        <w:ind w:firstLine="482" w:firstLineChars="200"/>
        <w:contextualSpacing/>
        <w:rPr>
          <w:rFonts w:ascii="宋体" w:hAnsi="宋体"/>
          <w:b/>
          <w:color w:val="000000"/>
          <w:sz w:val="24"/>
          <w:shd w:val="pct10" w:color="auto" w:fill="FFFFFF"/>
        </w:rPr>
      </w:pPr>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2"/>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8" w:name="_Toc236473298"/>
      <w:bookmarkStart w:id="9" w:name="_Toc327371177"/>
      <w:bookmarkStart w:id="10" w:name="_Toc265109445"/>
      <w:bookmarkStart w:id="11" w:name="_Toc294609003"/>
      <w:bookmarkStart w:id="12"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4791524"/>
    <w:multiLevelType w:val="singleLevel"/>
    <w:tmpl w:val="24791524"/>
    <w:lvl w:ilvl="0" w:tentative="0">
      <w:start w:val="1"/>
      <w:numFmt w:val="decimal"/>
      <w:suff w:val="space"/>
      <w:lvlText w:val="%1."/>
      <w:lvlJc w:val="left"/>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c0500e57-80da-4ea7-aa20-d5b4ca6e8bf9"/>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37D03C2"/>
    <w:rsid w:val="04765BFE"/>
    <w:rsid w:val="08765BE6"/>
    <w:rsid w:val="098C501E"/>
    <w:rsid w:val="09C1190D"/>
    <w:rsid w:val="0A412F0D"/>
    <w:rsid w:val="0B1B470A"/>
    <w:rsid w:val="0C8D0B1C"/>
    <w:rsid w:val="0D346EF0"/>
    <w:rsid w:val="0DB2633E"/>
    <w:rsid w:val="0E170F1D"/>
    <w:rsid w:val="1096558D"/>
    <w:rsid w:val="159421BB"/>
    <w:rsid w:val="167C7678"/>
    <w:rsid w:val="16CE0DE2"/>
    <w:rsid w:val="180C163C"/>
    <w:rsid w:val="1AFD687C"/>
    <w:rsid w:val="1B7F6D28"/>
    <w:rsid w:val="1E2A6E74"/>
    <w:rsid w:val="1ED7744D"/>
    <w:rsid w:val="1F48462E"/>
    <w:rsid w:val="200334C2"/>
    <w:rsid w:val="22E13702"/>
    <w:rsid w:val="26AA2005"/>
    <w:rsid w:val="29175E93"/>
    <w:rsid w:val="29C651C2"/>
    <w:rsid w:val="2BD831ED"/>
    <w:rsid w:val="2C112FC4"/>
    <w:rsid w:val="2C7F0052"/>
    <w:rsid w:val="2CDA1351"/>
    <w:rsid w:val="2DE4256B"/>
    <w:rsid w:val="2F470442"/>
    <w:rsid w:val="30ED3773"/>
    <w:rsid w:val="30F454E0"/>
    <w:rsid w:val="3A7D7082"/>
    <w:rsid w:val="3B0418F4"/>
    <w:rsid w:val="3D0F63E5"/>
    <w:rsid w:val="3E842D9E"/>
    <w:rsid w:val="40241F49"/>
    <w:rsid w:val="42497455"/>
    <w:rsid w:val="469902C4"/>
    <w:rsid w:val="47445863"/>
    <w:rsid w:val="48195D9F"/>
    <w:rsid w:val="4B6B4193"/>
    <w:rsid w:val="4BF27BEA"/>
    <w:rsid w:val="4C2F3D1D"/>
    <w:rsid w:val="4D3C39F2"/>
    <w:rsid w:val="4EC573C6"/>
    <w:rsid w:val="50687EB6"/>
    <w:rsid w:val="531410DD"/>
    <w:rsid w:val="5398783B"/>
    <w:rsid w:val="544B54DF"/>
    <w:rsid w:val="553E2EC3"/>
    <w:rsid w:val="563C0577"/>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3444C9"/>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表格文字"/>
    <w:basedOn w:val="1"/>
    <w:next w:val="8"/>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8577</Words>
  <Characters>9173</Characters>
  <Lines>55</Lines>
  <Paragraphs>15</Paragraphs>
  <TotalTime>18</TotalTime>
  <ScaleCrop>false</ScaleCrop>
  <LinksUpToDate>false</LinksUpToDate>
  <CharactersWithSpaces>9885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hp</cp:lastModifiedBy>
  <cp:lastPrinted>2019-03-28T00:30:00Z</cp:lastPrinted>
  <dcterms:modified xsi:type="dcterms:W3CDTF">2024-07-04T06:17:43Z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CC155568AEA44E30B2D8539E1E8DB408_13</vt:lpwstr>
  </property>
</Properties>
</file>