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32"/>
          <w:szCs w:val="40"/>
          <w:lang w:val="en-US" w:eastAsia="zh-CN"/>
        </w:rPr>
      </w:pPr>
      <w:r>
        <w:rPr>
          <w:rFonts w:hint="eastAsia"/>
          <w:b/>
          <w:bCs/>
          <w:sz w:val="32"/>
          <w:szCs w:val="40"/>
          <w:lang w:eastAsia="zh-CN"/>
        </w:rPr>
        <w:t>兰州职业技术学院</w:t>
      </w:r>
      <w:r>
        <w:rPr>
          <w:rFonts w:hint="eastAsia"/>
          <w:b/>
          <w:bCs/>
          <w:sz w:val="32"/>
          <w:szCs w:val="40"/>
          <w:lang w:val="en-US" w:eastAsia="zh-CN"/>
        </w:rPr>
        <w:t>2023届毕业生就业质量年度报告服务内容</w:t>
      </w:r>
    </w:p>
    <w:p>
      <w:pPr>
        <w:rPr>
          <w:rFonts w:hint="eastAsia"/>
          <w:lang w:val="en-US" w:eastAsia="zh-CN"/>
        </w:rPr>
      </w:pPr>
    </w:p>
    <w:p>
      <w:pPr>
        <w:rPr>
          <w:rFonts w:hint="eastAsia"/>
          <w:lang w:val="en-US" w:eastAsia="zh-CN"/>
        </w:rPr>
      </w:pPr>
    </w:p>
    <w:p>
      <w:pPr>
        <w:numPr>
          <w:ilvl w:val="0"/>
          <w:numId w:val="1"/>
        </w:numPr>
        <w:spacing w:line="360" w:lineRule="auto"/>
        <w:rPr>
          <w:rFonts w:hint="eastAsia"/>
          <w:sz w:val="24"/>
          <w:szCs w:val="32"/>
          <w:lang w:val="en-US" w:eastAsia="zh-CN"/>
        </w:rPr>
      </w:pPr>
      <w:r>
        <w:rPr>
          <w:rFonts w:hint="eastAsia"/>
          <w:sz w:val="24"/>
          <w:szCs w:val="32"/>
          <w:lang w:val="en-US" w:eastAsia="zh-CN"/>
        </w:rPr>
        <w:t>调研对象：2023届毕业生、用人单位。</w:t>
      </w:r>
    </w:p>
    <w:p>
      <w:pPr>
        <w:numPr>
          <w:ilvl w:val="0"/>
          <w:numId w:val="1"/>
        </w:numPr>
        <w:spacing w:line="360" w:lineRule="auto"/>
        <w:rPr>
          <w:rFonts w:hint="default"/>
          <w:sz w:val="24"/>
          <w:szCs w:val="32"/>
          <w:lang w:val="en-US" w:eastAsia="zh-CN"/>
        </w:rPr>
      </w:pPr>
      <w:r>
        <w:rPr>
          <w:rFonts w:hint="eastAsia"/>
          <w:sz w:val="24"/>
          <w:szCs w:val="32"/>
          <w:lang w:val="en-US" w:eastAsia="zh-CN"/>
        </w:rPr>
        <w:t>调研内容：毕业生个人信息、就业状况、毕业生能力评价、专业对口度、对母校就</w:t>
      </w:r>
      <w:bookmarkStart w:id="0" w:name="_GoBack"/>
      <w:bookmarkEnd w:id="0"/>
      <w:r>
        <w:rPr>
          <w:rFonts w:hint="eastAsia"/>
          <w:sz w:val="24"/>
          <w:szCs w:val="32"/>
          <w:lang w:val="en-US" w:eastAsia="zh-CN"/>
        </w:rPr>
        <w:t>业服务的评价、对母校的满意度及推荐度、对人才培养的评价、升学情况、出国情况、自主创业状况和未就业状况、用人单位等评价符合教育部对就业质量年度报告要求的指标。</w:t>
      </w:r>
    </w:p>
    <w:p>
      <w:pPr>
        <w:numPr>
          <w:ilvl w:val="0"/>
          <w:numId w:val="1"/>
        </w:numPr>
        <w:spacing w:line="360" w:lineRule="auto"/>
        <w:rPr>
          <w:rFonts w:hint="default"/>
          <w:sz w:val="24"/>
          <w:szCs w:val="32"/>
          <w:lang w:val="en-US" w:eastAsia="zh-CN"/>
        </w:rPr>
      </w:pPr>
      <w:r>
        <w:rPr>
          <w:rFonts w:hint="eastAsia"/>
          <w:sz w:val="24"/>
          <w:szCs w:val="32"/>
          <w:lang w:val="en-US" w:eastAsia="zh-CN"/>
        </w:rPr>
        <w:t>调研方式：供应商使用自有知识产权的调研平台进行本项目相关调研，保证项目数据的安全性，调研过程中使用专用邮件服务器进行调研邮件的推送，确保原始数据的保密。</w:t>
      </w:r>
    </w:p>
    <w:p>
      <w:pPr>
        <w:numPr>
          <w:ilvl w:val="0"/>
          <w:numId w:val="1"/>
        </w:numPr>
        <w:spacing w:line="360" w:lineRule="auto"/>
        <w:rPr>
          <w:rFonts w:hint="default"/>
          <w:sz w:val="24"/>
          <w:szCs w:val="32"/>
          <w:lang w:val="en-US" w:eastAsia="zh-CN"/>
        </w:rPr>
      </w:pPr>
      <w:r>
        <w:rPr>
          <w:rFonts w:hint="eastAsia"/>
          <w:sz w:val="24"/>
          <w:szCs w:val="32"/>
          <w:lang w:val="en-US" w:eastAsia="zh-CN"/>
        </w:rPr>
        <w:t>原始数据：调研结束后，供应商将全部原始调研问卷及数据提交给学校。用于核实研究报告中各项统计数据的准确性和验证研究报告各项结论的正确性。</w:t>
      </w:r>
    </w:p>
    <w:p>
      <w:pPr>
        <w:numPr>
          <w:ilvl w:val="0"/>
          <w:numId w:val="1"/>
        </w:numPr>
        <w:spacing w:line="360" w:lineRule="auto"/>
        <w:rPr>
          <w:rFonts w:hint="eastAsia"/>
          <w:sz w:val="24"/>
          <w:szCs w:val="32"/>
          <w:lang w:val="en-US" w:eastAsia="zh-CN"/>
        </w:rPr>
      </w:pPr>
      <w:r>
        <w:rPr>
          <w:rFonts w:hint="eastAsia"/>
          <w:sz w:val="24"/>
          <w:szCs w:val="32"/>
          <w:lang w:val="en-US" w:eastAsia="zh-CN"/>
        </w:rPr>
        <w:t>报告交付：供应商负责对调研数据进行清洗、分析、撰写《兰州职业技术学院2023届毕业生就业质量年度报告》，向学校提交含纸质彩色印刷版报告及相应电子版报告。</w:t>
      </w:r>
    </w:p>
    <w:p>
      <w:pPr>
        <w:numPr>
          <w:ilvl w:val="0"/>
          <w:numId w:val="1"/>
        </w:numPr>
        <w:spacing w:line="360" w:lineRule="auto"/>
        <w:rPr>
          <w:rFonts w:hint="default"/>
          <w:sz w:val="24"/>
          <w:szCs w:val="32"/>
          <w:lang w:val="en-US" w:eastAsia="zh-CN"/>
        </w:rPr>
      </w:pPr>
      <w:r>
        <w:rPr>
          <w:rFonts w:hint="eastAsia"/>
          <w:sz w:val="24"/>
          <w:szCs w:val="32"/>
          <w:lang w:val="en-US" w:eastAsia="zh-CN"/>
        </w:rPr>
        <w:t>《兰州职业技术学院2023届毕业生就业质量年度报告》指标对应：</w:t>
      </w:r>
    </w:p>
    <w:tbl>
      <w:tblPr>
        <w:tblStyle w:val="5"/>
        <w:tblW w:w="5000" w:type="pct"/>
        <w:tblInd w:w="0" w:type="dxa"/>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Layout w:type="autofit"/>
        <w:tblCellMar>
          <w:top w:w="0" w:type="dxa"/>
          <w:left w:w="108" w:type="dxa"/>
          <w:bottom w:w="0" w:type="dxa"/>
          <w:right w:w="108" w:type="dxa"/>
        </w:tblCellMar>
      </w:tblPr>
      <w:tblGrid>
        <w:gridCol w:w="2185"/>
        <w:gridCol w:w="3565"/>
        <w:gridCol w:w="3368"/>
      </w:tblGrid>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blHeader/>
        </w:trPr>
        <w:tc>
          <w:tcPr>
            <w:tcW w:w="1196" w:type="pct"/>
            <w:tcBorders>
              <w:bottom w:val="single" w:color="91ABDF" w:themeColor="accent1" w:themeTint="99" w:sz="12" w:space="0"/>
              <w:insideH w:val="single" w:sz="12"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一级指标</w:t>
            </w:r>
          </w:p>
        </w:tc>
        <w:tc>
          <w:tcPr>
            <w:tcW w:w="1956" w:type="pct"/>
            <w:tcBorders>
              <w:bottom w:val="single" w:color="91ABDF" w:themeColor="accent1" w:themeTint="99" w:sz="12" w:space="0"/>
              <w:insideH w:val="single" w:sz="12"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二级指标</w:t>
            </w:r>
          </w:p>
        </w:tc>
        <w:tc>
          <w:tcPr>
            <w:tcW w:w="1848" w:type="pct"/>
            <w:tcBorders>
              <w:bottom w:val="single" w:color="91ABDF" w:themeColor="accent1" w:themeTint="99" w:sz="12" w:space="0"/>
              <w:insideH w:val="single" w:sz="12" w:space="0"/>
            </w:tcBorders>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auto"/>
                <w:kern w:val="0"/>
                <w:sz w:val="24"/>
                <w:szCs w:val="24"/>
              </w:rPr>
            </w:pPr>
            <w:r>
              <w:rPr>
                <w:rFonts w:hint="eastAsia" w:ascii="宋体" w:hAnsi="宋体" w:eastAsia="宋体" w:cs="宋体"/>
                <w:b/>
                <w:bCs/>
                <w:color w:val="auto"/>
                <w:kern w:val="0"/>
                <w:sz w:val="24"/>
                <w:szCs w:val="24"/>
              </w:rPr>
              <w:t>三级指标</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restar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毕业生就业基本情况</w:t>
            </w:r>
          </w:p>
        </w:tc>
        <w:tc>
          <w:tcPr>
            <w:tcW w:w="1956" w:type="pct"/>
            <w:vMerge w:val="restar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毕业生的规模和结构</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性别结构</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各学院结构</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民族结构</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生源地结构</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restar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毕业去向落实率及毕业去向</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总体毕业去向落实率及毕业去向</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各学院的毕业去向落实率</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各专业的毕业去向落实率</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不同特征群体毕业去向落实率</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未就业分析</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restar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就业流向</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就业地区分布</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就业行业分布</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就业职业分布</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就业单位分布</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restar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继续深造</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国内升学</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出国</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自主创业</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就业创业工作举措</w:t>
            </w:r>
          </w:p>
        </w:tc>
        <w:tc>
          <w:tcPr>
            <w:tcW w:w="3804" w:type="pct"/>
            <w:gridSpan w:val="2"/>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学校提供就创业工作举措，公司排版</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restar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就业质量相关分析</w:t>
            </w:r>
          </w:p>
        </w:tc>
        <w:tc>
          <w:tcPr>
            <w:tcW w:w="1956"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专业相关度</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就业满意度</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自身职业期待吻合度</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restar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用人单位对毕业生的评价</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用人单位对毕业生的招录情况及需求</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用人单位对毕业生的满意度评价</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用人单位对毕业生能力素质评价</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用人单位期待毕业生具备的能力</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用人单位对毕业生人才培养建议</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restar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就业发展趋势分析</w:t>
            </w:r>
          </w:p>
        </w:tc>
        <w:tc>
          <w:tcPr>
            <w:tcW w:w="1956"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近三年规模和毕业去向落实率变化趋势</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近三年毕业去向的变化趋势</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近三年就业地区变化趋势</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p>
        </w:tc>
        <w:tc>
          <w:tcPr>
            <w:tcW w:w="1956"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restar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val="0"/>
                <w:bCs w:val="0"/>
                <w:color w:val="000000"/>
                <w:kern w:val="0"/>
                <w:sz w:val="24"/>
                <w:szCs w:val="24"/>
              </w:rPr>
            </w:pPr>
            <w:r>
              <w:rPr>
                <w:rFonts w:hint="eastAsia" w:ascii="宋体" w:hAnsi="宋体" w:eastAsia="宋体" w:cs="宋体"/>
                <w:b w:val="0"/>
                <w:bCs w:val="0"/>
                <w:color w:val="000000"/>
                <w:kern w:val="0"/>
                <w:sz w:val="24"/>
                <w:szCs w:val="24"/>
              </w:rPr>
              <w:t>就业对教育教学的反馈</w:t>
            </w:r>
          </w:p>
        </w:tc>
        <w:tc>
          <w:tcPr>
            <w:tcW w:w="1956" w:type="pct"/>
            <w:vMerge w:val="restar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对人才培养的影响</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母校综合评价</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000000"/>
                <w:kern w:val="0"/>
                <w:sz w:val="24"/>
                <w:szCs w:val="24"/>
              </w:rPr>
            </w:pPr>
          </w:p>
        </w:tc>
        <w:tc>
          <w:tcPr>
            <w:tcW w:w="195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母校教育教学评价</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000000"/>
                <w:kern w:val="0"/>
                <w:sz w:val="24"/>
                <w:szCs w:val="24"/>
              </w:rPr>
            </w:pPr>
          </w:p>
        </w:tc>
        <w:tc>
          <w:tcPr>
            <w:tcW w:w="1956"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对招生和专业设置的建议</w:t>
            </w: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shd w:val="clear" w:color="auto" w:fill="DAE3F4" w:themeFill="accent1" w:themeFillTint="33"/>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000000"/>
                <w:kern w:val="0"/>
                <w:sz w:val="24"/>
                <w:szCs w:val="24"/>
              </w:rPr>
            </w:pPr>
          </w:p>
        </w:tc>
        <w:tc>
          <w:tcPr>
            <w:tcW w:w="1956" w:type="pct"/>
            <w:vMerge w:val="restar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对就业服务工作的影响</w:t>
            </w:r>
          </w:p>
        </w:tc>
        <w:tc>
          <w:tcPr>
            <w:tcW w:w="1848" w:type="pct"/>
            <w:shd w:val="clear" w:color="auto" w:fill="DAE3F4" w:themeFill="accent1" w:themeFillTint="33"/>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毕业生对就业服务工作的评价</w:t>
            </w:r>
          </w:p>
        </w:tc>
      </w:tr>
      <w:tr>
        <w:tblPrEx>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CellMar>
            <w:top w:w="0" w:type="dxa"/>
            <w:left w:w="108" w:type="dxa"/>
            <w:bottom w:w="0" w:type="dxa"/>
            <w:right w:w="108" w:type="dxa"/>
          </w:tblCellMar>
        </w:tblPrEx>
        <w:trPr>
          <w:trHeight w:val="270" w:hRule="atLeast"/>
        </w:trPr>
        <w:tc>
          <w:tcPr>
            <w:tcW w:w="119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b/>
                <w:bCs/>
                <w:color w:val="000000"/>
                <w:kern w:val="0"/>
                <w:sz w:val="24"/>
                <w:szCs w:val="24"/>
              </w:rPr>
            </w:pPr>
          </w:p>
        </w:tc>
        <w:tc>
          <w:tcPr>
            <w:tcW w:w="1956" w:type="pct"/>
            <w:vMerge w:val="continue"/>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p>
        </w:tc>
        <w:tc>
          <w:tcPr>
            <w:tcW w:w="1848" w:type="pct"/>
            <w:noWrap/>
            <w:vAlign w:val="center"/>
          </w:tcPr>
          <w:p>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ascii="宋体" w:hAnsi="宋体" w:eastAsia="宋体" w:cs="宋体"/>
                <w:color w:val="000000"/>
                <w:kern w:val="0"/>
                <w:sz w:val="24"/>
                <w:szCs w:val="24"/>
              </w:rPr>
            </w:pPr>
            <w:r>
              <w:rPr>
                <w:rFonts w:hint="eastAsia" w:ascii="宋体" w:hAnsi="宋体" w:eastAsia="宋体"/>
                <w:color w:val="000000"/>
                <w:sz w:val="24"/>
                <w:szCs w:val="24"/>
              </w:rPr>
              <w:t>用人单位对就业服务工作的评价</w:t>
            </w:r>
          </w:p>
        </w:tc>
      </w:tr>
    </w:tbl>
    <w:p>
      <w:pPr>
        <w:numPr>
          <w:ilvl w:val="0"/>
          <w:numId w:val="0"/>
        </w:numPr>
        <w:rPr>
          <w:rFonts w:hint="default"/>
          <w:lang w:val="en-US" w:eastAsia="zh-CN"/>
        </w:rPr>
      </w:pPr>
    </w:p>
    <w:sectPr>
      <w:pgSz w:w="11906" w:h="16838"/>
      <w:pgMar w:top="1440" w:right="1417" w:bottom="1440"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DDC3488"/>
    <w:multiLevelType w:val="singleLevel"/>
    <w:tmpl w:val="0DDC3488"/>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RjNmNiMmNkNGUxYmFiNTc1ODQwZDc2MmJhMzM3OTUifQ=="/>
  </w:docVars>
  <w:rsids>
    <w:rsidRoot w:val="6AFB6CE2"/>
    <w:rsid w:val="211251D9"/>
    <w:rsid w:val="26C933F5"/>
    <w:rsid w:val="30815FA3"/>
    <w:rsid w:val="4CDB30E2"/>
    <w:rsid w:val="6AFB6CE2"/>
    <w:rsid w:val="749432CD"/>
    <w:rsid w:val="763611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styleId="4">
    <w:name w:val="List Paragraph"/>
    <w:basedOn w:val="1"/>
    <w:qFormat/>
    <w:uiPriority w:val="34"/>
    <w:pPr>
      <w:ind w:firstLine="420" w:firstLineChars="200"/>
    </w:pPr>
  </w:style>
  <w:style w:type="table" w:customStyle="1" w:styleId="5">
    <w:name w:val="Grid Table 6 Colorful Accent 1"/>
    <w:basedOn w:val="2"/>
    <w:qFormat/>
    <w:uiPriority w:val="51"/>
    <w:rPr>
      <w:color w:val="2E54A1" w:themeColor="accent1" w:themeShade="BF"/>
    </w:rPr>
    <w:tblPr>
      <w:tblBorders>
        <w:top w:val="single" w:color="91ABDF" w:themeColor="accent1" w:themeTint="99" w:sz="4" w:space="0"/>
        <w:left w:val="single" w:color="91ABDF" w:themeColor="accent1" w:themeTint="99" w:sz="4" w:space="0"/>
        <w:bottom w:val="single" w:color="91ABDF" w:themeColor="accent1" w:themeTint="99" w:sz="4" w:space="0"/>
        <w:right w:val="single" w:color="91ABDF" w:themeColor="accent1" w:themeTint="99" w:sz="4" w:space="0"/>
        <w:insideH w:val="single" w:color="91ABDF" w:themeColor="accent1" w:themeTint="99" w:sz="4" w:space="0"/>
        <w:insideV w:val="single" w:color="91ABDF" w:themeColor="accent1" w:themeTint="99" w:sz="4" w:space="0"/>
      </w:tblBorders>
    </w:tblPr>
    <w:tblStylePr w:type="firstRow">
      <w:rPr>
        <w:b/>
        <w:bCs/>
      </w:rPr>
      <w:tcPr>
        <w:tcBorders>
          <w:bottom w:val="single" w:color="91ABDF" w:themeColor="accent1" w:themeTint="99" w:sz="12" w:space="0"/>
        </w:tcBorders>
      </w:tcPr>
    </w:tblStylePr>
    <w:tblStylePr w:type="lastRow">
      <w:rPr>
        <w:b/>
        <w:bCs/>
      </w:rPr>
      <w:tcPr>
        <w:tcBorders>
          <w:top w:val="double" w:color="91ABDF" w:themeColor="accent1" w:themeTint="99" w:sz="4" w:space="0"/>
        </w:tcBorders>
      </w:tcPr>
    </w:tblStylePr>
    <w:tblStylePr w:type="firstCol">
      <w:rPr>
        <w:b/>
        <w:bCs/>
      </w:rPr>
    </w:tblStylePr>
    <w:tblStylePr w:type="lastCol">
      <w:rPr>
        <w:b/>
        <w:bCs/>
      </w:rPr>
    </w:tblStylePr>
    <w:tblStylePr w:type="band1Vert">
      <w:tcPr>
        <w:shd w:val="clear" w:color="auto" w:fill="DAE3F4" w:themeFill="accent1" w:themeFillTint="33"/>
      </w:tcPr>
    </w:tblStylePr>
    <w:tblStylePr w:type="band1Horz">
      <w:tcPr>
        <w:shd w:val="clear" w:color="auto" w:fill="DAE3F4" w:themeFill="accent1" w:themeFillTint="33"/>
      </w:tcPr>
    </w:tblStyle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823</Words>
  <Characters>835</Characters>
  <Lines>0</Lines>
  <Paragraphs>0</Paragraphs>
  <TotalTime>13</TotalTime>
  <ScaleCrop>false</ScaleCrop>
  <LinksUpToDate>false</LinksUpToDate>
  <CharactersWithSpaces>835</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2023-10-18T08:03:00Z</dcterms:created>
  <dc:creator>WPS_1684733879</dc:creator>
  <cp:lastModifiedBy>hp</cp:lastModifiedBy>
  <dcterms:modified xsi:type="dcterms:W3CDTF">2023-11-20T07:05:22Z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F9802943DB9E4E0A9D4C069218CFFBDC</vt:lpwstr>
  </property>
</Properties>
</file>