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ind w:left="2239" w:leftChars="266" w:hanging="1680" w:hangingChars="600"/>
        <w:jc w:val="left"/>
        <w:rPr>
          <w:sz w:val="24"/>
        </w:rPr>
      </w:pPr>
      <w:r>
        <w:rPr>
          <w:rFonts w:hint="eastAsia"/>
          <w:sz w:val="28"/>
          <w:szCs w:val="28"/>
        </w:rPr>
        <w:t>项目名称：</w:t>
      </w:r>
      <w:r>
        <w:rPr>
          <w:rFonts w:hint="eastAsia"/>
          <w:sz w:val="24"/>
        </w:rPr>
        <w:t>兰州职业技术学院出租汽车驾驶员从业资格考试考场设备</w:t>
      </w:r>
      <w:r>
        <w:rPr>
          <w:rFonts w:hint="eastAsia"/>
          <w:sz w:val="24"/>
          <w:lang w:val="en-US" w:eastAsia="zh-CN"/>
        </w:rPr>
        <w:t>项</w:t>
      </w:r>
      <w:r>
        <w:rPr>
          <w:rFonts w:hint="eastAsia"/>
          <w:sz w:val="24"/>
        </w:rPr>
        <w:t>目</w:t>
      </w:r>
    </w:p>
    <w:p>
      <w:pPr>
        <w:ind w:firstLine="560" w:firstLineChars="200"/>
        <w:jc w:val="left"/>
        <w:rPr>
          <w:rFonts w:hint="default" w:eastAsia="宋体"/>
          <w:sz w:val="28"/>
          <w:szCs w:val="28"/>
          <w:lang w:val="en-US" w:eastAsia="zh-CN"/>
        </w:rPr>
      </w:pPr>
      <w:r>
        <w:rPr>
          <w:rFonts w:hint="eastAsia"/>
          <w:sz w:val="28"/>
          <w:szCs w:val="28"/>
        </w:rPr>
        <w:t>项目编号：LZXJ</w:t>
      </w:r>
      <w:r>
        <w:rPr>
          <w:sz w:val="28"/>
          <w:szCs w:val="28"/>
        </w:rPr>
        <w:t>—</w:t>
      </w:r>
      <w:r>
        <w:rPr>
          <w:rFonts w:hint="eastAsia"/>
          <w:sz w:val="28"/>
          <w:szCs w:val="28"/>
        </w:rPr>
        <w:t>2021</w:t>
      </w:r>
      <w:r>
        <w:rPr>
          <w:rFonts w:hint="eastAsia"/>
          <w:sz w:val="28"/>
          <w:szCs w:val="28"/>
          <w:lang w:val="en-US" w:eastAsia="zh-CN"/>
        </w:rPr>
        <w:t>024</w:t>
      </w:r>
    </w:p>
    <w:p>
      <w:pPr>
        <w:ind w:firstLine="560" w:firstLineChars="200"/>
        <w:jc w:val="left"/>
        <w:rPr>
          <w:sz w:val="28"/>
          <w:szCs w:val="28"/>
        </w:rPr>
      </w:pPr>
      <w:r>
        <w:rPr>
          <w:rFonts w:hint="eastAsia"/>
          <w:sz w:val="28"/>
          <w:szCs w:val="28"/>
        </w:rPr>
        <w:t>采购单位：兰州职业技术学院</w:t>
      </w:r>
    </w:p>
    <w:p>
      <w:pPr>
        <w:ind w:firstLine="560" w:firstLineChars="200"/>
        <w:jc w:val="left"/>
        <w:rPr>
          <w:sz w:val="28"/>
          <w:szCs w:val="28"/>
        </w:rPr>
      </w:pPr>
      <w:r>
        <w:rPr>
          <w:rFonts w:hint="eastAsia"/>
          <w:sz w:val="28"/>
          <w:szCs w:val="28"/>
        </w:rPr>
        <w:t>采购时间：2021年</w:t>
      </w:r>
      <w:r>
        <w:rPr>
          <w:rFonts w:hint="eastAsia"/>
          <w:sz w:val="28"/>
          <w:szCs w:val="28"/>
          <w:lang w:val="en-US" w:eastAsia="zh-CN"/>
        </w:rPr>
        <w:t>7</w:t>
      </w:r>
      <w:r>
        <w:rPr>
          <w:rFonts w:hint="eastAsia"/>
          <w:sz w:val="28"/>
          <w:szCs w:val="28"/>
        </w:rPr>
        <w:t>月</w:t>
      </w:r>
      <w:r>
        <w:rPr>
          <w:rFonts w:hint="eastAsia"/>
          <w:sz w:val="28"/>
          <w:szCs w:val="28"/>
          <w:lang w:val="en-US" w:eastAsia="zh-CN"/>
        </w:rPr>
        <w:t>19</w:t>
      </w:r>
      <w:r>
        <w:rPr>
          <w:rFonts w:hint="eastAsia"/>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sz w:val="28"/>
          <w:szCs w:val="28"/>
        </w:rPr>
      </w:pPr>
      <w:r>
        <w:rPr>
          <w:rFonts w:hint="eastAsia" w:ascii="宋体" w:hAnsi="宋体"/>
          <w:sz w:val="28"/>
          <w:szCs w:val="28"/>
        </w:rPr>
        <w:t xml:space="preserve">2021年 </w:t>
      </w:r>
      <w:r>
        <w:rPr>
          <w:rFonts w:hint="eastAsia" w:ascii="宋体" w:hAnsi="宋体"/>
          <w:sz w:val="28"/>
          <w:szCs w:val="28"/>
          <w:lang w:val="en-US" w:eastAsia="zh-CN"/>
        </w:rPr>
        <w:t>7</w:t>
      </w:r>
      <w:r>
        <w:rPr>
          <w:rFonts w:hint="eastAsia" w:ascii="宋体" w:hAnsi="宋体"/>
          <w:sz w:val="28"/>
          <w:szCs w:val="28"/>
        </w:rPr>
        <w:t>月</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u w:val="single"/>
        </w:rPr>
      </w:pPr>
      <w:r>
        <w:rPr>
          <w:rFonts w:hint="eastAsia" w:ascii="宋体" w:hAnsi="宋体"/>
        </w:rPr>
        <w:t>第一章 询价邀请函</w:t>
      </w:r>
    </w:p>
    <w:p>
      <w:pPr>
        <w:spacing w:line="360" w:lineRule="auto"/>
        <w:ind w:firstLine="472" w:firstLineChars="197"/>
        <w:rPr>
          <w:rFonts w:hint="eastAsia" w:ascii="宋体" w:hAnsi="宋体"/>
          <w:sz w:val="24"/>
        </w:rPr>
      </w:pPr>
      <w:r>
        <w:rPr>
          <w:rFonts w:hint="eastAsia" w:ascii="宋体" w:hAnsi="宋体"/>
          <w:sz w:val="24"/>
        </w:rPr>
        <w:t>根据</w:t>
      </w:r>
      <w:r>
        <w:rPr>
          <w:rFonts w:hint="eastAsia"/>
          <w:sz w:val="24"/>
        </w:rPr>
        <w:t>兰州职业技术学院出租汽车驾驶员从业资格考试</w:t>
      </w:r>
      <w:r>
        <w:rPr>
          <w:rFonts w:hint="eastAsia" w:ascii="宋体" w:hAnsi="宋体"/>
          <w:sz w:val="24"/>
          <w:lang w:val="en-US" w:eastAsia="zh-CN"/>
        </w:rPr>
        <w:t>建设</w:t>
      </w:r>
      <w:r>
        <w:rPr>
          <w:rFonts w:hint="eastAsia" w:ascii="宋体" w:hAnsi="宋体"/>
          <w:sz w:val="24"/>
        </w:rPr>
        <w:t>需要，现拟</w:t>
      </w:r>
      <w:r>
        <w:rPr>
          <w:rFonts w:hint="eastAsia"/>
          <w:sz w:val="24"/>
        </w:rPr>
        <w:t>兰州职业技术学院出租汽车驾驶员从业资格考试考场设备</w:t>
      </w:r>
      <w:r>
        <w:rPr>
          <w:rFonts w:hint="eastAsia"/>
          <w:sz w:val="24"/>
          <w:lang w:val="en-US" w:eastAsia="zh-CN"/>
        </w:rPr>
        <w:t>项</w:t>
      </w:r>
      <w:r>
        <w:rPr>
          <w:rFonts w:hint="eastAsia"/>
          <w:sz w:val="24"/>
        </w:rPr>
        <w:t>目</w:t>
      </w:r>
      <w:r>
        <w:rPr>
          <w:rFonts w:hint="eastAsia" w:ascii="宋体" w:hAnsi="宋体"/>
          <w:sz w:val="24"/>
        </w:rPr>
        <w:t>进行询价采购。欢迎满足资格要求的供应商前来参加，具体事宜公告如下：</w:t>
      </w:r>
    </w:p>
    <w:p>
      <w:pPr>
        <w:spacing w:line="360" w:lineRule="auto"/>
        <w:rPr>
          <w:rFonts w:hint="default" w:ascii="宋体" w:hAnsi="宋体"/>
          <w:sz w:val="24"/>
          <w:lang w:val="en-US"/>
        </w:rPr>
      </w:pPr>
      <w:r>
        <w:rPr>
          <w:rFonts w:hint="eastAsia" w:ascii="宋体" w:hAnsi="宋体"/>
          <w:sz w:val="24"/>
        </w:rPr>
        <w:t>一、采购项目编号：LZXJ</w:t>
      </w:r>
      <w:r>
        <w:rPr>
          <w:rFonts w:ascii="宋体" w:hAnsi="宋体"/>
          <w:sz w:val="24"/>
        </w:rPr>
        <w:t>—</w:t>
      </w:r>
      <w:r>
        <w:rPr>
          <w:rFonts w:hint="eastAsia" w:ascii="宋体" w:hAnsi="宋体"/>
          <w:sz w:val="24"/>
        </w:rPr>
        <w:t>2021</w:t>
      </w:r>
      <w:r>
        <w:rPr>
          <w:rFonts w:hint="eastAsia" w:ascii="宋体" w:hAnsi="宋体"/>
          <w:sz w:val="24"/>
          <w:lang w:val="en-US" w:eastAsia="zh-CN"/>
        </w:rPr>
        <w:t>024</w:t>
      </w:r>
    </w:p>
    <w:p>
      <w:pPr>
        <w:jc w:val="left"/>
        <w:rPr>
          <w:sz w:val="24"/>
        </w:rPr>
      </w:pPr>
      <w:r>
        <w:rPr>
          <w:rFonts w:hint="eastAsia" w:ascii="宋体" w:hAnsi="宋体"/>
          <w:sz w:val="24"/>
        </w:rPr>
        <w:t>二、采购项目名称：</w:t>
      </w:r>
      <w:r>
        <w:rPr>
          <w:rFonts w:hint="eastAsia"/>
          <w:sz w:val="24"/>
        </w:rPr>
        <w:t>兰州职业技术学院出租汽车驾驶员从业资格考试考场设备</w:t>
      </w:r>
      <w:r>
        <w:rPr>
          <w:rFonts w:hint="eastAsia"/>
          <w:sz w:val="24"/>
          <w:lang w:val="en-US" w:eastAsia="zh-CN"/>
        </w:rPr>
        <w:t>项</w:t>
      </w:r>
      <w:r>
        <w:rPr>
          <w:rFonts w:hint="eastAsia"/>
          <w:sz w:val="24"/>
        </w:rPr>
        <w:t>目</w:t>
      </w:r>
    </w:p>
    <w:p>
      <w:pPr>
        <w:spacing w:line="360" w:lineRule="auto"/>
        <w:rPr>
          <w:rFonts w:ascii="宋体" w:hAnsi="宋体"/>
          <w:sz w:val="24"/>
        </w:rPr>
      </w:pPr>
      <w:r>
        <w:rPr>
          <w:rFonts w:hint="eastAsia" w:ascii="宋体" w:hAnsi="宋体"/>
          <w:sz w:val="24"/>
        </w:rPr>
        <w:t>三、采购方式：询价采购</w:t>
      </w:r>
    </w:p>
    <w:p>
      <w:pPr>
        <w:spacing w:line="360" w:lineRule="auto"/>
        <w:rPr>
          <w:rFonts w:ascii="宋体" w:hAnsi="宋体"/>
          <w:sz w:val="24"/>
        </w:rPr>
      </w:pPr>
      <w:r>
        <w:rPr>
          <w:rFonts w:hint="eastAsia" w:ascii="宋体" w:hAnsi="宋体"/>
          <w:sz w:val="24"/>
        </w:rPr>
        <w:t>四、采购内容及预算金额：</w:t>
      </w:r>
    </w:p>
    <w:p>
      <w:pPr>
        <w:ind w:firstLine="480" w:firstLineChars="200"/>
        <w:jc w:val="left"/>
        <w:rPr>
          <w:rFonts w:hint="eastAsia" w:ascii="宋体" w:hAnsi="宋体"/>
          <w:sz w:val="24"/>
        </w:rPr>
      </w:pPr>
      <w:r>
        <w:rPr>
          <w:rFonts w:hint="eastAsia" w:ascii="宋体" w:hAnsi="宋体"/>
          <w:sz w:val="24"/>
        </w:rPr>
        <w:t xml:space="preserve">  </w:t>
      </w:r>
      <w:r>
        <w:rPr>
          <w:rFonts w:hint="eastAsia"/>
          <w:sz w:val="24"/>
        </w:rPr>
        <w:t>兰州职业技术学院出租汽车驾驶员从业资格考试考场设备</w:t>
      </w:r>
    </w:p>
    <w:p>
      <w:pPr>
        <w:spacing w:line="360" w:lineRule="auto"/>
        <w:ind w:firstLine="240" w:firstLineChars="100"/>
        <w:rPr>
          <w:sz w:val="24"/>
        </w:rPr>
      </w:pPr>
      <w:r>
        <w:rPr>
          <w:rFonts w:hint="eastAsia"/>
          <w:sz w:val="24"/>
        </w:rPr>
        <w:t>总预算金额：</w:t>
      </w:r>
      <w:r>
        <w:rPr>
          <w:rFonts w:hint="eastAsia"/>
          <w:sz w:val="24"/>
          <w:lang w:val="en-US" w:eastAsia="zh-CN"/>
        </w:rPr>
        <w:t>100420</w:t>
      </w:r>
      <w:bookmarkStart w:id="14" w:name="_GoBack"/>
      <w:bookmarkEnd w:id="14"/>
      <w:r>
        <w:rPr>
          <w:rFonts w:hint="eastAsia"/>
          <w:sz w:val="24"/>
        </w:rPr>
        <w:t>元</w:t>
      </w:r>
    </w:p>
    <w:p>
      <w:pPr>
        <w:spacing w:line="360" w:lineRule="auto"/>
        <w:rPr>
          <w:rFonts w:ascii="宋体" w:hAnsi="宋体"/>
          <w:sz w:val="24"/>
        </w:rPr>
      </w:pPr>
      <w:r>
        <w:rPr>
          <w:rFonts w:hint="eastAsia" w:ascii="宋体" w:hAnsi="宋体"/>
          <w:sz w:val="24"/>
        </w:rPr>
        <w:t>五、资质要求（商务部分）：</w:t>
      </w:r>
    </w:p>
    <w:p>
      <w:pPr>
        <w:spacing w:line="360" w:lineRule="auto"/>
        <w:ind w:firstLine="472" w:firstLineChars="197"/>
        <w:rPr>
          <w:rFonts w:ascii="宋体" w:hAnsi="宋体"/>
          <w:sz w:val="24"/>
        </w:rPr>
      </w:pPr>
      <w:r>
        <w:rPr>
          <w:rFonts w:hint="eastAsia" w:ascii="宋体" w:hAnsi="宋体"/>
          <w:sz w:val="24"/>
        </w:rPr>
        <w:t>1. 供应商必须符合《中华人民共和国政府采购法》第二十二条要求；</w:t>
      </w:r>
    </w:p>
    <w:p>
      <w:pPr>
        <w:spacing w:line="360" w:lineRule="auto"/>
        <w:ind w:firstLine="472" w:firstLineChars="197"/>
        <w:rPr>
          <w:rFonts w:ascii="宋体" w:hAnsi="宋体" w:cs="宋体"/>
          <w:kern w:val="0"/>
          <w:sz w:val="24"/>
        </w:rPr>
      </w:pPr>
      <w:r>
        <w:rPr>
          <w:rFonts w:hint="eastAsia" w:ascii="宋体" w:hAnsi="宋体"/>
          <w:sz w:val="24"/>
        </w:rPr>
        <w:t>2. 供应商应是在中华人民共和国境内注册取得营业执照的独立法人或其他组织，具有相应经营范围；</w:t>
      </w:r>
    </w:p>
    <w:p>
      <w:pPr>
        <w:spacing w:line="360" w:lineRule="exact"/>
        <w:ind w:firstLine="480" w:firstLineChars="200"/>
        <w:rPr>
          <w:rFonts w:ascii="宋体" w:hAnsi="宋体" w:cs="宋体"/>
          <w:kern w:val="0"/>
          <w:sz w:val="24"/>
        </w:rPr>
      </w:pPr>
      <w:r>
        <w:rPr>
          <w:rFonts w:hint="eastAsia" w:ascii="宋体" w:hAnsi="宋体" w:cs="宋体"/>
          <w:kern w:val="0"/>
          <w:sz w:val="24"/>
        </w:rPr>
        <w:t>3.营业执照副本（复印件）；</w:t>
      </w:r>
    </w:p>
    <w:p>
      <w:pPr>
        <w:spacing w:line="360" w:lineRule="exact"/>
        <w:ind w:firstLine="480" w:firstLineChars="200"/>
        <w:rPr>
          <w:rFonts w:ascii="宋体" w:hAnsi="宋体" w:cs="宋体"/>
          <w:kern w:val="0"/>
          <w:sz w:val="24"/>
        </w:rPr>
      </w:pPr>
      <w:r>
        <w:rPr>
          <w:rFonts w:hint="eastAsia" w:ascii="宋体" w:hAnsi="宋体" w:cs="宋体"/>
          <w:kern w:val="0"/>
          <w:sz w:val="24"/>
        </w:rPr>
        <w:t>4.法人代表身份证（正、反面复印件）；</w:t>
      </w:r>
    </w:p>
    <w:p>
      <w:pPr>
        <w:spacing w:line="360" w:lineRule="exact"/>
        <w:ind w:firstLine="480" w:firstLineChars="200"/>
        <w:rPr>
          <w:rFonts w:ascii="宋体" w:hAnsi="宋体" w:cs="宋体"/>
          <w:kern w:val="0"/>
          <w:sz w:val="24"/>
        </w:rPr>
      </w:pPr>
      <w:r>
        <w:rPr>
          <w:rFonts w:hint="eastAsia" w:ascii="宋体" w:hAnsi="宋体" w:cs="宋体"/>
          <w:kern w:val="0"/>
          <w:sz w:val="24"/>
        </w:rPr>
        <w:t>5.法人授权函（原件）及被授权人身份证（正、反 面复印件）；</w:t>
      </w:r>
    </w:p>
    <w:p>
      <w:pPr>
        <w:spacing w:line="360" w:lineRule="exact"/>
        <w:ind w:firstLine="480" w:firstLineChars="200"/>
        <w:rPr>
          <w:rFonts w:ascii="宋体" w:hAnsi="宋体" w:cs="宋体"/>
          <w:kern w:val="0"/>
          <w:sz w:val="24"/>
        </w:rPr>
      </w:pPr>
      <w:r>
        <w:rPr>
          <w:rFonts w:hint="eastAsia" w:ascii="宋体" w:hAnsi="宋体" w:cs="宋体"/>
          <w:kern w:val="0"/>
          <w:sz w:val="24"/>
        </w:rPr>
        <w:t>6.201</w:t>
      </w:r>
      <w:r>
        <w:rPr>
          <w:rFonts w:hint="eastAsia" w:ascii="宋体" w:hAnsi="宋体" w:cs="宋体"/>
          <w:kern w:val="0"/>
          <w:sz w:val="24"/>
          <w:lang w:val="en-US" w:eastAsia="zh-CN"/>
        </w:rPr>
        <w:t>9</w:t>
      </w:r>
      <w:r>
        <w:rPr>
          <w:rFonts w:hint="eastAsia" w:ascii="宋体" w:hAnsi="宋体" w:cs="宋体"/>
          <w:kern w:val="0"/>
          <w:sz w:val="24"/>
        </w:rPr>
        <w:t>年度以来最新的经权威机构审计的完整的财务报告（复印件）或针对此项目的银行资信证明（不满一年的新公司不提供该报告）；</w:t>
      </w:r>
    </w:p>
    <w:p>
      <w:pPr>
        <w:numPr>
          <w:ilvl w:val="0"/>
          <w:numId w:val="1"/>
        </w:numPr>
        <w:spacing w:line="360" w:lineRule="exact"/>
        <w:ind w:firstLine="480" w:firstLineChars="200"/>
        <w:rPr>
          <w:rFonts w:hint="eastAsia" w:ascii="宋体" w:hAnsi="宋体" w:cs="宋体"/>
          <w:kern w:val="0"/>
          <w:sz w:val="24"/>
        </w:rPr>
      </w:pP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hint="eastAsia" w:ascii="宋体" w:hAnsi="宋体" w:cs="宋体"/>
          <w:kern w:val="0"/>
          <w:sz w:val="24"/>
          <w:lang w:bidi="ar"/>
        </w:rPr>
        <w:t>投标文件</w:t>
      </w:r>
      <w:r>
        <w:rPr>
          <w:rFonts w:ascii="宋体" w:hAnsi="宋体" w:cs="宋体"/>
          <w:kern w:val="0"/>
          <w:sz w:val="24"/>
          <w:lang w:bidi="ar"/>
        </w:rPr>
        <w:t>内)</w:t>
      </w:r>
      <w:r>
        <w:rPr>
          <w:rFonts w:hint="eastAsia" w:ascii="宋体" w:hAnsi="宋体" w:cs="宋体"/>
          <w:kern w:val="0"/>
          <w:sz w:val="24"/>
        </w:rPr>
        <w:t>；</w:t>
      </w:r>
    </w:p>
    <w:p>
      <w:pPr>
        <w:numPr>
          <w:ilvl w:val="0"/>
          <w:numId w:val="0"/>
        </w:numPr>
        <w:spacing w:line="360" w:lineRule="exact"/>
        <w:ind w:firstLine="480" w:firstLineChars="200"/>
        <w:rPr>
          <w:rFonts w:ascii="宋体" w:hAnsi="宋体" w:cs="宋体"/>
          <w:kern w:val="0"/>
          <w:sz w:val="24"/>
        </w:rPr>
      </w:pPr>
      <w:r>
        <w:rPr>
          <w:rFonts w:hint="eastAsia" w:ascii="宋体" w:hAnsi="宋体"/>
          <w:sz w:val="24"/>
          <w:szCs w:val="24"/>
          <w:lang w:val="en-US" w:eastAsia="zh-CN"/>
        </w:rPr>
        <w:t>8、</w:t>
      </w:r>
      <w:r>
        <w:rPr>
          <w:rFonts w:hint="eastAsia" w:ascii="宋体" w:hAnsi="宋体" w:cs="宋体"/>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网政府采购严重违法失信行为信息记录中的禁止参加政府采购活动期间的方可参加项目投标网页截图或相关证明（查询网址：信用中国（甘肃兰州）（www.gslzcredit.gov.cn),中国政府采购网（www.ccgp.gov.cn)。</w:t>
      </w:r>
    </w:p>
    <w:p>
      <w:pPr>
        <w:spacing w:line="360" w:lineRule="exact"/>
        <w:ind w:firstLine="480" w:firstLineChars="200"/>
        <w:rPr>
          <w:rFonts w:ascii="宋体" w:hAnsi="宋体" w:cs="宋体"/>
          <w:kern w:val="0"/>
          <w:sz w:val="24"/>
        </w:rPr>
      </w:pPr>
      <w:r>
        <w:rPr>
          <w:rFonts w:hint="eastAsia" w:ascii="宋体" w:hAnsi="宋体" w:cs="宋体"/>
          <w:kern w:val="0"/>
          <w:sz w:val="24"/>
          <w:lang w:val="en-US" w:eastAsia="zh-CN"/>
        </w:rPr>
        <w:t>9</w:t>
      </w:r>
      <w:r>
        <w:rPr>
          <w:rFonts w:hint="eastAsia" w:ascii="宋体" w:hAnsi="宋体" w:cs="宋体"/>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rPr>
        <w:t>1</w:t>
      </w:r>
      <w:r>
        <w:rPr>
          <w:rFonts w:hint="eastAsia" w:ascii="宋体" w:hAnsi="宋体"/>
          <w:sz w:val="24"/>
          <w:lang w:val="en-US" w:eastAsia="zh-CN"/>
        </w:rPr>
        <w:t>0</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sz w:val="24"/>
        </w:rPr>
      </w:pPr>
      <w:r>
        <w:rPr>
          <w:rFonts w:hint="eastAsia" w:ascii="宋体" w:hAnsi="宋体"/>
          <w:sz w:val="24"/>
        </w:rPr>
        <w:t>响应文件递交时间：</w:t>
      </w:r>
      <w:r>
        <w:rPr>
          <w:rFonts w:ascii="宋体" w:hAnsi="宋体"/>
          <w:sz w:val="24"/>
        </w:rPr>
        <w:t>20</w:t>
      </w:r>
      <w:r>
        <w:rPr>
          <w:rFonts w:hint="eastAsia" w:ascii="宋体" w:hAnsi="宋体"/>
          <w:sz w:val="24"/>
        </w:rPr>
        <w:t>21年</w:t>
      </w:r>
      <w:r>
        <w:rPr>
          <w:rFonts w:hint="eastAsia" w:ascii="宋体" w:hAnsi="宋体"/>
          <w:sz w:val="24"/>
          <w:lang w:val="en-US" w:eastAsia="zh-CN"/>
        </w:rPr>
        <w:t>8</w:t>
      </w:r>
      <w:r>
        <w:rPr>
          <w:rFonts w:hint="eastAsia" w:ascii="宋体" w:hAnsi="宋体"/>
          <w:sz w:val="24"/>
        </w:rPr>
        <w:t>月</w:t>
      </w:r>
      <w:r>
        <w:rPr>
          <w:rFonts w:hint="eastAsia" w:ascii="宋体" w:hAnsi="宋体"/>
          <w:sz w:val="24"/>
          <w:lang w:val="en-US" w:eastAsia="zh-CN"/>
        </w:rPr>
        <w:t>3</w:t>
      </w:r>
      <w:r>
        <w:rPr>
          <w:rFonts w:hint="eastAsia" w:ascii="宋体" w:hAnsi="宋体"/>
          <w:sz w:val="24"/>
        </w:rPr>
        <w:t>日上午</w:t>
      </w:r>
      <w:r>
        <w:rPr>
          <w:rFonts w:hint="eastAsia" w:ascii="宋体" w:hAnsi="宋体"/>
          <w:sz w:val="24"/>
          <w:lang w:val="en-US" w:eastAsia="zh-CN"/>
        </w:rPr>
        <w:t>10</w:t>
      </w:r>
      <w:r>
        <w:rPr>
          <w:rFonts w:ascii="宋体" w:hAnsi="宋体"/>
          <w:sz w:val="24"/>
        </w:rPr>
        <w:t>:</w:t>
      </w:r>
      <w:r>
        <w:rPr>
          <w:rFonts w:hint="eastAsia" w:ascii="宋体" w:hAnsi="宋体"/>
          <w:sz w:val="24"/>
        </w:rPr>
        <w:t>0</w:t>
      </w:r>
      <w:r>
        <w:rPr>
          <w:rFonts w:hint="eastAsia" w:ascii="宋体" w:hAnsi="宋体"/>
          <w:sz w:val="24"/>
          <w:lang w:val="en-US" w:eastAsia="zh-CN"/>
        </w:rPr>
        <w:t>0</w:t>
      </w:r>
      <w:r>
        <w:rPr>
          <w:rFonts w:hint="eastAsia" w:ascii="宋体" w:hAnsi="宋体"/>
          <w:sz w:val="24"/>
        </w:rPr>
        <w:t>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响应文件递交地点：兰州职业技术学院总校区综合楼</w:t>
      </w:r>
      <w:r>
        <w:rPr>
          <w:rFonts w:hint="eastAsia" w:ascii="宋体" w:hAnsi="宋体"/>
          <w:sz w:val="24"/>
          <w:lang w:val="en-US" w:eastAsia="zh-CN"/>
        </w:rPr>
        <w:t>703</w:t>
      </w:r>
      <w:r>
        <w:rPr>
          <w:rFonts w:hint="eastAsia" w:ascii="宋体" w:hAnsi="宋体"/>
          <w:sz w:val="24"/>
        </w:rPr>
        <w:t>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兰州职业技术学院国资及产业管理处（兰州职业技术学院总校区综合楼703室）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21</w:t>
      </w:r>
      <w:r>
        <w:rPr>
          <w:rFonts w:ascii="宋体" w:hAnsi="宋体"/>
          <w:sz w:val="24"/>
        </w:rPr>
        <w:t>年</w:t>
      </w:r>
      <w:r>
        <w:rPr>
          <w:rFonts w:hint="eastAsia" w:ascii="宋体" w:hAnsi="宋体"/>
          <w:sz w:val="24"/>
          <w:lang w:val="en-US" w:eastAsia="zh-CN"/>
        </w:rPr>
        <w:t>7</w:t>
      </w:r>
      <w:r>
        <w:rPr>
          <w:rFonts w:ascii="宋体" w:hAnsi="宋体"/>
          <w:sz w:val="24"/>
        </w:rPr>
        <w:t>月</w:t>
      </w:r>
      <w:r>
        <w:rPr>
          <w:rFonts w:hint="eastAsia" w:ascii="宋体" w:hAnsi="宋体"/>
          <w:sz w:val="24"/>
          <w:lang w:val="en-US" w:eastAsia="zh-CN"/>
        </w:rPr>
        <w:t>19</w:t>
      </w:r>
      <w:r>
        <w:rPr>
          <w:rFonts w:ascii="宋体" w:hAnsi="宋体"/>
          <w:sz w:val="24"/>
        </w:rPr>
        <w:t>日</w:t>
      </w:r>
    </w:p>
    <w:p>
      <w:pPr>
        <w:pStyle w:val="3"/>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 xml:space="preserve">第二章 </w:t>
      </w:r>
      <w:bookmarkStart w:id="0" w:name="_Toc229456846"/>
      <w:r>
        <w:rPr>
          <w:rFonts w:hint="eastAsia" w:ascii="宋体" w:hAnsi="宋体"/>
        </w:rPr>
        <w:t>采购内容及技术要求</w:t>
      </w:r>
    </w:p>
    <w:bookmarkEnd w:id="0"/>
    <w:p>
      <w:pPr>
        <w:numPr>
          <w:ilvl w:val="0"/>
          <w:numId w:val="2"/>
        </w:numPr>
        <w:spacing w:line="360" w:lineRule="auto"/>
        <w:rPr>
          <w:rFonts w:ascii="宋体" w:hAnsi="宋体"/>
          <w:b/>
          <w:sz w:val="24"/>
        </w:rPr>
      </w:pPr>
      <w:bookmarkStart w:id="1" w:name="_Toc175733110"/>
      <w:r>
        <w:rPr>
          <w:rFonts w:hint="eastAsia" w:ascii="宋体" w:hAnsi="宋体"/>
          <w:b/>
          <w:sz w:val="24"/>
        </w:rPr>
        <w:t>货物清单及要求</w:t>
      </w:r>
    </w:p>
    <w:tbl>
      <w:tblPr>
        <w:tblStyle w:val="19"/>
        <w:tblW w:w="8925" w:type="dxa"/>
        <w:tblInd w:w="-15" w:type="dxa"/>
        <w:tblLayout w:type="fixed"/>
        <w:tblCellMar>
          <w:top w:w="0" w:type="dxa"/>
          <w:left w:w="0" w:type="dxa"/>
          <w:bottom w:w="0" w:type="dxa"/>
          <w:right w:w="0" w:type="dxa"/>
        </w:tblCellMar>
      </w:tblPr>
      <w:tblGrid>
        <w:gridCol w:w="684"/>
        <w:gridCol w:w="1596"/>
        <w:gridCol w:w="3776"/>
        <w:gridCol w:w="671"/>
        <w:gridCol w:w="644"/>
        <w:gridCol w:w="1554"/>
      </w:tblGrid>
      <w:tr>
        <w:tblPrEx>
          <w:tblCellMar>
            <w:top w:w="0" w:type="dxa"/>
            <w:left w:w="0" w:type="dxa"/>
            <w:bottom w:w="0" w:type="dxa"/>
            <w:right w:w="0" w:type="dxa"/>
          </w:tblCellMar>
        </w:tblPrEx>
        <w:trPr>
          <w:trHeight w:val="286" w:hRule="atLeast"/>
        </w:trPr>
        <w:tc>
          <w:tcPr>
            <w:tcW w:w="68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kern w:val="0"/>
                <w:sz w:val="24"/>
              </w:rPr>
            </w:pPr>
            <w:r>
              <w:rPr>
                <w:rStyle w:val="41"/>
                <w:rFonts w:ascii="宋体" w:hAnsi="宋体"/>
                <w:b/>
                <w:color w:val="000000"/>
                <w:kern w:val="0"/>
                <w:sz w:val="24"/>
              </w:rPr>
              <w:t>序号</w:t>
            </w:r>
          </w:p>
        </w:tc>
        <w:tc>
          <w:tcPr>
            <w:tcW w:w="15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名称</w:t>
            </w:r>
          </w:p>
        </w:tc>
        <w:tc>
          <w:tcPr>
            <w:tcW w:w="377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配置及参数描述</w:t>
            </w:r>
          </w:p>
        </w:tc>
        <w:tc>
          <w:tcPr>
            <w:tcW w:w="671"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数量</w:t>
            </w:r>
          </w:p>
        </w:tc>
        <w:tc>
          <w:tcPr>
            <w:tcW w:w="64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单位</w:t>
            </w:r>
          </w:p>
        </w:tc>
        <w:tc>
          <w:tcPr>
            <w:tcW w:w="1554"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Style w:val="41"/>
                <w:rFonts w:ascii="宋体" w:hAnsi="宋体"/>
                <w:b/>
                <w:color w:val="000000"/>
                <w:sz w:val="24"/>
              </w:rPr>
            </w:pPr>
            <w:r>
              <w:rPr>
                <w:rStyle w:val="41"/>
                <w:rFonts w:ascii="宋体" w:hAnsi="宋体"/>
                <w:b/>
                <w:color w:val="000000"/>
                <w:kern w:val="0"/>
                <w:sz w:val="24"/>
              </w:rPr>
              <w:t>备注</w:t>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1</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身份认证闸机</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设备机身外壳的人员通行检测部分、指示部外壳对外界机械分应符合</w:t>
            </w:r>
            <w:r>
              <w:t>IK04的要求；其他表面应符合IK07的要求：</w:t>
            </w:r>
          </w:p>
          <w:p>
            <w:r>
              <w:rPr>
                <w:rFonts w:hint="eastAsia"/>
              </w:rPr>
              <w:t>★设备在发生以下</w:t>
            </w:r>
            <w:r>
              <w:t>5点情况下，设备应警示：并提供国家安全防范报警系统产品质量监督检测中心出具的《检测报告》</w:t>
            </w:r>
            <w:r>
              <w:rPr>
                <w:rFonts w:hint="eastAsia"/>
              </w:rPr>
              <w:t xml:space="preserve"> </w:t>
            </w:r>
            <w:r>
              <w:t>；</w:t>
            </w:r>
          </w:p>
          <w:p>
            <w:r>
              <w:t>1.未收到允许通行信号，2.设备检测到人员进入通道；3.接收到允许通行信号，设备检测到人员逆向进入通道，4.设备开机自检不通过；5.拦挡部分运行不到位；</w:t>
            </w:r>
          </w:p>
          <w:p>
            <w:r>
              <w:rPr>
                <w:rFonts w:hint="eastAsia"/>
              </w:rPr>
              <w:t>人员通过通道的实际时间超过了设定的允许通行时间。</w:t>
            </w:r>
          </w:p>
          <w:p>
            <w:r>
              <w:rPr>
                <w:rFonts w:hint="eastAsia"/>
              </w:rPr>
              <w:t>设备处于警示状态时，应能设置为不接受允许通行指令。</w:t>
            </w:r>
          </w:p>
          <w:p>
            <w:r>
              <w:rPr>
                <w:rFonts w:hint="eastAsia"/>
              </w:rPr>
              <w:t>设备在接收人工操作或出入口控制系统允许通行</w:t>
            </w:r>
            <w:r>
              <w:t>/禁止通行的输入信号后，应进入允许通</w:t>
            </w:r>
            <w:r>
              <w:rPr>
                <w:rFonts w:hint="eastAsia"/>
              </w:rPr>
              <w:t>行状态</w:t>
            </w:r>
            <w:r>
              <w:t>/禁止通行状态；</w:t>
            </w:r>
          </w:p>
          <w:p>
            <w:r>
              <w:rPr>
                <w:rFonts w:hint="eastAsia"/>
              </w:rPr>
              <w:t>★设备在禁止通行状态下，接收到允许通行信号，转换至允许通行状态后，在以下情况、自动返回到禁止通行状态</w:t>
            </w:r>
            <w:r>
              <w:t>：在允许通行时间内，检测到人员已按指定方向通过通道时；</w:t>
            </w:r>
          </w:p>
          <w:p>
            <w:r>
              <w:rPr>
                <w:rFonts w:hint="eastAsia"/>
              </w:rPr>
              <w:t>超出允许通行时间，检测到通道内无人员通行时。并提供国家安全防范报警系统产品质量监督检测中心出具的《检测报告》 ；</w:t>
            </w:r>
          </w:p>
          <w:p>
            <w:r>
              <w:rPr>
                <w:rFonts w:hint="eastAsia"/>
              </w:rPr>
              <w:t>设备应能设置为持续处于允许通行状态</w:t>
            </w:r>
            <w:r>
              <w:t>/禁止通行状态。</w:t>
            </w:r>
          </w:p>
          <w:p>
            <w:r>
              <w:rPr>
                <w:rFonts w:hint="eastAsia"/>
              </w:rPr>
              <w:t>应急放行功能：设备在断电或发生故障后应能处于无拦挡状态。</w:t>
            </w:r>
          </w:p>
          <w:p>
            <w:r>
              <w:rPr>
                <w:rFonts w:hint="eastAsia"/>
              </w:rPr>
              <w:t>★设备具备如下三点防尾随功能</w:t>
            </w:r>
            <w:r>
              <w:t>：并提供国家安全防范报警系统产品质量监督检测中心出具的《检测报告》</w:t>
            </w:r>
            <w:r>
              <w:rPr>
                <w:rFonts w:hint="eastAsia"/>
              </w:rPr>
              <w:t xml:space="preserve"> ；</w:t>
            </w:r>
          </w:p>
          <w:p>
            <w:r>
              <w:t>1.当设备仅接收到一条允许通行指令处于允许通行状态时，两个人员以间隔不小于100mm的距高沿同方向进入通道；</w:t>
            </w:r>
          </w:p>
          <w:p>
            <w:r>
              <w:t>2.或者本条允许通行指令允许通行数量的人员在前通行时，后面跟随非允许通行的人，两者之间间隔不小于100mm；</w:t>
            </w:r>
          </w:p>
          <w:p>
            <w:r>
              <w:t>3.具备防尾随功能的设备应对尾随事件警示。</w:t>
            </w:r>
          </w:p>
          <w:p>
            <w:r>
              <w:rPr>
                <w:rFonts w:hint="eastAsia"/>
              </w:rPr>
              <w:t>设备应对其工作状态、操作与结果等给出不视觉</w:t>
            </w:r>
            <w:r>
              <w:t>/听觉指示同的视觉/听觉指示，如允许通行为绿色，禁止通行、警示为红色：警示时的听觉指示应明显区别于其他指示。</w:t>
            </w:r>
          </w:p>
          <w:p>
            <w:r>
              <w:rPr>
                <w:rFonts w:hint="eastAsia"/>
              </w:rPr>
              <w:t>设备应具备控制、驱动、拦挡和视觉</w:t>
            </w:r>
            <w:r>
              <w:t>/听觉指示等部分的自检功能，并有相应的动作或指示。</w:t>
            </w:r>
          </w:p>
          <w:p>
            <w:r>
              <w:rPr>
                <w:rFonts w:hint="eastAsia"/>
              </w:rPr>
              <w:t>设备应具有恢复出厂设置状态的功能设备的开启、关闭时间宜不大于</w:t>
            </w:r>
            <w:r>
              <w:t>3.5s，宜可调。</w:t>
            </w:r>
          </w:p>
          <w:p>
            <w:r>
              <w:rPr>
                <w:rFonts w:hint="eastAsia"/>
              </w:rPr>
              <w:t>设备允许进入时间、通行时间能在</w:t>
            </w:r>
            <w:r>
              <w:t>1~999s范围内可调</w:t>
            </w:r>
            <w:r>
              <w:rPr>
                <w:rFonts w:hint="eastAsia"/>
              </w:rPr>
              <w:t>。</w:t>
            </w:r>
          </w:p>
          <w:p>
            <w:r>
              <w:rPr>
                <w:rFonts w:hint="eastAsia"/>
              </w:rPr>
              <w:t>★瞬间最大噪声声压≤</w:t>
            </w:r>
            <w:r>
              <w:t>75dB(A)；持续噪声声压≤58dB(A)；并提供国家安全防范报警系统产品质量监督检测中心出具的《检测报告》</w:t>
            </w:r>
            <w:r>
              <w:rPr>
                <w:rFonts w:hint="eastAsia"/>
              </w:rPr>
              <w:t xml:space="preserve"> </w:t>
            </w:r>
            <w:r>
              <w:t>；</w:t>
            </w:r>
          </w:p>
          <w:p>
            <w:r>
              <w:rPr>
                <w:rFonts w:hint="eastAsia"/>
              </w:rPr>
              <w:t>听觉指示声压宜在</w:t>
            </w:r>
            <w:r>
              <w:t>60dB(A)(含)~90dB(A)范围内，宜可调。</w:t>
            </w:r>
            <w:r>
              <w:rPr>
                <w:rFonts w:hint="eastAsia"/>
              </w:rPr>
              <w:t>电源电压：</w:t>
            </w:r>
            <w:r>
              <w:t>AC110-220V±10%</w:t>
            </w:r>
            <w:r>
              <w:rPr>
                <w:rFonts w:hint="eastAsia"/>
              </w:rPr>
              <w:t>，</w:t>
            </w:r>
            <w:r>
              <w:t>50HZ；额定功率：150W</w:t>
            </w:r>
            <w:r>
              <w:rPr>
                <w:rFonts w:hint="eastAsia"/>
              </w:rPr>
              <w:t>：</w:t>
            </w:r>
            <w:r>
              <w:t>工作环境：室内/室外（建议搭雨棚）；工作环境温度：-28-60摄氏度；相对湿</w:t>
            </w:r>
            <w:r>
              <w:rPr>
                <w:rFonts w:hint="eastAsia"/>
              </w:rPr>
              <w:t>度</w:t>
            </w:r>
            <w:r>
              <w:t>：5%-80%；通行速度：25-30人/分钟（常闭模式）；平均无故障运行次数：≥500万次；红外对射：≥6对；闸门开、关时间：0.6秒，可调；</w:t>
            </w:r>
            <w:r>
              <w:rPr>
                <w:rFonts w:hint="eastAsia"/>
              </w:rPr>
              <w:t>输入控制信号</w:t>
            </w:r>
            <w:r>
              <w:t>：继电器干接点开关信号；</w:t>
            </w:r>
            <w:r>
              <w:rPr>
                <w:rFonts w:hint="eastAsia"/>
              </w:rPr>
              <w:t>双通道人脸识别闸机通道，可移动，需要闸机底座。</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含：单机芯摆闸（主机）1台、单机芯摆闸（副机）1台、双机芯摆闸</w:t>
            </w:r>
            <w:r>
              <w:rPr>
                <w:rFonts w:hint="eastAsia"/>
                <w:lang w:val="en-US" w:eastAsia="zh-CN"/>
              </w:rPr>
              <w:t>1</w:t>
            </w:r>
            <w:r>
              <w:rPr>
                <w:rFonts w:hint="eastAsia"/>
              </w:rPr>
              <w:t>台。</w:t>
            </w:r>
          </w:p>
          <w:p>
            <w:pPr>
              <w:jc w:val="center"/>
            </w:pPr>
            <w:r>
              <w:rPr>
                <w:rFonts w:hint="eastAsia"/>
              </w:rPr>
              <w:t>单机芯摆闸（主机）参考图片：</w:t>
            </w:r>
            <w:r>
              <w:drawing>
                <wp:inline distT="0" distB="0" distL="0" distR="0">
                  <wp:extent cx="930275" cy="1372870"/>
                  <wp:effectExtent l="0" t="0" r="3175" b="17780"/>
                  <wp:docPr id="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930275" cy="1372870"/>
                          </a:xfrm>
                          <a:prstGeom prst="rect">
                            <a:avLst/>
                          </a:prstGeom>
                          <a:noFill/>
                          <a:ln>
                            <a:noFill/>
                          </a:ln>
                        </pic:spPr>
                      </pic:pic>
                    </a:graphicData>
                  </a:graphic>
                </wp:inline>
              </w:drawing>
            </w:r>
          </w:p>
          <w:p>
            <w:pPr>
              <w:jc w:val="center"/>
            </w:pPr>
            <w:r>
              <w:rPr>
                <w:rFonts w:hint="eastAsia"/>
              </w:rPr>
              <w:t>单机芯摆闸（副机）参考图片：</w:t>
            </w:r>
            <w:r>
              <w:drawing>
                <wp:inline distT="0" distB="0" distL="0" distR="0">
                  <wp:extent cx="847725" cy="1914525"/>
                  <wp:effectExtent l="0" t="0" r="9525" b="9525"/>
                  <wp:docPr id="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47725" cy="1914525"/>
                          </a:xfrm>
                          <a:prstGeom prst="rect">
                            <a:avLst/>
                          </a:prstGeom>
                          <a:noFill/>
                          <a:ln>
                            <a:noFill/>
                          </a:ln>
                        </pic:spPr>
                      </pic:pic>
                    </a:graphicData>
                  </a:graphic>
                </wp:inline>
              </w:drawing>
            </w:r>
          </w:p>
          <w:p>
            <w:pPr>
              <w:jc w:val="center"/>
            </w:pPr>
            <w:r>
              <w:rPr>
                <w:rFonts w:hint="eastAsia"/>
              </w:rPr>
              <w:t>双机芯摆闸参考图片：</w:t>
            </w:r>
            <w:r>
              <w:drawing>
                <wp:inline distT="0" distB="0" distL="0" distR="0">
                  <wp:extent cx="969010" cy="1508760"/>
                  <wp:effectExtent l="0" t="0" r="2540" b="15240"/>
                  <wp:docPr id="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pic:cNvPicPr>
                            <a:picLocks noChangeAspect="1" noChangeArrowheads="1"/>
                          </pic:cNvPicPr>
                        </pic:nvPicPr>
                        <pic:blipFill>
                          <a:blip r:embed="rId6">
                            <a:extLst>
                              <a:ext uri="{28A0092B-C50C-407E-A947-70E740481C1C}">
                                <a14:useLocalDpi xmlns:a14="http://schemas.microsoft.com/office/drawing/2010/main" val="0"/>
                              </a:ext>
                            </a:extLst>
                          </a:blip>
                          <a:srcRect r="29116"/>
                          <a:stretch>
                            <a:fillRect/>
                          </a:stretch>
                        </pic:blipFill>
                        <pic:spPr>
                          <a:xfrm>
                            <a:off x="0" y="0"/>
                            <a:ext cx="969010" cy="1508760"/>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2</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身份认证闸机配套底座</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上述身份认证闸机配套底座，用于固定闸机在地面上，方便后期移动。</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eastAsia="宋体"/>
                <w:lang w:eastAsia="zh-CN"/>
              </w:rPr>
            </w:pPr>
            <w:r>
              <w:rPr>
                <w:rFonts w:hint="eastAsia"/>
                <w:lang w:val="en-US" w:eastAsia="zh-CN"/>
              </w:rPr>
              <w:t>2</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3</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人脸识别设备</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t>TDB06区别于以往的多光谱人脸识别门禁一体机，此产品支持面部、手掌非接触式识别功能外，支持RFID、指纹验证功能选配模块，满足客户多样化需求</w:t>
            </w:r>
          </w:p>
          <w:p>
            <w:r>
              <w:rPr>
                <w:rFonts w:hint="eastAsia"/>
              </w:rPr>
              <w:t>极速识别人脸手掌免接触式识别</w:t>
            </w:r>
          </w:p>
          <w:p>
            <w:r>
              <w:rPr>
                <w:rFonts w:hint="eastAsia"/>
              </w:rPr>
              <w:t>支持面部识别；可选配</w:t>
            </w:r>
            <w:r>
              <w:t>：指纹+IC刷卡、指纹超声波测距；摄像头：双目多光谱人脸识别摄像头、宽动态≥200W像素；</w:t>
            </w:r>
          </w:p>
          <w:p>
            <w:r>
              <w:rPr>
                <w:rFonts w:hint="eastAsia"/>
              </w:rPr>
              <w:t>显示屏：≥</w:t>
            </w:r>
            <w:r>
              <w:t>7寸IPS彩屏，分辨率为≥1280×720；通讯方式：TCP/IP、WIFI；</w:t>
            </w:r>
          </w:p>
          <w:p>
            <w:r>
              <w:t>整机功率：15W；输入电压范围：9V-20V；扬声器功率：1W；</w:t>
            </w:r>
          </w:p>
          <w:p>
            <w:r>
              <w:rPr>
                <w:rFonts w:hint="eastAsia"/>
              </w:rPr>
              <w:t>工作温度范围</w:t>
            </w:r>
            <w:r>
              <w:t>：-10°C-50°C；抗静电：接触±4KV，空气±8KV；防水等级：IP65；</w:t>
            </w:r>
          </w:p>
          <w:p>
            <w:r>
              <w:rPr>
                <w:rFonts w:hint="eastAsia"/>
              </w:rPr>
              <w:t>★设备的人脸比对正确识别率不小于</w:t>
            </w:r>
            <w:r>
              <w:t>97.6%、人脸比对吴识率不大于0.1%；并可在室内（01ux~3000lux）、半室外（5000lux~10000lux）下能正常识别人脸。</w:t>
            </w:r>
          </w:p>
          <w:p>
            <w:r>
              <w:rPr>
                <w:rFonts w:hint="eastAsia"/>
              </w:rPr>
              <w:t>支持</w:t>
            </w:r>
            <w:r>
              <w:t>1：1/1：N比对，支持20000张人脸底库，3000张手掌容量，选配卡容量20000张（ID/IC/身份证物理卡），选配指纹容量10000枚0.5-2米远距离极速识别，秒级验证通行</w:t>
            </w:r>
          </w:p>
          <w:p>
            <w:r>
              <w:rPr>
                <w:rFonts w:hint="eastAsia"/>
              </w:rPr>
              <w:t>识别方式</w:t>
            </w:r>
            <w:r>
              <w:t>标配：面部、手掌、密码</w:t>
            </w:r>
          </w:p>
          <w:p>
            <w:r>
              <w:rPr>
                <w:rFonts w:hint="eastAsia"/>
              </w:rPr>
              <w:t>面部识别算法</w:t>
            </w:r>
            <w:r>
              <w:t>ZKLive Face 5.8</w:t>
            </w:r>
          </w:p>
          <w:p>
            <w:r>
              <w:rPr>
                <w:rFonts w:hint="eastAsia"/>
              </w:rPr>
              <w:t>手掌识别算法</w:t>
            </w:r>
            <w:r>
              <w:t>ZKLive Palm 12.0</w:t>
            </w:r>
          </w:p>
          <w:p>
            <w:r>
              <w:rPr>
                <w:rFonts w:hint="eastAsia"/>
              </w:rPr>
              <w:t>识别率</w:t>
            </w:r>
            <w:r>
              <w:t>≥99%</w:t>
            </w:r>
          </w:p>
          <w:p>
            <w:r>
              <w:rPr>
                <w:rFonts w:hint="eastAsia"/>
              </w:rPr>
              <w:t>人脸活体检测</w:t>
            </w:r>
            <w:r>
              <w:t>使用双目光电+活体识别算法，防止有人利用打印照片（激光、彩色和黑白照片）、视频和3D仿真面具冒充用户，具有较强的防伪能力</w:t>
            </w:r>
          </w:p>
          <w:p>
            <w:r>
              <w:rPr>
                <w:rFonts w:hint="eastAsia"/>
              </w:rPr>
              <w:t>人脸识别距离</w:t>
            </w:r>
            <w:r>
              <w:t>0.5m-2m</w:t>
            </w:r>
          </w:p>
          <w:p>
            <w:r>
              <w:rPr>
                <w:rFonts w:hint="eastAsia"/>
              </w:rPr>
              <w:t>识别速度</w:t>
            </w:r>
            <w:r>
              <w:t>0.3s极速识别人脸；0.6s手掌免接触式识别</w:t>
            </w:r>
          </w:p>
          <w:p>
            <w:r>
              <w:rPr>
                <w:rFonts w:hint="eastAsia"/>
              </w:rPr>
              <w:t>操作系统</w:t>
            </w:r>
            <w:r>
              <w:t>linux系统</w:t>
            </w:r>
          </w:p>
          <w:p>
            <w:r>
              <w:rPr>
                <w:rFonts w:hint="eastAsia"/>
              </w:rPr>
              <w:t>处理器</w:t>
            </w:r>
            <w:r>
              <w:t>ZAM 170平台</w:t>
            </w:r>
          </w:p>
          <w:p>
            <w:r>
              <w:rPr>
                <w:rFonts w:hint="eastAsia"/>
              </w:rPr>
              <w:t>显示器</w:t>
            </w:r>
            <w:r>
              <w:t>7寸IPS高清触摸显示屏分辨率为720×1280</w:t>
            </w:r>
          </w:p>
          <w:p>
            <w:r>
              <w:rPr>
                <w:rFonts w:hint="eastAsia"/>
              </w:rPr>
              <w:t>摄像头</w:t>
            </w:r>
            <w:r>
              <w:t>200万像素超低照度宽动态摄像头，能在极端光照环境下清晰准确的识别人脸（0.5lux-50000lux)</w:t>
            </w:r>
          </w:p>
          <w:p>
            <w:r>
              <w:rPr>
                <w:rFonts w:hint="eastAsia"/>
              </w:rPr>
              <w:t>工作环境</w:t>
            </w:r>
            <w:r>
              <w:t>‘-10℃~55℃</w:t>
            </w:r>
          </w:p>
          <w:p>
            <w:r>
              <w:rPr>
                <w:rFonts w:hint="eastAsia"/>
              </w:rPr>
              <w:t>电源规格</w:t>
            </w:r>
            <w:r>
              <w:t>DC 12V 3A</w:t>
            </w:r>
          </w:p>
          <w:p>
            <w:r>
              <w:rPr>
                <w:rFonts w:hint="eastAsia"/>
              </w:rPr>
              <w:t>比对结果</w:t>
            </w:r>
            <w:r>
              <w:t>本地比对数据库，实时上传比对结果</w:t>
            </w:r>
          </w:p>
          <w:p>
            <w:r>
              <w:rPr>
                <w:rFonts w:hint="eastAsia"/>
              </w:rPr>
              <w:t>普通门禁</w:t>
            </w:r>
            <w:r>
              <w:t>支持面部、手掌、密码、RFID、指纹验证控制门禁、闸机或通过服务器远程控制</w:t>
            </w:r>
          </w:p>
          <w:p>
            <w:r>
              <w:rPr>
                <w:rFonts w:hint="eastAsia"/>
              </w:rPr>
              <w:t>专业门禁</w:t>
            </w:r>
            <w:r>
              <w:t>反潜、联动、报警输出、辅助输入、门磁</w:t>
            </w:r>
          </w:p>
          <w:p>
            <w:r>
              <w:rPr>
                <w:rFonts w:hint="eastAsia"/>
              </w:rPr>
              <w:t>人员管理</w:t>
            </w:r>
            <w:r>
              <w:t>人脸容量20000本地人脸库</w:t>
            </w:r>
          </w:p>
          <w:p>
            <w:r>
              <w:rPr>
                <w:rFonts w:hint="eastAsia"/>
              </w:rPr>
              <w:t>人员管理</w:t>
            </w:r>
            <w:r>
              <w:t>增、删、改、查、门禁授权</w:t>
            </w:r>
          </w:p>
          <w:p>
            <w:r>
              <w:rPr>
                <w:rFonts w:hint="eastAsia"/>
              </w:rPr>
              <w:t>通讯方式</w:t>
            </w:r>
            <w:r>
              <w:t>有线网络标配RJ45有线网络</w:t>
            </w:r>
          </w:p>
          <w:p>
            <w:r>
              <w:t>WiFi选配WiFi网络连接</w:t>
            </w:r>
          </w:p>
          <w:p>
            <w:r>
              <w:rPr>
                <w:rFonts w:hint="eastAsia"/>
              </w:rPr>
              <w:t>其他</w:t>
            </w:r>
            <w:r>
              <w:t>韦根输入／输出、RS485</w:t>
            </w:r>
          </w:p>
          <w:p>
            <w:r>
              <w:rPr>
                <w:rFonts w:hint="eastAsia"/>
              </w:rPr>
              <w:t>防护等级</w:t>
            </w:r>
            <w:r>
              <w:t>碰撞等级IK04</w:t>
            </w:r>
          </w:p>
          <w:p>
            <w:r>
              <w:rPr>
                <w:rFonts w:hint="eastAsia"/>
              </w:rPr>
              <w:t>盐雾等级</w:t>
            </w:r>
            <w:r>
              <w:t>72h</w:t>
            </w:r>
          </w:p>
          <w:p>
            <w:r>
              <w:rPr>
                <w:rFonts w:hint="eastAsia"/>
              </w:rPr>
              <w:t>防尘防水等级</w:t>
            </w:r>
            <w:r>
              <w:t>TDB06Z防尘防水等级</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2</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人脸识别设备参考图片：</w:t>
            </w:r>
          </w:p>
          <w:p>
            <w:pPr>
              <w:jc w:val="center"/>
            </w:pPr>
            <w:r>
              <w:drawing>
                <wp:inline distT="0" distB="0" distL="0" distR="0">
                  <wp:extent cx="975360" cy="2113280"/>
                  <wp:effectExtent l="0" t="0" r="15240" b="1270"/>
                  <wp:docPr id="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9"/>
                          <pic:cNvPicPr>
                            <a:picLocks noChangeAspect="1" noChangeArrowheads="1"/>
                          </pic:cNvPicPr>
                        </pic:nvPicPr>
                        <pic:blipFill>
                          <a:blip r:embed="rId7">
                            <a:extLst>
                              <a:ext uri="{28A0092B-C50C-407E-A947-70E740481C1C}">
                                <a14:useLocalDpi xmlns:a14="http://schemas.microsoft.com/office/drawing/2010/main" val="0"/>
                              </a:ext>
                            </a:extLst>
                          </a:blip>
                          <a:srcRect l="15152"/>
                          <a:stretch>
                            <a:fillRect/>
                          </a:stretch>
                        </pic:blipFill>
                        <pic:spPr>
                          <a:xfrm>
                            <a:off x="0" y="0"/>
                            <a:ext cx="975360" cy="2113280"/>
                          </a:xfrm>
                          <a:prstGeom prst="rect">
                            <a:avLst/>
                          </a:prstGeom>
                          <a:noFill/>
                          <a:ln>
                            <a:noFill/>
                          </a:ln>
                        </pic:spPr>
                      </pic:pic>
                    </a:graphicData>
                  </a:graphic>
                </wp:inline>
              </w:drawing>
            </w: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4</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人脸识别设备配套软件</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支持</w:t>
            </w:r>
            <w:r>
              <w:t>TCP/IP、Http两种通讯类型的设备接入，支持主从控制器接入，支持通过设置设备在实时监控中的图标显示类型。</w:t>
            </w:r>
          </w:p>
          <w:p>
            <w:r>
              <w:rPr>
                <w:rFonts w:hint="eastAsia"/>
              </w:rPr>
              <w:t>★</w:t>
            </w:r>
            <w:r>
              <w:t>系统支持清除管理员、升级固件、重启设备、同步时间、启用设备、禁用设备、同步所有数据，设置后台验证参数、设备时区、登记机、夏令时、指纹比对阈值、机器出入状态，获取设备参数、获通过取人员信息、获取事件记录、查看设备中门禁规则、查询设备容量。修改IP地址、修改通讯密码、切换网络连接；需提供CNAS/CMA资质省级单位及以上软件评测中心出具的《测试报告》、以及提供该软件功能截图证明（</w:t>
            </w:r>
            <w:r>
              <w:rPr>
                <w:highlight w:val="yellow"/>
              </w:rPr>
              <w:t>复印件加盖公章</w:t>
            </w:r>
            <w:r>
              <w:t>）。</w:t>
            </w:r>
          </w:p>
          <w:p>
            <w:r>
              <w:rPr>
                <w:rFonts w:hint="eastAsia"/>
              </w:rPr>
              <w:t>门禁系统支持远程开门、远程关门、取消报警、远程常开、远程锁定、远程解锁、启用</w:t>
            </w:r>
            <w:r>
              <w:t>/禁用当天常开时间段通过功能。</w:t>
            </w:r>
          </w:p>
          <w:p>
            <w:r>
              <w:rPr>
                <w:rFonts w:hint="eastAsia"/>
              </w:rPr>
              <w:t>★</w:t>
            </w:r>
            <w:r>
              <w:t>系统可设置门参数包含门有效时间段、验证方式、锁驱动时长、韦根卡格式、出门按钮状态、卡号位反转、出门按钮延时、操作间隔、出门按钮有效时间段、门磁类型、入反潜时长、闭门回锁、胁迫通过密码、为磁延时、紧急状态密码、门常开时间段、禁用报警提醒、延长通行时间、开门延时、多人开门操作间隔；需提供CNAS/CMA资质省级单位及以上软件评测中心出具的《测试报告》、以及提供该软件功能截图证明（</w:t>
            </w:r>
            <w:r>
              <w:rPr>
                <w:highlight w:val="yellow"/>
              </w:rPr>
              <w:t>复印件加盖公章</w:t>
            </w:r>
            <w:r>
              <w:t>）。</w:t>
            </w:r>
          </w:p>
          <w:p>
            <w:r>
              <w:rPr>
                <w:rFonts w:hint="eastAsia"/>
              </w:rPr>
              <w:t>★</w:t>
            </w:r>
            <w:r>
              <w:t>可设置验证方式，支持卡密码、指纹、人脸一种或两种组合验证；支持远程打开、远程关闭、远程常开操作；支持正常工作日和节假日设置三个时间段，系统可设置3种不同的节假日策略，可设置反潜、互锁、联动、首人常开、多人开门、人员验证方式规则；需提供CNAS/CMA资质省级单位及以上软件评测中心出具的《测试报告》（</w:t>
            </w:r>
            <w:r>
              <w:rPr>
                <w:highlight w:val="yellow"/>
              </w:rPr>
              <w:t>复印件加盖公章</w:t>
            </w:r>
            <w:r>
              <w:t>）。</w:t>
            </w:r>
          </w:p>
          <w:p>
            <w:r>
              <w:rPr>
                <w:rFonts w:hint="eastAsia"/>
              </w:rPr>
              <w:t>可设置每台设备中每种事件类型触发时的提示声。</w:t>
            </w:r>
          </w:p>
          <w:p>
            <w:r>
              <w:rPr>
                <w:rFonts w:hint="eastAsia"/>
              </w:rPr>
              <w:t>监控设备的实时状态和命令下发情况。</w:t>
            </w:r>
          </w:p>
          <w:p>
            <w:r>
              <w:rPr>
                <w:rFonts w:hint="eastAsia"/>
              </w:rPr>
              <w:t>在实时监控界面可对门、辅助输入、辅助输出对象进行操作，可监控设备的连接状态、人员进出、事件记录、事件声音提醒和人员照片弹框。</w:t>
            </w:r>
          </w:p>
          <w:p>
            <w:r>
              <w:rPr>
                <w:rFonts w:hint="eastAsia"/>
              </w:rPr>
              <w:t>可提供一个单独的页面显示人员实时进出事件信。</w:t>
            </w:r>
          </w:p>
          <w:p>
            <w:r>
              <w:rPr>
                <w:rFonts w:hint="eastAsia"/>
              </w:rPr>
              <w:t>门禁系统支持报警事件监控，支持电子地图，以二维地图的形式进行门禁实时监控，可根据不同的场景设置多张地图进行监控。</w:t>
            </w:r>
          </w:p>
          <w:p>
            <w:r>
              <w:rPr>
                <w:rFonts w:hint="eastAsia"/>
              </w:rPr>
              <w:t>系统支持高级门禁功能，支持门禁区域、读头定义、查看区域内人员、</w:t>
            </w:r>
            <w:r>
              <w:t>LED数据显示、全局反潜、全局联动、全局互锁组、全局互锁、人员有效性、人数控制功能；需提供CNAS/CMA资质省级单位及以上软件评测中心出具的《测试报告》、以及提供该软件功能截图证明（</w:t>
            </w:r>
            <w:r>
              <w:rPr>
                <w:highlight w:val="yellow"/>
              </w:rPr>
              <w:t>复印件加盖公章</w:t>
            </w:r>
            <w:r>
              <w:t>）。</w:t>
            </w:r>
          </w:p>
          <w:p>
            <w:r>
              <w:rPr>
                <w:rFonts w:hint="eastAsia"/>
              </w:rPr>
              <w:t>系统支持查看门禁全部记录、今日访问记录、人员最后访问位置、全部异常记录，可通过人查询门禁权限、通过门查询可开门的人员。</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5</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叫号系统</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支持</w:t>
            </w:r>
            <w:r>
              <w:t>W</w:t>
            </w:r>
            <w:r>
              <w:rPr>
                <w:rFonts w:hint="eastAsia"/>
              </w:rPr>
              <w:t>indows</w:t>
            </w:r>
            <w:r>
              <w:t xml:space="preserve"> 7</w:t>
            </w:r>
            <w:r>
              <w:rPr>
                <w:rFonts w:hint="eastAsia"/>
              </w:rPr>
              <w:t>、Windows</w:t>
            </w:r>
            <w:r>
              <w:t xml:space="preserve"> 10</w:t>
            </w:r>
            <w:r>
              <w:rPr>
                <w:rFonts w:hint="eastAsia"/>
              </w:rPr>
              <w:t>，能支持按照时间、批次设定任务自动叫号，能将叫号信息发送至指定显示设备进行显示，能将叫号信息发送至指定音频播放设备进行播放。</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套</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6</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监控</w:t>
            </w:r>
          </w:p>
          <w:p>
            <w:pPr>
              <w:jc w:val="center"/>
            </w:pPr>
            <w:r>
              <w:rPr>
                <w:rFonts w:hint="eastAsia"/>
              </w:rPr>
              <w:t>录像机</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音频参数</w:t>
            </w:r>
          </w:p>
          <w:p>
            <w:r>
              <w:rPr>
                <w:rFonts w:hint="eastAsia"/>
              </w:rPr>
              <w:t>音频解码格式：G.711ulaw;G.711alaw;G.722;G.726;AAC</w:t>
            </w:r>
          </w:p>
          <w:p>
            <w:r>
              <w:rPr>
                <w:rFonts w:hint="eastAsia"/>
              </w:rPr>
              <w:t>音频输出：1路，RCA接口（线性电平，阻抗：1KΩ）</w:t>
            </w:r>
          </w:p>
          <w:p>
            <w:r>
              <w:rPr>
                <w:rFonts w:hint="eastAsia"/>
              </w:rPr>
              <w:t>语音对讲输入：1个，RCA接口（电平：2.0Vp-p，阻抗：1KΩ）</w:t>
            </w:r>
          </w:p>
          <w:p>
            <w:r>
              <w:rPr>
                <w:rFonts w:hint="eastAsia"/>
              </w:rPr>
              <w:t>硬盘管理</w:t>
            </w:r>
          </w:p>
          <w:p>
            <w:r>
              <w:rPr>
                <w:rFonts w:hint="eastAsia"/>
              </w:rPr>
              <w:t>盘位：4个SATA接口</w:t>
            </w:r>
          </w:p>
          <w:p>
            <w:r>
              <w:rPr>
                <w:rFonts w:hint="eastAsia"/>
              </w:rPr>
              <w:t>单盘容量：最大支持8TB</w:t>
            </w:r>
          </w:p>
          <w:p>
            <w:r>
              <w:rPr>
                <w:rFonts w:hint="eastAsia"/>
              </w:rPr>
              <w:t>阵列类型：不支持</w:t>
            </w:r>
          </w:p>
          <w:p>
            <w:r>
              <w:rPr>
                <w:rFonts w:hint="eastAsia"/>
              </w:rPr>
              <w:t>扩展存储：不支持</w:t>
            </w:r>
          </w:p>
          <w:p>
            <w:r>
              <w:rPr>
                <w:rFonts w:hint="eastAsia"/>
              </w:rPr>
              <w:t>录像管理</w:t>
            </w:r>
          </w:p>
          <w:p>
            <w:r>
              <w:rPr>
                <w:rFonts w:hint="eastAsia"/>
              </w:rPr>
              <w:t>录像/抓图模式：手动录像、定时录像、事件录像、移动侦测录像、报警录像、动测或报警录 像、动测且报警录像</w:t>
            </w:r>
          </w:p>
          <w:p>
            <w:r>
              <w:rPr>
                <w:rFonts w:hint="eastAsia"/>
              </w:rPr>
              <w:t>回放模式：即时回放、常规回放、事件回放、标签回放、智能回放、外部文件回放、日志回放</w:t>
            </w:r>
          </w:p>
          <w:p>
            <w:r>
              <w:rPr>
                <w:rFonts w:hint="eastAsia"/>
              </w:rPr>
              <w:t>备份模式：常规备份、事件备份、录像剪辑备份</w:t>
            </w:r>
          </w:p>
          <w:p>
            <w:r>
              <w:rPr>
                <w:rFonts w:hint="eastAsia"/>
              </w:rPr>
              <w:t>网络管理</w:t>
            </w:r>
          </w:p>
          <w:p>
            <w:r>
              <w:rPr>
                <w:rFonts w:hint="eastAsia"/>
              </w:rPr>
              <w:t>网络协议：IPv6、UPnP（即插即用）、NTP（网络校时）、SADP（自动搜索IP 地址）、PPPoE（拨号上网）、DHCP（自动获取IP地址）</w:t>
            </w:r>
          </w:p>
          <w:p>
            <w:r>
              <w:rPr>
                <w:rFonts w:hint="eastAsia"/>
              </w:rPr>
              <w:t>外部接口</w:t>
            </w:r>
          </w:p>
          <w:p>
            <w:r>
              <w:rPr>
                <w:rFonts w:hint="eastAsia"/>
              </w:rPr>
              <w:t>网络接口：2个，RJ45 10M/100M/1000M自适应以太网口</w:t>
            </w:r>
          </w:p>
          <w:p>
            <w:r>
              <w:rPr>
                <w:rFonts w:hint="eastAsia"/>
              </w:rPr>
              <w:t>串行接口：1个，RS-485半双工串行接口1个，标准RS-232串行接口</w:t>
            </w:r>
          </w:p>
          <w:p>
            <w:r>
              <w:rPr>
                <w:rFonts w:hint="eastAsia"/>
              </w:rPr>
              <w:t>USB接口：2个USB 2.0（前置），1个USB 3.0（后置）</w:t>
            </w:r>
          </w:p>
          <w:p>
            <w:r>
              <w:rPr>
                <w:rFonts w:hint="eastAsia"/>
              </w:rPr>
              <w:t>报警输入：16</w:t>
            </w:r>
          </w:p>
          <w:p>
            <w:r>
              <w:rPr>
                <w:rFonts w:hint="eastAsia"/>
              </w:rPr>
              <w:t>报警输出：4</w:t>
            </w:r>
          </w:p>
          <w:p>
            <w:r>
              <w:rPr>
                <w:rFonts w:hint="eastAsia"/>
              </w:rPr>
              <w:t>一般规范</w:t>
            </w:r>
          </w:p>
          <w:p>
            <w:r>
              <w:rPr>
                <w:rFonts w:hint="eastAsia"/>
              </w:rPr>
              <w:t>电源规格：AC 220V 80W</w:t>
            </w:r>
          </w:p>
          <w:p>
            <w:r>
              <w:rPr>
                <w:rFonts w:hint="eastAsia"/>
              </w:rPr>
              <w:t>功耗（不含硬盘）：≤20W</w:t>
            </w:r>
          </w:p>
          <w:p>
            <w:r>
              <w:rPr>
                <w:rFonts w:hint="eastAsia"/>
              </w:rPr>
              <w:t>工作温度：-10℃～＋55℃</w:t>
            </w:r>
          </w:p>
          <w:p>
            <w:r>
              <w:rPr>
                <w:rFonts w:hint="eastAsia"/>
              </w:rPr>
              <w:t>工作湿度：5%~95% 相对湿度，无冷凝</w:t>
            </w:r>
          </w:p>
          <w:p>
            <w:r>
              <w:rPr>
                <w:rFonts w:hint="eastAsia"/>
              </w:rPr>
              <w:t>重量（不含硬盘）：≤5Kg</w:t>
            </w:r>
          </w:p>
          <w:p>
            <w:r>
              <w:rPr>
                <w:rFonts w:hint="eastAsia"/>
              </w:rPr>
              <w:t>主板型号</w:t>
            </w:r>
          </w:p>
          <w:p>
            <w:r>
              <w:rPr>
                <w:rFonts w:hint="eastAsia"/>
              </w:rPr>
              <w:t>系统参数</w:t>
            </w:r>
          </w:p>
          <w:p>
            <w:r>
              <w:rPr>
                <w:rFonts w:hint="eastAsia"/>
              </w:rPr>
              <w:t>视频接入路数：8</w:t>
            </w:r>
          </w:p>
          <w:p>
            <w:r>
              <w:rPr>
                <w:rFonts w:hint="eastAsia"/>
              </w:rPr>
              <w:t>网络输入带宽：80Mbps</w:t>
            </w:r>
          </w:p>
          <w:p>
            <w:r>
              <w:rPr>
                <w:rFonts w:hint="eastAsia"/>
              </w:rPr>
              <w:t>网络输出带宽：160Mps</w:t>
            </w:r>
          </w:p>
          <w:p>
            <w:r>
              <w:rPr>
                <w:rFonts w:hint="eastAsia"/>
              </w:rPr>
              <w:t>录像分辨率：8MP/7MP/6MP/5MP/4MP/3MP/1080p/UXGA/720p/VGA/4CIF/DCIF/2CIF/CIF/QCIF</w:t>
            </w:r>
          </w:p>
          <w:p>
            <w:r>
              <w:rPr>
                <w:rFonts w:hint="eastAsia"/>
              </w:rPr>
              <w:t>视频参数</w:t>
            </w:r>
          </w:p>
          <w:p>
            <w:r>
              <w:rPr>
                <w:rFonts w:hint="eastAsia"/>
              </w:rPr>
              <w:t>视频输出：1路HDMI，VGA</w:t>
            </w:r>
          </w:p>
          <w:p>
            <w:r>
              <w:rPr>
                <w:rFonts w:hint="eastAsia"/>
              </w:rPr>
              <w:t>HDMI输出：4K（3840</w:t>
            </w:r>
            <w:r>
              <w:t>×</w:t>
            </w:r>
            <w:r>
              <w:rPr>
                <w:rFonts w:hint="eastAsia"/>
              </w:rPr>
              <w:t>2160）/30Hz， 2K（2560</w:t>
            </w:r>
            <w:r>
              <w:t>×</w:t>
            </w:r>
            <w:r>
              <w:rPr>
                <w:rFonts w:hint="eastAsia"/>
              </w:rPr>
              <w:t>1440）/60Hz， 1920</w:t>
            </w:r>
            <w:r>
              <w:t>×</w:t>
            </w:r>
            <w:r>
              <w:rPr>
                <w:rFonts w:hint="eastAsia"/>
              </w:rPr>
              <w:t>1080/60Hz，1600</w:t>
            </w:r>
            <w:r>
              <w:t>×</w:t>
            </w:r>
            <w:r>
              <w:rPr>
                <w:rFonts w:hint="eastAsia"/>
              </w:rPr>
              <w:t>1200/60Hz，1280</w:t>
            </w:r>
            <w:r>
              <w:t>×</w:t>
            </w:r>
            <w:r>
              <w:rPr>
                <w:rFonts w:hint="eastAsia"/>
              </w:rPr>
              <w:t>1024/60Hz，1280</w:t>
            </w:r>
            <w:r>
              <w:t>×</w:t>
            </w:r>
            <w:r>
              <w:rPr>
                <w:rFonts w:hint="eastAsia"/>
              </w:rPr>
              <w:t>720/60Hz，1024</w:t>
            </w:r>
            <w:r>
              <w:t>×</w:t>
            </w:r>
            <w:r>
              <w:rPr>
                <w:rFonts w:hint="eastAsia"/>
              </w:rPr>
              <w:t>768/60Hz</w:t>
            </w:r>
          </w:p>
          <w:p>
            <w:r>
              <w:rPr>
                <w:rFonts w:hint="eastAsia"/>
              </w:rPr>
              <w:t>VGA输出：和HDMI同源，1920</w:t>
            </w:r>
            <w:r>
              <w:t>×</w:t>
            </w:r>
            <w:r>
              <w:rPr>
                <w:rFonts w:hint="eastAsia"/>
              </w:rPr>
              <w:t>1080/60Hz，1600</w:t>
            </w:r>
            <w:r>
              <w:t>×</w:t>
            </w:r>
            <w:r>
              <w:rPr>
                <w:rFonts w:hint="eastAsia"/>
              </w:rPr>
              <w:t>1200/60Hz，1280</w:t>
            </w:r>
            <w:r>
              <w:t>×</w:t>
            </w:r>
            <w:r>
              <w:rPr>
                <w:rFonts w:hint="eastAsia"/>
              </w:rPr>
              <w:t>1024/60Hz，1280</w:t>
            </w:r>
            <w:r>
              <w:t>×</w:t>
            </w:r>
            <w:r>
              <w:rPr>
                <w:rFonts w:hint="eastAsia"/>
              </w:rPr>
              <w:t>720/60Hz，1024</w:t>
            </w:r>
            <w:r>
              <w:t>×</w:t>
            </w:r>
            <w:r>
              <w:rPr>
                <w:rFonts w:hint="eastAsia"/>
              </w:rPr>
              <w:t>768/60Hz</w:t>
            </w:r>
          </w:p>
          <w:p>
            <w:r>
              <w:rPr>
                <w:rFonts w:hint="eastAsia"/>
              </w:rPr>
              <w:t>CVBS输出：不支持</w:t>
            </w:r>
          </w:p>
          <w:p>
            <w:r>
              <w:rPr>
                <w:rFonts w:hint="eastAsia"/>
              </w:rPr>
              <w:t>预览分屏：1/4/6/8/9画面</w:t>
            </w:r>
          </w:p>
          <w:p>
            <w:r>
              <w:rPr>
                <w:rFonts w:hint="eastAsia"/>
              </w:rPr>
              <w:t>视频解码格式：H.265;H.264;Smart264;Smart265</w:t>
            </w:r>
          </w:p>
          <w:p>
            <w:r>
              <w:rPr>
                <w:rFonts w:hint="eastAsia"/>
              </w:rPr>
              <w:t>解码能力：8</w:t>
            </w:r>
            <w:r>
              <w:t>×</w:t>
            </w:r>
            <w:r>
              <w:rPr>
                <w:rFonts w:hint="eastAsia"/>
              </w:rPr>
              <w:t>1080P</w:t>
            </w:r>
          </w:p>
          <w:p>
            <w:r>
              <w:rPr>
                <w:rFonts w:hint="eastAsia"/>
              </w:rPr>
              <w:t>同步回放：8/16/16</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1</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7</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高清摄像机</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r>
              <w:rPr>
                <w:rFonts w:hint="eastAsia"/>
              </w:rPr>
              <w:t>视频</w:t>
            </w:r>
          </w:p>
          <w:p>
            <w:r>
              <w:rPr>
                <w:rFonts w:hint="eastAsia"/>
              </w:rPr>
              <w:t>最大图像尺寸：2560×1440</w:t>
            </w:r>
          </w:p>
          <w:p>
            <w:r>
              <w:rPr>
                <w:rFonts w:hint="eastAsia"/>
              </w:rPr>
              <w:t>主码流帧率分辨率：50 Hz：25 fps（2560×1440，2304×1296，1920×1080，1280×720）</w:t>
            </w:r>
          </w:p>
          <w:p>
            <w:r>
              <w:rPr>
                <w:rFonts w:hint="eastAsia"/>
              </w:rPr>
              <w:t>子码流帧率分辨率：50Hz：25fps（640×480，640×360）</w:t>
            </w:r>
          </w:p>
          <w:p>
            <w:r>
              <w:rPr>
                <w:rFonts w:hint="eastAsia"/>
              </w:rPr>
              <w:t>视频压缩标准：主码流：H.265/H.264 子码流：H.265/H.264/MJPEG</w:t>
            </w:r>
          </w:p>
          <w:p>
            <w:r>
              <w:rPr>
                <w:rFonts w:hint="eastAsia"/>
              </w:rPr>
              <w:t>视频压缩码率：32Kbps~8Mbps</w:t>
            </w:r>
          </w:p>
          <w:p>
            <w:r>
              <w:rPr>
                <w:rFonts w:hint="eastAsia"/>
              </w:rPr>
              <w:t>H.264编码类型：BaseLine Profile/Main Profile/High Profile</w:t>
            </w:r>
          </w:p>
          <w:p>
            <w:r>
              <w:rPr>
                <w:rFonts w:hint="eastAsia"/>
              </w:rPr>
              <w:t>H.265编码类型：Main Profile</w:t>
            </w:r>
          </w:p>
          <w:p>
            <w:r>
              <w:rPr>
                <w:rFonts w:hint="eastAsia"/>
              </w:rPr>
              <w:t>Smart264编码：主码流支持</w:t>
            </w:r>
          </w:p>
          <w:p>
            <w:r>
              <w:rPr>
                <w:rFonts w:hint="eastAsia"/>
              </w:rPr>
              <w:t>Smart265编码：主码流支持</w:t>
            </w:r>
          </w:p>
          <w:p>
            <w:r>
              <w:rPr>
                <w:rFonts w:hint="eastAsia"/>
              </w:rPr>
              <w:t>Smart265编码：支持</w:t>
            </w:r>
          </w:p>
          <w:p>
            <w:r>
              <w:rPr>
                <w:rFonts w:hint="eastAsia"/>
              </w:rPr>
              <w:t>码率控制：定码率，变码率</w:t>
            </w:r>
          </w:p>
          <w:p>
            <w:r>
              <w:rPr>
                <w:rFonts w:hint="eastAsia"/>
              </w:rPr>
              <w:t>SVC：支持</w:t>
            </w:r>
          </w:p>
          <w:p>
            <w:r>
              <w:rPr>
                <w:rFonts w:hint="eastAsia"/>
              </w:rPr>
              <w:t>ROI：支持主码流设置1个固定区域</w:t>
            </w:r>
          </w:p>
          <w:p>
            <w:r>
              <w:rPr>
                <w:rFonts w:hint="eastAsia"/>
              </w:rPr>
              <w:t>smart功能</w:t>
            </w:r>
          </w:p>
          <w:p>
            <w:r>
              <w:rPr>
                <w:rFonts w:hint="eastAsia"/>
              </w:rPr>
              <w:t>报警触发：移动侦测，遮挡报警，异常</w:t>
            </w:r>
          </w:p>
          <w:p>
            <w:r>
              <w:rPr>
                <w:rFonts w:hint="eastAsia"/>
              </w:rPr>
              <w:t>Smart事件：越界侦测，区域入侵侦测</w:t>
            </w:r>
          </w:p>
          <w:p>
            <w:r>
              <w:rPr>
                <w:rFonts w:hint="eastAsia"/>
              </w:rPr>
              <w:t>音频</w:t>
            </w:r>
          </w:p>
          <w:p>
            <w:r>
              <w:rPr>
                <w:rFonts w:hint="eastAsia"/>
              </w:rPr>
              <w:t>音频压缩标准：G.711a/G.711u/G.722.1/G.726/MP2L2/PCM/AAC</w:t>
            </w:r>
          </w:p>
          <w:p>
            <w:r>
              <w:rPr>
                <w:rFonts w:hint="eastAsia"/>
              </w:rPr>
              <w:t>音频压缩标准：G.711a/G.711u/G.722.1/G.726/MP2L2/PCM/AAC</w:t>
            </w:r>
          </w:p>
          <w:p>
            <w:r>
              <w:rPr>
                <w:rFonts w:hint="eastAsia"/>
              </w:rPr>
              <w:t>音频压缩标准：G.711a/G.711u/G.722.1/G.726/MP2L2/PCM/AAC</w:t>
            </w:r>
          </w:p>
          <w:p>
            <w:r>
              <w:rPr>
                <w:rFonts w:hint="eastAsia"/>
              </w:rPr>
              <w:t>音频压缩码率：64 Kbps（G.711）/16 Kbps（G.722.1）/16 Kbps（G.726）/32~160 Kbps（MP2L2）/16~64 Kbps（AAC）</w:t>
            </w:r>
          </w:p>
          <w:p>
            <w:r>
              <w:rPr>
                <w:rFonts w:hint="eastAsia"/>
              </w:rPr>
              <w:t>音频采样率：8kHz/16kHz</w:t>
            </w:r>
          </w:p>
          <w:p>
            <w:r>
              <w:rPr>
                <w:rFonts w:hint="eastAsia"/>
              </w:rPr>
              <w:t>音频环境噪声过滤：支持</w:t>
            </w:r>
          </w:p>
          <w:p>
            <w:r>
              <w:rPr>
                <w:rFonts w:hint="eastAsia"/>
              </w:rPr>
              <w:t>网络</w:t>
            </w:r>
          </w:p>
          <w:p>
            <w:r>
              <w:rPr>
                <w:rFonts w:hint="eastAsia"/>
              </w:rPr>
              <w:t>网络协议：TCP/IP，ICMP，HTTP，FTP，DHCP，DNS，RTP，RTSP，RTCP，NTP，SMTP，IGMP，QoS，UDP，Bonjour，SSL/TLS，HTTPS，DDNS，UPnP，802.1x，IPv6</w:t>
            </w:r>
          </w:p>
          <w:p>
            <w:r>
              <w:rPr>
                <w:rFonts w:hint="eastAsia"/>
              </w:rPr>
              <w:t>同时预览路数：最多6路</w:t>
            </w:r>
          </w:p>
          <w:p>
            <w:r>
              <w:rPr>
                <w:rFonts w:hint="eastAsia"/>
              </w:rPr>
              <w:t>接口协议（API）：开放型网络视频接口，ISAPI，SDK，GB28281（2016）</w:t>
            </w:r>
          </w:p>
          <w:p>
            <w:r>
              <w:rPr>
                <w:rFonts w:hint="eastAsia"/>
              </w:rPr>
              <w:t>用户管理：最多32个用户，可分3级用户权限管理：管理员，操作员，普通用户</w:t>
            </w:r>
          </w:p>
          <w:p>
            <w:r>
              <w:rPr>
                <w:rFonts w:hint="eastAsia"/>
              </w:rPr>
              <w:t>客户端：iVMS-4200，萤石云</w:t>
            </w:r>
          </w:p>
          <w:p>
            <w:r>
              <w:rPr>
                <w:rFonts w:hint="eastAsia"/>
              </w:rPr>
              <w:t>浏览器：使用插件预览：IE8，IE9，IE10，IE11 使用本地服务预览：Chrome 57.0+，Firefox 52.0+</w:t>
            </w:r>
          </w:p>
          <w:p>
            <w:r>
              <w:rPr>
                <w:rFonts w:hint="eastAsia"/>
              </w:rPr>
              <w:t>图像</w:t>
            </w:r>
          </w:p>
          <w:p>
            <w:r>
              <w:rPr>
                <w:rFonts w:hint="eastAsia"/>
              </w:rPr>
              <w:t>图像设置：饱和度，亮度，对比度，锐度，AGC，白平衡通过客户端或者浏览器可调</w:t>
            </w:r>
          </w:p>
          <w:p>
            <w:r>
              <w:rPr>
                <w:rFonts w:hint="eastAsia"/>
              </w:rPr>
              <w:t>日夜转换模式：白天，夜晚，自动，定时切换</w:t>
            </w:r>
          </w:p>
          <w:p>
            <w:r>
              <w:rPr>
                <w:rFonts w:hint="eastAsia"/>
              </w:rPr>
              <w:t>图像增强：背光补偿，强光抑制，3D数字降噪</w:t>
            </w:r>
          </w:p>
          <w:p>
            <w:r>
              <w:rPr>
                <w:rFonts w:hint="eastAsia"/>
              </w:rPr>
              <w:t>接口</w:t>
            </w:r>
          </w:p>
          <w:p>
            <w:r>
              <w:rPr>
                <w:rFonts w:hint="eastAsia"/>
              </w:rPr>
              <w:t>网络：1个RJ45 10 M/100 M自适应以太网口</w:t>
            </w:r>
          </w:p>
          <w:p>
            <w:r>
              <w:rPr>
                <w:rFonts w:hint="eastAsia"/>
              </w:rPr>
              <w:t>音频：1个内置麦克风</w:t>
            </w:r>
          </w:p>
          <w:p>
            <w:r>
              <w:rPr>
                <w:rFonts w:hint="eastAsia"/>
              </w:rPr>
              <w:t>摄像机</w:t>
            </w:r>
          </w:p>
          <w:p>
            <w:r>
              <w:rPr>
                <w:rFonts w:hint="eastAsia"/>
              </w:rPr>
              <w:t>传感器类型：1/3" Progressive Scan CMOS</w:t>
            </w:r>
          </w:p>
          <w:p>
            <w:r>
              <w:rPr>
                <w:rFonts w:hint="eastAsia"/>
              </w:rPr>
              <w:t>最低照度：彩色：0.005 Lux @（F1.2，AGC ON），0 Lux with IR</w:t>
            </w:r>
          </w:p>
          <w:p>
            <w:r>
              <w:rPr>
                <w:rFonts w:hint="eastAsia"/>
              </w:rPr>
              <w:t>快门：1/3 s~1/100,000 s</w:t>
            </w:r>
          </w:p>
          <w:p>
            <w:r>
              <w:rPr>
                <w:rFonts w:hint="eastAsia"/>
              </w:rPr>
              <w:t>慢快门：支持</w:t>
            </w:r>
          </w:p>
          <w:p>
            <w:r>
              <w:rPr>
                <w:rFonts w:hint="eastAsia"/>
              </w:rPr>
              <w:t>P/N制：P制</w:t>
            </w:r>
          </w:p>
          <w:p>
            <w:r>
              <w:rPr>
                <w:rFonts w:hint="eastAsia"/>
              </w:rPr>
              <w:t>宽动态：120 dB</w:t>
            </w:r>
          </w:p>
          <w:p>
            <w:r>
              <w:rPr>
                <w:rFonts w:hint="eastAsia"/>
              </w:rPr>
              <w:t>日夜切换模式：ICR红外滤片式</w:t>
            </w:r>
          </w:p>
          <w:p>
            <w:r>
              <w:rPr>
                <w:rFonts w:hint="eastAsia"/>
              </w:rPr>
              <w:t>调节角度：水平：0°~360°，垂直：0°~75°，旋转：0°~360°</w:t>
            </w:r>
          </w:p>
          <w:p>
            <w:r>
              <w:rPr>
                <w:rFonts w:hint="eastAsia"/>
              </w:rPr>
              <w:t>镜头</w:t>
            </w:r>
          </w:p>
          <w:p>
            <w:r>
              <w:rPr>
                <w:rFonts w:hint="eastAsia"/>
              </w:rPr>
              <w:t>焦距&amp;视场角：2.8mm，水平视场角：97°，垂直视场角：52.3°，对角线视场角：114.3°4mm，水平视场角：78.8°，垂直视场角:40.5°，对角线视场角：93.9°6mm，水平视场角：49.1°，垂直视场角：26.3°，对角线视场角：57.2°8mm，水平视场角：37.5°，垂直视场角：20.7°，对角线视场角：43.3°</w:t>
            </w:r>
          </w:p>
          <w:p>
            <w:r>
              <w:rPr>
                <w:rFonts w:hint="eastAsia"/>
              </w:rPr>
              <w:t>镜头尺寸接口：M12</w:t>
            </w:r>
          </w:p>
          <w:p>
            <w:r>
              <w:rPr>
                <w:rFonts w:hint="eastAsia"/>
              </w:rPr>
              <w:t>光圈类型：固定光圈</w:t>
            </w:r>
          </w:p>
          <w:p>
            <w:r>
              <w:rPr>
                <w:rFonts w:hint="eastAsia"/>
              </w:rPr>
              <w:t>最大光圈数：F1.6</w:t>
            </w:r>
          </w:p>
          <w:p>
            <w:r>
              <w:rPr>
                <w:rFonts w:hint="eastAsia"/>
              </w:rPr>
              <w:t>补光</w:t>
            </w:r>
          </w:p>
          <w:p>
            <w:r>
              <w:rPr>
                <w:rFonts w:hint="eastAsia"/>
              </w:rPr>
              <w:t>防补光过曝：支持</w:t>
            </w:r>
          </w:p>
          <w:p>
            <w:r>
              <w:rPr>
                <w:rFonts w:hint="eastAsia"/>
              </w:rPr>
              <w:t>补光灯类型：红外灯</w:t>
            </w:r>
          </w:p>
          <w:p>
            <w:r>
              <w:rPr>
                <w:rFonts w:hint="eastAsia"/>
              </w:rPr>
              <w:t>补光距离：最远可达30 m</w:t>
            </w:r>
          </w:p>
          <w:p>
            <w:r>
              <w:rPr>
                <w:rFonts w:hint="eastAsia"/>
              </w:rPr>
              <w:t>波长范围：850 nm</w:t>
            </w:r>
          </w:p>
          <w:p>
            <w:r>
              <w:rPr>
                <w:rFonts w:hint="eastAsia"/>
              </w:rPr>
              <w:t>认证</w:t>
            </w:r>
          </w:p>
          <w:p>
            <w:r>
              <w:rPr>
                <w:rFonts w:hint="eastAsia"/>
              </w:rPr>
              <w:t>防护：IP66</w:t>
            </w:r>
          </w:p>
          <w:p>
            <w:r>
              <w:rPr>
                <w:rFonts w:hint="eastAsia"/>
              </w:rPr>
              <w:t>一般规范</w:t>
            </w:r>
          </w:p>
          <w:p>
            <w:r>
              <w:rPr>
                <w:rFonts w:hint="eastAsia"/>
              </w:rPr>
              <w:t>联动方式：上传FTP，上传中心，邮件，抓图</w:t>
            </w:r>
          </w:p>
          <w:p>
            <w:r>
              <w:rPr>
                <w:rFonts w:hint="eastAsia"/>
              </w:rPr>
              <w:t>启动及工作温湿度：-30 ℃~60 ℃，湿度小于95%（无凝结）</w:t>
            </w:r>
          </w:p>
          <w:p>
            <w:r>
              <w:rPr>
                <w:rFonts w:hint="eastAsia"/>
              </w:rPr>
              <w:t>通用功能：旋转，镜像，视频遮盖，心跳，密码保护，水印，IP地址过滤，像素计算器</w:t>
            </w:r>
          </w:p>
          <w:p>
            <w:r>
              <w:rPr>
                <w:rFonts w:hint="eastAsia"/>
              </w:rPr>
              <w:t>恢复出厂设置：支持客户端或浏览器恢复</w:t>
            </w:r>
          </w:p>
          <w:p>
            <w:r>
              <w:rPr>
                <w:rFonts w:hint="eastAsia"/>
              </w:rPr>
              <w:t>电流及功耗：DC：12 V，0.41 A，最大功耗：5.0 W PoE：802.3af，36 V~57 V，0.18 A~0.11 A，最大功耗：6.5 W *DWD型号不支持PoE</w:t>
            </w:r>
          </w:p>
          <w:p>
            <w:r>
              <w:rPr>
                <w:rFonts w:hint="eastAsia"/>
              </w:rPr>
              <w:t>供电方式：DC：12 V ± 25%，支持防反接保护 PoE：802.3af，Class 3 *DWD型号不支持PoE</w:t>
            </w:r>
          </w:p>
          <w:p>
            <w:r>
              <w:rPr>
                <w:rFonts w:hint="eastAsia"/>
              </w:rPr>
              <w:t>电源接口类型：Ø5.5 mm圆口</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t>8</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台</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p>
        </w:tc>
      </w:tr>
      <w:tr>
        <w:tblPrEx>
          <w:tblCellMar>
            <w:top w:w="0" w:type="dxa"/>
            <w:left w:w="0" w:type="dxa"/>
            <w:bottom w:w="0" w:type="dxa"/>
            <w:right w:w="0" w:type="dxa"/>
          </w:tblCellMar>
        </w:tblPrEx>
        <w:trPr>
          <w:trHeight w:val="480" w:hRule="atLeast"/>
        </w:trPr>
        <w:tc>
          <w:tcPr>
            <w:tcW w:w="68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textAlignment w:val="center"/>
              <w:rPr>
                <w:rStyle w:val="41"/>
                <w:rFonts w:hint="eastAsia" w:ascii="宋体" w:hAnsi="宋体" w:eastAsia="宋体"/>
                <w:color w:val="000000"/>
                <w:kern w:val="0"/>
                <w:sz w:val="20"/>
                <w:szCs w:val="20"/>
                <w:lang w:eastAsia="zh-CN"/>
              </w:rPr>
            </w:pPr>
            <w:r>
              <w:rPr>
                <w:rStyle w:val="41"/>
                <w:rFonts w:hint="eastAsia" w:ascii="宋体" w:hAnsi="宋体"/>
                <w:color w:val="000000"/>
                <w:kern w:val="0"/>
                <w:sz w:val="20"/>
                <w:szCs w:val="20"/>
                <w:lang w:val="en-US" w:eastAsia="zh-CN"/>
              </w:rPr>
              <w:t>8</w:t>
            </w:r>
          </w:p>
        </w:tc>
        <w:tc>
          <w:tcPr>
            <w:tcW w:w="1596"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显示屏防窥膜</w:t>
            </w:r>
          </w:p>
        </w:tc>
        <w:tc>
          <w:tcPr>
            <w:tcW w:w="3776" w:type="dxa"/>
            <w:tcBorders>
              <w:top w:val="single" w:color="000000" w:sz="4" w:space="0"/>
              <w:left w:val="single" w:color="000000" w:sz="4" w:space="0"/>
              <w:bottom w:val="single" w:color="000000" w:sz="4" w:space="0"/>
              <w:right w:val="single" w:color="000000" w:sz="4" w:space="0"/>
            </w:tcBorders>
            <w:shd w:val="clear" w:color="auto" w:fill="FFFFFF"/>
            <w:vAlign w:val="center"/>
          </w:tcPr>
          <w:p>
            <w:pPr>
              <w:textAlignment w:val="center"/>
              <w:rPr>
                <w:rStyle w:val="41"/>
                <w:rFonts w:ascii="宋体" w:hAnsi="宋体"/>
                <w:color w:val="000000"/>
                <w:sz w:val="20"/>
                <w:szCs w:val="20"/>
              </w:rPr>
            </w:pPr>
            <w:r>
              <w:rPr>
                <w:rFonts w:hint="eastAsia"/>
              </w:rPr>
              <w:t>高清2</w:t>
            </w:r>
            <w:r>
              <w:t>1.5</w:t>
            </w:r>
            <w:r>
              <w:rPr>
                <w:rFonts w:hint="eastAsia"/>
              </w:rPr>
              <w:t>寸1</w:t>
            </w:r>
            <w:r>
              <w:t>6</w:t>
            </w:r>
            <w:r>
              <w:rPr>
                <w:rFonts w:hint="eastAsia"/>
              </w:rPr>
              <w:t>：</w:t>
            </w:r>
            <w:r>
              <w:t>9</w:t>
            </w:r>
            <w:r>
              <w:rPr>
                <w:rFonts w:hint="eastAsia"/>
              </w:rPr>
              <w:t>显示屏防窥膜，4</w:t>
            </w:r>
            <w:r>
              <w:t>77×268mm</w:t>
            </w:r>
            <w:r>
              <w:rPr>
                <w:rFonts w:hint="eastAsia"/>
              </w:rPr>
              <w:t>，采用两侧定位片无胶固定防窥膜，随取随用，采用微细百叶窗光学技术有效防止侧面偷窥且不影响正面屏幕视觉效果，采用防眩涂层过滤强光，无斜纹，防油污。</w:t>
            </w:r>
          </w:p>
        </w:tc>
        <w:tc>
          <w:tcPr>
            <w:tcW w:w="671"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t>150</w:t>
            </w:r>
          </w:p>
        </w:tc>
        <w:tc>
          <w:tcPr>
            <w:tcW w:w="64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eastAsiaTheme="minorEastAsia"/>
              </w:rPr>
            </w:pPr>
            <w:r>
              <w:rPr>
                <w:rFonts w:hint="eastAsia"/>
              </w:rPr>
              <w:t>片</w:t>
            </w:r>
          </w:p>
        </w:tc>
        <w:tc>
          <w:tcPr>
            <w:tcW w:w="1554"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pPr>
            <w:r>
              <w:rPr>
                <w:rFonts w:hint="eastAsia"/>
              </w:rPr>
              <w:t>需提供样品现场演示</w:t>
            </w:r>
          </w:p>
        </w:tc>
      </w:tr>
    </w:tbl>
    <w:p>
      <w:pPr>
        <w:pStyle w:val="2"/>
        <w:ind w:firstLine="0"/>
        <w:rPr>
          <w:sz w:val="24"/>
          <w:szCs w:val="24"/>
        </w:rPr>
      </w:pPr>
    </w:p>
    <w:p>
      <w:pPr>
        <w:pStyle w:val="2"/>
      </w:pPr>
    </w:p>
    <w:p>
      <w:pPr>
        <w:numPr>
          <w:ilvl w:val="0"/>
          <w:numId w:val="3"/>
        </w:numPr>
        <w:autoSpaceDE w:val="0"/>
        <w:autoSpaceDN w:val="0"/>
        <w:adjustRightInd w:val="0"/>
        <w:snapToGrid w:val="0"/>
        <w:spacing w:line="400" w:lineRule="exact"/>
        <w:ind w:left="-181" w:leftChars="-86" w:right="-178" w:rightChars="-85" w:firstLine="482" w:firstLineChars="200"/>
        <w:textAlignment w:val="bottom"/>
        <w:rPr>
          <w:rFonts w:ascii="宋体" w:hAnsi="宋体"/>
          <w:b/>
          <w:sz w:val="24"/>
        </w:rPr>
      </w:pPr>
      <w:r>
        <w:rPr>
          <w:rFonts w:hint="eastAsia" w:ascii="宋体" w:hAnsi="宋体"/>
          <w:b/>
          <w:sz w:val="24"/>
        </w:rPr>
        <w:t>质保要求：</w:t>
      </w:r>
    </w:p>
    <w:p>
      <w:pPr>
        <w:autoSpaceDE w:val="0"/>
        <w:autoSpaceDN w:val="0"/>
        <w:adjustRightInd w:val="0"/>
        <w:snapToGrid w:val="0"/>
        <w:spacing w:line="400" w:lineRule="exact"/>
        <w:ind w:left="-181" w:leftChars="-86" w:right="-178" w:rightChars="-85" w:firstLine="480" w:firstLineChars="200"/>
        <w:textAlignment w:val="bottom"/>
        <w:rPr>
          <w:rFonts w:hint="eastAsia" w:ascii="宋体" w:hAnsi="宋体"/>
          <w:sz w:val="24"/>
        </w:rPr>
      </w:pPr>
      <w:r>
        <w:rPr>
          <w:rFonts w:hint="eastAsia" w:ascii="宋体" w:hAnsi="宋体"/>
          <w:sz w:val="24"/>
        </w:rPr>
        <w:t>供应商须按清单中的要求为本项目货物提供至少</w:t>
      </w:r>
      <w:r>
        <w:rPr>
          <w:rFonts w:hint="eastAsia" w:ascii="宋体" w:hAnsi="宋体"/>
          <w:sz w:val="24"/>
          <w:lang w:val="en-US" w:eastAsia="zh-CN"/>
        </w:rPr>
        <w:t>一</w:t>
      </w:r>
      <w:r>
        <w:rPr>
          <w:rFonts w:hint="eastAsia" w:ascii="宋体" w:hAnsi="宋体"/>
          <w:sz w:val="24"/>
        </w:rPr>
        <w:t>年的免费原厂质量保证服务，终身免费技术咨询，质量保证期时间自产品最终验收合格双方签字并交付使用之日算起。</w:t>
      </w:r>
    </w:p>
    <w:p>
      <w:pPr>
        <w:numPr>
          <w:ilvl w:val="0"/>
          <w:numId w:val="3"/>
        </w:numPr>
        <w:spacing w:line="360" w:lineRule="auto"/>
        <w:ind w:left="-181" w:leftChars="-86" w:firstLine="482" w:firstLineChars="200"/>
        <w:contextualSpacing/>
        <w:rPr>
          <w:rFonts w:ascii="宋体" w:hAnsi="宋体"/>
          <w:b/>
          <w:color w:val="000000"/>
          <w:sz w:val="24"/>
          <w:shd w:val="pct10" w:color="auto" w:fill="FFFFFF"/>
        </w:rPr>
      </w:pPr>
      <w:bookmarkStart w:id="2" w:name="_Toc416681035"/>
      <w:bookmarkEnd w:id="2"/>
      <w:r>
        <w:rPr>
          <w:rFonts w:hint="eastAsia" w:ascii="宋体" w:hAnsi="宋体"/>
          <w:b/>
          <w:color w:val="000000"/>
          <w:sz w:val="24"/>
          <w:shd w:val="pct10" w:color="auto" w:fill="FFFFFF"/>
        </w:rPr>
        <w:t>其他要求：</w:t>
      </w:r>
    </w:p>
    <w:p>
      <w:pPr>
        <w:spacing w:line="400" w:lineRule="exact"/>
        <w:ind w:firstLine="480" w:firstLineChars="200"/>
        <w:rPr>
          <w:rFonts w:hint="default" w:eastAsia="宋体"/>
          <w:color w:val="000000"/>
          <w:sz w:val="24"/>
          <w:lang w:val="en-US" w:eastAsia="zh-CN"/>
        </w:rPr>
      </w:pPr>
      <w:r>
        <w:rPr>
          <w:rFonts w:hint="eastAsia"/>
          <w:color w:val="000000"/>
          <w:sz w:val="24"/>
        </w:rPr>
        <w:t>1、</w:t>
      </w:r>
      <w:r>
        <w:rPr>
          <w:rFonts w:hint="eastAsia"/>
          <w:color w:val="000000"/>
          <w:sz w:val="24"/>
          <w:lang w:val="en-US" w:eastAsia="zh-CN"/>
        </w:rPr>
        <w:t>供货时须和招标方进行对接，已保证质量。供应商投标价须包含运输、安装及耗材等一切费用。</w:t>
      </w:r>
    </w:p>
    <w:p>
      <w:pPr>
        <w:spacing w:line="400" w:lineRule="exact"/>
        <w:ind w:firstLine="480" w:firstLineChars="200"/>
        <w:rPr>
          <w:color w:val="000000"/>
          <w:sz w:val="24"/>
        </w:rPr>
      </w:pPr>
      <w:r>
        <w:rPr>
          <w:rFonts w:hint="eastAsia"/>
          <w:color w:val="000000"/>
          <w:sz w:val="24"/>
          <w:lang w:val="en-US" w:eastAsia="zh-CN"/>
        </w:rPr>
        <w:t>2、</w:t>
      </w:r>
      <w:r>
        <w:rPr>
          <w:rFonts w:hint="eastAsia"/>
          <w:color w:val="000000"/>
          <w:sz w:val="24"/>
        </w:rPr>
        <w:t>需提供服务承诺书（施工期间垃圾清理情况、现场设备维护及维修、后期施工项目维护及维修等）</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w:t>
      </w:r>
      <w:r>
        <w:rPr>
          <w:rFonts w:hint="eastAsia"/>
          <w:color w:val="000000"/>
          <w:sz w:val="24"/>
          <w:lang w:val="en-US" w:eastAsia="zh-CN"/>
        </w:rPr>
        <w:t>如须提供样品，</w:t>
      </w:r>
      <w:r>
        <w:rPr>
          <w:rFonts w:hint="eastAsia"/>
          <w:color w:val="000000"/>
          <w:sz w:val="24"/>
        </w:rPr>
        <w:t>中标单位样品将进行留存并在实际交货时需对照，如出现样品跟实际供货不一样将取消中标资格，</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文件所提供的全部技术资料（包括：投标货物原厂原版彩印技术样本、使用保养说明书、图纸、各种试验报告和鉴定证书、货物获奖证书等）真实可靠，不得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对其中任何资料进一步审查和采购人认可的第3方测试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pPr>
        <w:pStyle w:val="2"/>
        <w:numPr>
          <w:ilvl w:val="0"/>
          <w:numId w:val="0"/>
        </w:numPr>
        <w:rPr>
          <w:rFonts w:ascii="Times New Roman" w:hAnsi="Times New Roman"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5、投标供应商须提供完备详实的充装方案、抽检方案、售后方案。</w:t>
      </w:r>
    </w:p>
    <w:p>
      <w:pPr>
        <w:pStyle w:val="2"/>
        <w:ind w:left="0" w:leftChars="0" w:firstLine="0" w:firstLineChars="0"/>
      </w:pP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w:t>
      </w:r>
      <w:r>
        <w:rPr>
          <w:rFonts w:hint="eastAsia" w:ascii="宋体" w:hAnsi="宋体"/>
          <w:sz w:val="24"/>
          <w:lang w:val="en-US" w:eastAsia="zh-CN"/>
        </w:rPr>
        <w:t>以采购人具体通知时间完成</w:t>
      </w:r>
      <w:r>
        <w:rPr>
          <w:rFonts w:hint="eastAsia" w:ascii="宋体" w:hAnsi="宋体"/>
          <w:sz w:val="24"/>
        </w:rPr>
        <w:t>项目的所需货物的安装、调试、验收，直至交付采购人可以正常使用。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四、对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pPr>
        <w:pStyle w:val="4"/>
        <w:ind w:firstLine="482"/>
        <w:rPr>
          <w:rFonts w:ascii="宋体" w:hAnsi="宋体" w:eastAsia="宋体" w:cs="宋体"/>
          <w:b w:val="0"/>
          <w:bCs w:val="0"/>
          <w:sz w:val="24"/>
          <w:szCs w:val="24"/>
        </w:rPr>
      </w:pPr>
      <w:bookmarkStart w:id="4" w:name="_Toc240772095"/>
      <w:r>
        <w:rPr>
          <w:rFonts w:hint="eastAsia" w:ascii="宋体" w:hAnsi="宋体" w:eastAsia="宋体" w:cs="宋体"/>
          <w:b w:val="0"/>
          <w:bCs w:val="0"/>
          <w:sz w:val="24"/>
          <w:szCs w:val="24"/>
        </w:rPr>
        <w:t>4、对询价过程和拟成交结果的质疑</w:t>
      </w:r>
      <w:bookmarkEnd w:id="4"/>
      <w:r>
        <w:rPr>
          <w:rFonts w:hint="eastAsia" w:ascii="宋体" w:hAnsi="宋体" w:eastAsia="宋体" w:cs="宋体"/>
          <w:b w:val="0"/>
          <w:bCs w:val="0"/>
          <w:sz w:val="24"/>
          <w:szCs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p>
    <w:p>
      <w:pPr>
        <w:pStyle w:val="4"/>
        <w:ind w:firstLine="482"/>
        <w:rPr>
          <w:rFonts w:ascii="宋体" w:hAnsi="宋体" w:eastAsia="宋体" w:cs="宋体"/>
          <w:b w:val="0"/>
          <w:bCs w:val="0"/>
          <w:sz w:val="24"/>
          <w:szCs w:val="24"/>
        </w:rPr>
      </w:pPr>
      <w:bookmarkStart w:id="5" w:name="_Toc240772096"/>
      <w:r>
        <w:rPr>
          <w:rFonts w:hint="eastAsia" w:ascii="宋体" w:hAnsi="宋体" w:eastAsia="宋体" w:cs="宋体"/>
          <w:b w:val="0"/>
          <w:bCs w:val="0"/>
          <w:sz w:val="24"/>
          <w:szCs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五、响应文件的编制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3"/>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rPr>
      </w:pPr>
      <w:r>
        <w:rPr>
          <w:rFonts w:hint="eastAsia" w:ascii="宋体" w:hAnsi="宋体" w:eastAsia="宋体"/>
          <w:bCs w:val="0"/>
        </w:rPr>
        <w:t>附件</w:t>
      </w:r>
      <w:bookmarkEnd w:id="1"/>
      <w:bookmarkStart w:id="9" w:name="_Toc294609003"/>
      <w:bookmarkStart w:id="10" w:name="_Toc236473298"/>
      <w:bookmarkStart w:id="11" w:name="_Toc238276242"/>
      <w:bookmarkStart w:id="12" w:name="_Toc265109445"/>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4"/>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4"/>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2"/>
      </w:pPr>
    </w:p>
    <w:p>
      <w:pPr>
        <w:spacing w:after="240"/>
        <w:rPr>
          <w:rFonts w:ascii="宋体" w:hAnsi="宋体"/>
          <w:b/>
          <w:sz w:val="32"/>
          <w:szCs w:val="32"/>
        </w:rPr>
      </w:pP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2"/>
        <w:jc w:val="center"/>
        <w:rPr>
          <w:b/>
          <w:sz w:val="32"/>
          <w:szCs w:val="32"/>
        </w:rPr>
      </w:pPr>
      <w:r>
        <w:rPr>
          <w:rFonts w:hint="eastAsia"/>
          <w:b/>
          <w:sz w:val="32"/>
          <w:szCs w:val="32"/>
        </w:rPr>
        <w:t>分项报价表</w:t>
      </w:r>
    </w:p>
    <w:p>
      <w:pPr>
        <w:pStyle w:val="2"/>
        <w:ind w:firstLine="0"/>
        <w:rPr>
          <w:sz w:val="24"/>
          <w:szCs w:val="24"/>
        </w:rPr>
      </w:pPr>
      <w:r>
        <w:rPr>
          <w:rFonts w:hint="eastAsia"/>
          <w:sz w:val="24"/>
          <w:szCs w:val="24"/>
        </w:rPr>
        <w:t>项目名称：</w:t>
      </w:r>
    </w:p>
    <w:p>
      <w:pPr>
        <w:pStyle w:val="2"/>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5245" w:type="dxa"/>
            <w:vAlign w:val="center"/>
          </w:tcPr>
          <w:p>
            <w:pPr>
              <w:pStyle w:val="2"/>
              <w:ind w:firstLine="0"/>
              <w:jc w:val="center"/>
              <w:rPr>
                <w:sz w:val="24"/>
                <w:szCs w:val="24"/>
              </w:rPr>
            </w:pPr>
            <w:r>
              <w:rPr>
                <w:rFonts w:hint="eastAsia"/>
                <w:sz w:val="24"/>
                <w:szCs w:val="24"/>
              </w:rPr>
              <w:t>货物名称（可包含规格、品牌、生产厂家、产地）</w:t>
            </w:r>
          </w:p>
        </w:tc>
        <w:tc>
          <w:tcPr>
            <w:tcW w:w="992"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单价</w:t>
            </w:r>
          </w:p>
        </w:tc>
        <w:tc>
          <w:tcPr>
            <w:tcW w:w="850" w:type="dxa"/>
            <w:vAlign w:val="center"/>
          </w:tcPr>
          <w:p>
            <w:pPr>
              <w:pStyle w:val="2"/>
              <w:ind w:firstLine="0"/>
              <w:jc w:val="center"/>
              <w:rPr>
                <w:sz w:val="24"/>
                <w:szCs w:val="24"/>
              </w:rPr>
            </w:pPr>
            <w:r>
              <w:rPr>
                <w:rFonts w:hint="eastAsia"/>
                <w:sz w:val="24"/>
                <w:szCs w:val="24"/>
              </w:rPr>
              <w:t>总价</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5245" w:type="dxa"/>
          </w:tcPr>
          <w:p>
            <w:pPr>
              <w:pStyle w:val="2"/>
              <w:ind w:firstLine="0"/>
              <w:jc w:val="center"/>
              <w:rPr>
                <w:b/>
                <w:sz w:val="32"/>
                <w:szCs w:val="32"/>
              </w:rPr>
            </w:pPr>
          </w:p>
        </w:tc>
        <w:tc>
          <w:tcPr>
            <w:tcW w:w="992" w:type="dxa"/>
          </w:tcPr>
          <w:p>
            <w:pPr>
              <w:pStyle w:val="2"/>
              <w:ind w:firstLine="0"/>
              <w:jc w:val="center"/>
              <w:rPr>
                <w:sz w:val="32"/>
                <w:szCs w:val="32"/>
              </w:rPr>
            </w:pPr>
          </w:p>
        </w:tc>
        <w:tc>
          <w:tcPr>
            <w:tcW w:w="851"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5245" w:type="dxa"/>
          </w:tcPr>
          <w:p>
            <w:pPr>
              <w:pStyle w:val="2"/>
              <w:ind w:firstLine="0"/>
              <w:jc w:val="center"/>
              <w:rPr>
                <w:b/>
                <w:sz w:val="32"/>
                <w:szCs w:val="32"/>
              </w:rPr>
            </w:pPr>
          </w:p>
        </w:tc>
        <w:tc>
          <w:tcPr>
            <w:tcW w:w="992" w:type="dxa"/>
          </w:tcPr>
          <w:p>
            <w:pPr>
              <w:pStyle w:val="2"/>
              <w:ind w:firstLine="0"/>
              <w:jc w:val="center"/>
              <w:rPr>
                <w:b/>
                <w:sz w:val="32"/>
                <w:szCs w:val="32"/>
              </w:rPr>
            </w:pPr>
          </w:p>
        </w:tc>
        <w:tc>
          <w:tcPr>
            <w:tcW w:w="851"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rPr>
          <w:rFonts w:ascii="宋体" w:hAnsi="宋体"/>
          <w:sz w:val="24"/>
          <w:szCs w:val="24"/>
        </w:rPr>
      </w:pPr>
      <w:r>
        <w:rPr>
          <w:rFonts w:hint="eastAsia" w:ascii="宋体" w:hAnsi="宋体"/>
          <w:sz w:val="24"/>
          <w:szCs w:val="24"/>
        </w:rPr>
        <w:t>说明</w:t>
      </w:r>
    </w:p>
    <w:p>
      <w:pPr>
        <w:pStyle w:val="2"/>
        <w:numPr>
          <w:ilvl w:val="0"/>
          <w:numId w:val="4"/>
        </w:numPr>
        <w:rPr>
          <w:rFonts w:ascii="宋体" w:hAnsi="宋体"/>
          <w:sz w:val="24"/>
          <w:szCs w:val="24"/>
        </w:rPr>
      </w:pPr>
      <w:r>
        <w:rPr>
          <w:rFonts w:hint="eastAsia" w:ascii="宋体" w:hAnsi="宋体"/>
          <w:sz w:val="24"/>
          <w:szCs w:val="24"/>
        </w:rPr>
        <w:t>所有价格均用人民币表示，单位为元。</w:t>
      </w:r>
    </w:p>
    <w:p>
      <w:pPr>
        <w:pStyle w:val="2"/>
        <w:numPr>
          <w:ilvl w:val="0"/>
          <w:numId w:val="4"/>
        </w:numPr>
        <w:rPr>
          <w:rFonts w:ascii="宋体" w:hAnsi="宋体"/>
          <w:sz w:val="24"/>
          <w:szCs w:val="24"/>
        </w:rPr>
      </w:pPr>
      <w:r>
        <w:rPr>
          <w:rFonts w:hint="eastAsia" w:ascii="宋体" w:hAnsi="宋体"/>
          <w:sz w:val="24"/>
          <w:szCs w:val="24"/>
        </w:rPr>
        <w:t>分项报价总计价格必须与《开标一览表》报价一致。</w:t>
      </w:r>
    </w:p>
    <w:p>
      <w:pPr>
        <w:pStyle w:val="2"/>
        <w:numPr>
          <w:ilvl w:val="0"/>
          <w:numId w:val="4"/>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2"/>
        <w:rPr>
          <w:rFonts w:ascii="宋体" w:hAnsi="宋体"/>
          <w:sz w:val="24"/>
          <w:szCs w:val="24"/>
        </w:rPr>
      </w:pPr>
    </w:p>
    <w:p>
      <w:pPr>
        <w:pStyle w:val="2"/>
        <w:rPr>
          <w:rFonts w:ascii="宋体" w:hAnsi="宋体"/>
          <w:sz w:val="24"/>
          <w:szCs w:val="24"/>
        </w:rPr>
      </w:pPr>
    </w:p>
    <w:p>
      <w:pPr>
        <w:pStyle w:val="2"/>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2"/>
        <w:rPr>
          <w:rFonts w:ascii="宋体" w:hAnsi="宋体"/>
          <w:sz w:val="24"/>
          <w:szCs w:val="24"/>
        </w:rPr>
      </w:pPr>
    </w:p>
    <w:p>
      <w:pPr>
        <w:pStyle w:val="4"/>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投标货物清单</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2"/>
              <w:ind w:firstLine="0"/>
              <w:jc w:val="center"/>
              <w:rPr>
                <w:sz w:val="24"/>
                <w:szCs w:val="24"/>
              </w:rPr>
            </w:pPr>
            <w:r>
              <w:rPr>
                <w:rFonts w:hint="eastAsia"/>
                <w:sz w:val="24"/>
                <w:szCs w:val="24"/>
              </w:rPr>
              <w:t>序号</w:t>
            </w:r>
          </w:p>
        </w:tc>
        <w:tc>
          <w:tcPr>
            <w:tcW w:w="1843" w:type="dxa"/>
            <w:vAlign w:val="center"/>
          </w:tcPr>
          <w:p>
            <w:pPr>
              <w:pStyle w:val="2"/>
              <w:ind w:firstLine="0"/>
              <w:jc w:val="center"/>
              <w:rPr>
                <w:sz w:val="24"/>
                <w:szCs w:val="24"/>
              </w:rPr>
            </w:pPr>
            <w:r>
              <w:rPr>
                <w:rFonts w:hint="eastAsia"/>
                <w:sz w:val="24"/>
                <w:szCs w:val="24"/>
              </w:rPr>
              <w:t>货物名称</w:t>
            </w:r>
          </w:p>
        </w:tc>
        <w:tc>
          <w:tcPr>
            <w:tcW w:w="2835" w:type="dxa"/>
            <w:vAlign w:val="center"/>
          </w:tcPr>
          <w:p>
            <w:pPr>
              <w:pStyle w:val="2"/>
              <w:ind w:firstLine="0"/>
              <w:jc w:val="center"/>
              <w:rPr>
                <w:sz w:val="24"/>
                <w:szCs w:val="24"/>
              </w:rPr>
            </w:pPr>
            <w:r>
              <w:rPr>
                <w:rFonts w:hint="eastAsia"/>
                <w:sz w:val="24"/>
                <w:szCs w:val="24"/>
              </w:rPr>
              <w:t>品牌、型号、生产厂家、产地</w:t>
            </w:r>
          </w:p>
        </w:tc>
        <w:tc>
          <w:tcPr>
            <w:tcW w:w="2410" w:type="dxa"/>
            <w:vAlign w:val="center"/>
          </w:tcPr>
          <w:p>
            <w:pPr>
              <w:pStyle w:val="2"/>
              <w:ind w:firstLine="0"/>
              <w:jc w:val="center"/>
              <w:rPr>
                <w:sz w:val="24"/>
                <w:szCs w:val="24"/>
              </w:rPr>
            </w:pPr>
            <w:r>
              <w:rPr>
                <w:rFonts w:hint="eastAsia"/>
                <w:sz w:val="24"/>
                <w:szCs w:val="24"/>
              </w:rPr>
              <w:t>技术规格</w:t>
            </w:r>
          </w:p>
        </w:tc>
        <w:tc>
          <w:tcPr>
            <w:tcW w:w="850" w:type="dxa"/>
            <w:vAlign w:val="center"/>
          </w:tcPr>
          <w:p>
            <w:pPr>
              <w:pStyle w:val="2"/>
              <w:ind w:firstLine="0"/>
              <w:jc w:val="center"/>
              <w:rPr>
                <w:sz w:val="24"/>
                <w:szCs w:val="24"/>
              </w:rPr>
            </w:pPr>
            <w:r>
              <w:rPr>
                <w:rFonts w:hint="eastAsia"/>
                <w:sz w:val="24"/>
                <w:szCs w:val="24"/>
              </w:rPr>
              <w:t>数量</w:t>
            </w:r>
          </w:p>
        </w:tc>
        <w:tc>
          <w:tcPr>
            <w:tcW w:w="851" w:type="dxa"/>
            <w:vAlign w:val="center"/>
          </w:tcPr>
          <w:p>
            <w:pPr>
              <w:pStyle w:val="2"/>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rFonts w:ascii="宋体" w:hAnsi="宋体"/>
                <w:sz w:val="32"/>
                <w:szCs w:val="32"/>
              </w:rPr>
            </w:pPr>
          </w:p>
        </w:tc>
        <w:tc>
          <w:tcPr>
            <w:tcW w:w="1843" w:type="dxa"/>
          </w:tcPr>
          <w:p>
            <w:pPr>
              <w:pStyle w:val="2"/>
              <w:ind w:firstLine="0"/>
              <w:jc w:val="center"/>
              <w:rPr>
                <w:b/>
                <w:sz w:val="32"/>
                <w:szCs w:val="32"/>
              </w:rPr>
            </w:pPr>
          </w:p>
        </w:tc>
        <w:tc>
          <w:tcPr>
            <w:tcW w:w="2835" w:type="dxa"/>
          </w:tcPr>
          <w:p>
            <w:pPr>
              <w:pStyle w:val="2"/>
              <w:ind w:firstLine="0"/>
              <w:jc w:val="center"/>
              <w:rPr>
                <w:sz w:val="32"/>
                <w:szCs w:val="32"/>
              </w:rPr>
            </w:pPr>
          </w:p>
        </w:tc>
        <w:tc>
          <w:tcPr>
            <w:tcW w:w="2410" w:type="dxa"/>
          </w:tcPr>
          <w:p>
            <w:pPr>
              <w:pStyle w:val="2"/>
              <w:ind w:firstLine="0"/>
              <w:jc w:val="center"/>
              <w:rPr>
                <w:sz w:val="32"/>
                <w:szCs w:val="32"/>
              </w:rPr>
            </w:pPr>
          </w:p>
        </w:tc>
        <w:tc>
          <w:tcPr>
            <w:tcW w:w="850" w:type="dxa"/>
          </w:tcPr>
          <w:p>
            <w:pPr>
              <w:pStyle w:val="2"/>
              <w:ind w:firstLine="0"/>
              <w:jc w:val="center"/>
              <w:rPr>
                <w:sz w:val="32"/>
                <w:szCs w:val="32"/>
              </w:rPr>
            </w:pPr>
          </w:p>
        </w:tc>
        <w:tc>
          <w:tcPr>
            <w:tcW w:w="851" w:type="dxa"/>
          </w:tcPr>
          <w:p>
            <w:pPr>
              <w:pStyle w:val="2"/>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2"/>
              <w:ind w:firstLine="0"/>
              <w:jc w:val="center"/>
              <w:rPr>
                <w:b/>
                <w:sz w:val="32"/>
                <w:szCs w:val="32"/>
              </w:rPr>
            </w:pPr>
          </w:p>
        </w:tc>
        <w:tc>
          <w:tcPr>
            <w:tcW w:w="1843" w:type="dxa"/>
          </w:tcPr>
          <w:p>
            <w:pPr>
              <w:pStyle w:val="2"/>
              <w:ind w:firstLine="0"/>
              <w:jc w:val="center"/>
              <w:rPr>
                <w:b/>
                <w:sz w:val="32"/>
                <w:szCs w:val="32"/>
              </w:rPr>
            </w:pPr>
          </w:p>
        </w:tc>
        <w:tc>
          <w:tcPr>
            <w:tcW w:w="2835" w:type="dxa"/>
          </w:tcPr>
          <w:p>
            <w:pPr>
              <w:pStyle w:val="2"/>
              <w:ind w:firstLine="0"/>
              <w:jc w:val="center"/>
              <w:rPr>
                <w:b/>
                <w:sz w:val="32"/>
                <w:szCs w:val="32"/>
              </w:rPr>
            </w:pPr>
          </w:p>
        </w:tc>
        <w:tc>
          <w:tcPr>
            <w:tcW w:w="2410" w:type="dxa"/>
          </w:tcPr>
          <w:p>
            <w:pPr>
              <w:pStyle w:val="2"/>
              <w:ind w:firstLine="0"/>
              <w:jc w:val="center"/>
              <w:rPr>
                <w:b/>
                <w:sz w:val="32"/>
                <w:szCs w:val="32"/>
              </w:rPr>
            </w:pPr>
          </w:p>
        </w:tc>
        <w:tc>
          <w:tcPr>
            <w:tcW w:w="850" w:type="dxa"/>
          </w:tcPr>
          <w:p>
            <w:pPr>
              <w:pStyle w:val="2"/>
              <w:ind w:firstLine="0"/>
              <w:jc w:val="center"/>
              <w:rPr>
                <w:b/>
                <w:sz w:val="32"/>
                <w:szCs w:val="32"/>
              </w:rPr>
            </w:pPr>
          </w:p>
        </w:tc>
        <w:tc>
          <w:tcPr>
            <w:tcW w:w="851" w:type="dxa"/>
          </w:tcPr>
          <w:p>
            <w:pPr>
              <w:pStyle w:val="2"/>
              <w:ind w:firstLine="0"/>
              <w:jc w:val="center"/>
              <w:rPr>
                <w:b/>
                <w:sz w:val="32"/>
                <w:szCs w:val="32"/>
              </w:rPr>
            </w:pPr>
          </w:p>
        </w:tc>
      </w:tr>
    </w:tbl>
    <w:p>
      <w:pPr>
        <w:pStyle w:val="2"/>
        <w:ind w:firstLine="0"/>
      </w:pPr>
    </w:p>
    <w:p>
      <w:pPr>
        <w:pStyle w:val="2"/>
        <w:ind w:firstLine="0"/>
      </w:pPr>
    </w:p>
    <w:p>
      <w:pPr>
        <w:pStyle w:val="2"/>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2"/>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4"/>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2"/>
        <w:jc w:val="center"/>
        <w:rPr>
          <w:b/>
          <w:sz w:val="30"/>
          <w:szCs w:val="30"/>
        </w:rPr>
      </w:pPr>
      <w:r>
        <w:rPr>
          <w:rFonts w:hint="eastAsia"/>
          <w:b/>
          <w:sz w:val="30"/>
          <w:szCs w:val="30"/>
        </w:rPr>
        <w:t>采购需求响应、偏离说明表</w:t>
      </w:r>
    </w:p>
    <w:p>
      <w:pPr>
        <w:pStyle w:val="2"/>
      </w:pPr>
    </w:p>
    <w:p>
      <w:pPr>
        <w:pStyle w:val="2"/>
        <w:ind w:firstLine="0"/>
        <w:rPr>
          <w:sz w:val="24"/>
          <w:szCs w:val="24"/>
        </w:rPr>
      </w:pPr>
      <w:r>
        <w:rPr>
          <w:rFonts w:hint="eastAsia"/>
          <w:sz w:val="24"/>
          <w:szCs w:val="24"/>
        </w:rPr>
        <w:t>项目名称：</w:t>
      </w:r>
    </w:p>
    <w:p>
      <w:pPr>
        <w:pStyle w:val="2"/>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2"/>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序号</w:t>
            </w:r>
          </w:p>
        </w:tc>
        <w:tc>
          <w:tcPr>
            <w:tcW w:w="4053" w:type="dxa"/>
          </w:tcPr>
          <w:p>
            <w:pPr>
              <w:pStyle w:val="2"/>
              <w:ind w:firstLine="0"/>
              <w:jc w:val="center"/>
            </w:pPr>
            <w:r>
              <w:rPr>
                <w:rFonts w:hint="eastAsia"/>
              </w:rPr>
              <w:t>招标文件要求部分</w:t>
            </w:r>
          </w:p>
        </w:tc>
        <w:tc>
          <w:tcPr>
            <w:tcW w:w="3460" w:type="dxa"/>
          </w:tcPr>
          <w:p>
            <w:pPr>
              <w:pStyle w:val="2"/>
              <w:ind w:firstLine="0"/>
              <w:jc w:val="center"/>
            </w:pPr>
            <w:r>
              <w:rPr>
                <w:rFonts w:hint="eastAsia"/>
              </w:rPr>
              <w:t>投标文件响应部分</w:t>
            </w:r>
          </w:p>
        </w:tc>
        <w:tc>
          <w:tcPr>
            <w:tcW w:w="1270" w:type="dxa"/>
          </w:tcPr>
          <w:p>
            <w:pPr>
              <w:pStyle w:val="2"/>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1</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2</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3</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2"/>
              <w:ind w:firstLine="0"/>
              <w:jc w:val="center"/>
            </w:pPr>
            <w:r>
              <w:rPr>
                <w:rFonts w:hint="eastAsia"/>
              </w:rPr>
              <w:t>…</w:t>
            </w:r>
          </w:p>
        </w:tc>
        <w:tc>
          <w:tcPr>
            <w:tcW w:w="4053" w:type="dxa"/>
          </w:tcPr>
          <w:p>
            <w:pPr>
              <w:pStyle w:val="2"/>
              <w:ind w:firstLine="0"/>
              <w:jc w:val="center"/>
            </w:pPr>
          </w:p>
        </w:tc>
        <w:tc>
          <w:tcPr>
            <w:tcW w:w="3460" w:type="dxa"/>
          </w:tcPr>
          <w:p>
            <w:pPr>
              <w:pStyle w:val="2"/>
              <w:ind w:firstLine="0"/>
              <w:jc w:val="center"/>
            </w:pPr>
          </w:p>
        </w:tc>
        <w:tc>
          <w:tcPr>
            <w:tcW w:w="1270" w:type="dxa"/>
          </w:tcPr>
          <w:p>
            <w:pPr>
              <w:pStyle w:val="2"/>
              <w:ind w:firstLine="0"/>
              <w:jc w:val="center"/>
            </w:pPr>
          </w:p>
        </w:tc>
      </w:tr>
    </w:tbl>
    <w:p>
      <w:pPr>
        <w:pStyle w:val="2"/>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pStyle w:val="2"/>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2"/>
        <w:ind w:firstLine="0"/>
      </w:pPr>
    </w:p>
    <w:p>
      <w:pPr>
        <w:pStyle w:val="4"/>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4"/>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4"/>
        <w:pageBreakBefore/>
        <w:spacing w:line="415" w:lineRule="auto"/>
        <w:contextualSpacing/>
        <w:rPr>
          <w:rFonts w:ascii="宋体" w:hAnsi="宋体"/>
          <w:color w:val="000000"/>
          <w:sz w:val="24"/>
        </w:rPr>
      </w:pPr>
      <w:r>
        <w:rPr>
          <w:rFonts w:hint="eastAsia" w:ascii="宋体" w:hAnsi="宋体"/>
          <w:b w:val="0"/>
          <w:bCs w:val="0"/>
        </w:rPr>
        <w:t>附件七：</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CA944B"/>
    <w:multiLevelType w:val="singleLevel"/>
    <w:tmpl w:val="A0CA944B"/>
    <w:lvl w:ilvl="0" w:tentative="0">
      <w:start w:val="2"/>
      <w:numFmt w:val="decimal"/>
      <w:lvlText w:val="%1."/>
      <w:lvlJc w:val="left"/>
      <w:pPr>
        <w:tabs>
          <w:tab w:val="left" w:pos="312"/>
        </w:tabs>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B752406"/>
    <w:multiLevelType w:val="singleLevel"/>
    <w:tmpl w:val="7B752406"/>
    <w:lvl w:ilvl="0" w:tentative="0">
      <w:start w:val="7"/>
      <w:numFmt w:val="decimal"/>
      <w:lvlText w:val="%1."/>
      <w:lvlJc w:val="left"/>
      <w:pPr>
        <w:tabs>
          <w:tab w:val="left" w:pos="312"/>
        </w:tabs>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DB64C7F"/>
    <w:rsid w:val="0E170F1D"/>
    <w:rsid w:val="0F233157"/>
    <w:rsid w:val="1096558D"/>
    <w:rsid w:val="15480901"/>
    <w:rsid w:val="160939DD"/>
    <w:rsid w:val="167C7678"/>
    <w:rsid w:val="16CE0DE2"/>
    <w:rsid w:val="180C163C"/>
    <w:rsid w:val="1B3044CB"/>
    <w:rsid w:val="22E13702"/>
    <w:rsid w:val="25AC7C68"/>
    <w:rsid w:val="270E47DD"/>
    <w:rsid w:val="29175E93"/>
    <w:rsid w:val="29C651C2"/>
    <w:rsid w:val="2B4E652B"/>
    <w:rsid w:val="2B8A14CB"/>
    <w:rsid w:val="2BD831ED"/>
    <w:rsid w:val="30ED3773"/>
    <w:rsid w:val="30F454E0"/>
    <w:rsid w:val="32E73D7C"/>
    <w:rsid w:val="397171B0"/>
    <w:rsid w:val="3A7D7082"/>
    <w:rsid w:val="3B0418F4"/>
    <w:rsid w:val="3E842D9E"/>
    <w:rsid w:val="3EFE01AC"/>
    <w:rsid w:val="4048089A"/>
    <w:rsid w:val="42497455"/>
    <w:rsid w:val="469902C4"/>
    <w:rsid w:val="4BF27BEA"/>
    <w:rsid w:val="531410DD"/>
    <w:rsid w:val="5398783B"/>
    <w:rsid w:val="553E2EC3"/>
    <w:rsid w:val="56666A83"/>
    <w:rsid w:val="57D92040"/>
    <w:rsid w:val="58CF0CB0"/>
    <w:rsid w:val="59575F32"/>
    <w:rsid w:val="59A565CA"/>
    <w:rsid w:val="59F903C5"/>
    <w:rsid w:val="5B0A7487"/>
    <w:rsid w:val="5C9B6D67"/>
    <w:rsid w:val="5CA2370E"/>
    <w:rsid w:val="5E3176B0"/>
    <w:rsid w:val="62472877"/>
    <w:rsid w:val="650B258F"/>
    <w:rsid w:val="65B03214"/>
    <w:rsid w:val="6959727F"/>
    <w:rsid w:val="6B501B9F"/>
    <w:rsid w:val="6FA636AF"/>
    <w:rsid w:val="77B708B5"/>
    <w:rsid w:val="78DC1CE9"/>
    <w:rsid w:val="794332E6"/>
    <w:rsid w:val="79616CFD"/>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link w:val="38"/>
    <w:qFormat/>
    <w:uiPriority w:val="0"/>
    <w:pPr>
      <w:ind w:firstLine="420"/>
    </w:pPr>
    <w:rPr>
      <w:szCs w:val="20"/>
    </w:rPr>
  </w:style>
  <w:style w:type="paragraph" w:styleId="6">
    <w:name w:val="Document Map"/>
    <w:basedOn w:val="1"/>
    <w:link w:val="35"/>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7"/>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39"/>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Char Char"/>
    <w:basedOn w:val="1"/>
    <w:qFormat/>
    <w:uiPriority w:val="0"/>
    <w:rPr>
      <w:rFonts w:ascii="Tahoma" w:hAnsi="Tahoma"/>
      <w:sz w:val="24"/>
      <w:szCs w:val="20"/>
    </w:rPr>
  </w:style>
  <w:style w:type="paragraph" w:styleId="27">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Char"/>
    <w:basedOn w:val="1"/>
    <w:qFormat/>
    <w:uiPriority w:val="0"/>
    <w:rPr>
      <w:rFonts w:ascii="仿宋_GB2312" w:eastAsia="仿宋_GB2312"/>
      <w:b/>
      <w:sz w:val="32"/>
      <w:szCs w:val="32"/>
    </w:rPr>
  </w:style>
  <w:style w:type="paragraph" w:customStyle="1" w:styleId="29">
    <w:name w:val="_Style 19"/>
    <w:basedOn w:val="1"/>
    <w:qFormat/>
    <w:uiPriority w:val="0"/>
    <w:pPr>
      <w:tabs>
        <w:tab w:val="right" w:pos="-2120"/>
      </w:tabs>
      <w:snapToGrid w:val="0"/>
    </w:pPr>
  </w:style>
  <w:style w:type="paragraph" w:customStyle="1" w:styleId="30">
    <w:name w:val="排版"/>
    <w:basedOn w:val="1"/>
    <w:next w:val="8"/>
    <w:qFormat/>
    <w:uiPriority w:val="0"/>
    <w:pPr>
      <w:spacing w:line="600" w:lineRule="exact"/>
    </w:pPr>
    <w:rPr>
      <w:rFonts w:eastAsia="华文仿宋"/>
      <w:spacing w:val="6"/>
      <w:sz w:val="32"/>
    </w:rPr>
  </w:style>
  <w:style w:type="paragraph" w:customStyle="1" w:styleId="31">
    <w:name w:val="Char1"/>
    <w:basedOn w:val="1"/>
    <w:qFormat/>
    <w:uiPriority w:val="0"/>
    <w:pPr>
      <w:tabs>
        <w:tab w:val="right" w:pos="-2120"/>
      </w:tabs>
      <w:snapToGrid w:val="0"/>
    </w:pPr>
  </w:style>
  <w:style w:type="paragraph" w:customStyle="1" w:styleId="3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3">
    <w:name w:val="List Paragraph"/>
    <w:basedOn w:val="1"/>
    <w:qFormat/>
    <w:uiPriority w:val="34"/>
    <w:pPr>
      <w:ind w:firstLine="420" w:firstLineChars="200"/>
    </w:pPr>
  </w:style>
  <w:style w:type="character" w:customStyle="1" w:styleId="34">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5">
    <w:name w:val="文档结构图 字符"/>
    <w:basedOn w:val="21"/>
    <w:link w:val="6"/>
    <w:qFormat/>
    <w:uiPriority w:val="0"/>
    <w:rPr>
      <w:rFonts w:ascii="宋体"/>
      <w:kern w:val="2"/>
      <w:sz w:val="18"/>
      <w:szCs w:val="18"/>
    </w:rPr>
  </w:style>
  <w:style w:type="character" w:customStyle="1" w:styleId="36">
    <w:name w:val="font11"/>
    <w:qFormat/>
    <w:uiPriority w:val="0"/>
    <w:rPr>
      <w:rFonts w:ascii="Calibri" w:hAnsi="Calibri" w:cs="Calibri"/>
      <w:color w:val="000000"/>
      <w:sz w:val="20"/>
      <w:szCs w:val="20"/>
      <w:u w:val="none"/>
    </w:rPr>
  </w:style>
  <w:style w:type="character" w:customStyle="1" w:styleId="37">
    <w:name w:val="纯文本 字符"/>
    <w:link w:val="10"/>
    <w:qFormat/>
    <w:uiPriority w:val="0"/>
    <w:rPr>
      <w:rFonts w:ascii="宋体" w:hAnsi="Courier New" w:eastAsia="宋体" w:cs="Courier New"/>
      <w:kern w:val="2"/>
      <w:sz w:val="21"/>
      <w:szCs w:val="21"/>
      <w:lang w:val="en-US" w:eastAsia="zh-CN" w:bidi="ar-SA"/>
    </w:rPr>
  </w:style>
  <w:style w:type="character" w:customStyle="1" w:styleId="38">
    <w:name w:val="正文缩进 字符"/>
    <w:link w:val="2"/>
    <w:qFormat/>
    <w:uiPriority w:val="0"/>
    <w:rPr>
      <w:rFonts w:eastAsia="宋体"/>
      <w:kern w:val="2"/>
      <w:sz w:val="21"/>
      <w:lang w:val="en-US" w:eastAsia="zh-CN" w:bidi="ar-SA"/>
    </w:rPr>
  </w:style>
  <w:style w:type="character" w:customStyle="1" w:styleId="39">
    <w:name w:val="页眉 字符"/>
    <w:link w:val="13"/>
    <w:qFormat/>
    <w:uiPriority w:val="0"/>
    <w:rPr>
      <w:rFonts w:eastAsia="宋体"/>
      <w:kern w:val="2"/>
      <w:sz w:val="18"/>
      <w:szCs w:val="18"/>
      <w:lang w:val="en-US" w:eastAsia="zh-CN" w:bidi="ar-SA"/>
    </w:rPr>
  </w:style>
  <w:style w:type="character" w:customStyle="1" w:styleId="40">
    <w:name w:val="标题 3 字符"/>
    <w:basedOn w:val="21"/>
    <w:link w:val="5"/>
    <w:semiHidden/>
    <w:qFormat/>
    <w:uiPriority w:val="0"/>
    <w:rPr>
      <w:b/>
      <w:bCs/>
      <w:kern w:val="2"/>
      <w:sz w:val="32"/>
      <w:szCs w:val="32"/>
    </w:rPr>
  </w:style>
  <w:style w:type="character" w:customStyle="1" w:styleId="41">
    <w:name w:val="NormalCharacter"/>
    <w:semiHidden/>
    <w:qFormat/>
    <w:uiPriority w:val="0"/>
  </w:style>
  <w:style w:type="character" w:customStyle="1" w:styleId="42">
    <w:name w:val="UserStyle_0"/>
    <w:semiHidden/>
    <w:qFormat/>
    <w:uiPriority w:val="0"/>
    <w:rPr>
      <w:rFonts w:ascii="Calibri" w:hAnsi="Calibri" w:eastAsia="宋体"/>
      <w:kern w:val="2"/>
      <w:sz w:val="21"/>
      <w:szCs w:val="24"/>
      <w:lang w:val="en-US" w:eastAsia="zh-CN" w:bidi="ar-SA"/>
    </w:rPr>
  </w:style>
  <w:style w:type="character" w:customStyle="1" w:styleId="43">
    <w:name w:val="font91"/>
    <w:basedOn w:val="21"/>
    <w:qFormat/>
    <w:uiPriority w:val="0"/>
    <w:rPr>
      <w:rFonts w:ascii="宋体" w:hAnsi="宋体" w:eastAsia="宋体" w:cs="宋体"/>
      <w:color w:val="000000"/>
      <w:sz w:val="20"/>
      <w:szCs w:val="20"/>
      <w:u w:val="none"/>
    </w:rPr>
  </w:style>
  <w:style w:type="character" w:customStyle="1" w:styleId="44">
    <w:name w:val="font51"/>
    <w:basedOn w:val="21"/>
    <w:qFormat/>
    <w:uiPriority w:val="0"/>
    <w:rPr>
      <w:rFonts w:hint="eastAsia" w:ascii="宋体" w:hAnsi="宋体" w:eastAsia="宋体" w:cs="宋体"/>
      <w:color w:val="000000"/>
      <w:sz w:val="20"/>
      <w:szCs w:val="20"/>
      <w:u w:val="none"/>
    </w:rPr>
  </w:style>
  <w:style w:type="character" w:customStyle="1" w:styleId="45">
    <w:name w:val="font21"/>
    <w:basedOn w:val="21"/>
    <w:qFormat/>
    <w:uiPriority w:val="0"/>
    <w:rPr>
      <w:rFonts w:hint="eastAsia" w:ascii="宋体" w:hAnsi="宋体" w:eastAsia="宋体" w:cs="宋体"/>
      <w:color w:val="000000"/>
      <w:sz w:val="24"/>
      <w:szCs w:val="24"/>
      <w:u w:val="none"/>
    </w:rPr>
  </w:style>
  <w:style w:type="character" w:customStyle="1" w:styleId="46">
    <w:name w:val="font01"/>
    <w:basedOn w:val="2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21</Pages>
  <Words>1573</Words>
  <Characters>8970</Characters>
  <Lines>74</Lines>
  <Paragraphs>21</Paragraphs>
  <TotalTime>3</TotalTime>
  <ScaleCrop>false</ScaleCrop>
  <LinksUpToDate>false</LinksUpToDate>
  <CharactersWithSpaces>10522</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2018-06-05T06:43:00Z</dcterms:created>
  <dc:creator>微软用户</dc:creator>
  <cp:lastModifiedBy>口天马尧</cp:lastModifiedBy>
  <cp:lastPrinted>2019-03-28T00:30:00Z</cp:lastPrinted>
  <dcterms:modified xsi:type="dcterms:W3CDTF">2021-07-19T05:38:57Z</dcterms:modified>
  <dc:title>湖北省省级政府采购</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68CB9265982C4D138ED36F2570B256BD</vt:lpwstr>
  </property>
</Properties>
</file>