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eastAsia="zh-CN"/>
        </w:rPr>
        <w:t>实训大楼挂画线及射灯</w:t>
      </w:r>
      <w:r>
        <w:rPr>
          <w:rFonts w:hint="eastAsia"/>
          <w:sz w:val="24"/>
        </w:rPr>
        <w:t>项目</w:t>
      </w:r>
    </w:p>
    <w:p>
      <w:pPr>
        <w:ind w:firstLine="560" w:firstLineChars="200"/>
        <w:jc w:val="left"/>
        <w:rPr>
          <w:rFonts w:hint="eastAsia" w:eastAsia="宋体"/>
          <w:sz w:val="28"/>
          <w:szCs w:val="28"/>
          <w:lang w:val="en-US" w:eastAsia="zh-CN"/>
        </w:rPr>
      </w:pPr>
      <w:r>
        <w:rPr>
          <w:rFonts w:hint="eastAsia"/>
          <w:sz w:val="28"/>
          <w:szCs w:val="28"/>
        </w:rPr>
        <w:t>项目编号：LZXJ--202001</w:t>
      </w:r>
      <w:r>
        <w:rPr>
          <w:rFonts w:hint="eastAsia"/>
          <w:sz w:val="28"/>
          <w:szCs w:val="28"/>
          <w:lang w:val="en-US" w:eastAsia="zh-CN"/>
        </w:rPr>
        <w:t>9</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采购时间：2019年</w:t>
      </w:r>
      <w:r>
        <w:rPr>
          <w:rFonts w:hint="eastAsia"/>
          <w:sz w:val="28"/>
          <w:szCs w:val="28"/>
          <w:lang w:val="en-US" w:eastAsia="zh-CN"/>
        </w:rPr>
        <w:t>10</w:t>
      </w:r>
      <w:r>
        <w:rPr>
          <w:rFonts w:hint="eastAsia"/>
          <w:sz w:val="28"/>
          <w:szCs w:val="28"/>
        </w:rPr>
        <w:t>月</w:t>
      </w:r>
      <w:r>
        <w:rPr>
          <w:rFonts w:hint="eastAsia"/>
          <w:sz w:val="28"/>
          <w:szCs w:val="28"/>
          <w:lang w:val="en-US" w:eastAsia="zh-CN"/>
        </w:rPr>
        <w:t>14</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2020年 </w:t>
      </w:r>
      <w:r>
        <w:rPr>
          <w:rFonts w:hint="eastAsia" w:ascii="宋体" w:hAnsi="宋体"/>
          <w:sz w:val="28"/>
          <w:szCs w:val="28"/>
          <w:lang w:val="en-US" w:eastAsia="zh-CN"/>
        </w:rPr>
        <w:t>10</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实训大楼展示</w:t>
      </w:r>
      <w:r>
        <w:rPr>
          <w:rFonts w:hint="eastAsia" w:ascii="宋体" w:hAnsi="宋体"/>
          <w:sz w:val="24"/>
        </w:rPr>
        <w:t>需要，现拟对</w:t>
      </w:r>
      <w:r>
        <w:rPr>
          <w:rFonts w:hint="eastAsia"/>
          <w:sz w:val="24"/>
        </w:rPr>
        <w:t>兰州职业技术学院</w:t>
      </w:r>
      <w:r>
        <w:rPr>
          <w:rFonts w:hint="eastAsia"/>
          <w:sz w:val="24"/>
          <w:lang w:eastAsia="zh-CN"/>
        </w:rPr>
        <w:t>实训大楼挂画线及射灯</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eastAsia" w:ascii="宋体" w:hAnsi="宋体" w:eastAsia="宋体"/>
          <w:sz w:val="24"/>
          <w:lang w:val="en-US" w:eastAsia="zh-CN"/>
        </w:rPr>
      </w:pPr>
      <w:r>
        <w:rPr>
          <w:rFonts w:hint="eastAsia" w:ascii="宋体" w:hAnsi="宋体"/>
          <w:sz w:val="24"/>
        </w:rPr>
        <w:t>一、采购项目编号：LZXJ--202001</w:t>
      </w:r>
      <w:r>
        <w:rPr>
          <w:rFonts w:hint="eastAsia" w:ascii="宋体" w:hAnsi="宋体"/>
          <w:sz w:val="24"/>
          <w:lang w:val="en-US" w:eastAsia="zh-CN"/>
        </w:rPr>
        <w:t>9</w:t>
      </w:r>
    </w:p>
    <w:p>
      <w:pPr>
        <w:spacing w:line="360" w:lineRule="auto"/>
        <w:rPr>
          <w:sz w:val="24"/>
        </w:rPr>
      </w:pPr>
      <w:r>
        <w:rPr>
          <w:rFonts w:hint="eastAsia" w:ascii="宋体" w:hAnsi="宋体"/>
          <w:sz w:val="24"/>
        </w:rPr>
        <w:t>二、采购项目名称：</w:t>
      </w:r>
      <w:r>
        <w:rPr>
          <w:rFonts w:hint="eastAsia"/>
          <w:sz w:val="24"/>
        </w:rPr>
        <w:t>兰州职业技术学院</w:t>
      </w:r>
      <w:r>
        <w:rPr>
          <w:rFonts w:hint="eastAsia"/>
          <w:sz w:val="24"/>
          <w:lang w:eastAsia="zh-CN"/>
        </w:rPr>
        <w:t>实训大楼挂画线及射灯</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lang w:eastAsia="zh-CN"/>
        </w:rPr>
        <w:t>实训大楼挂画线及射灯货物及安装</w:t>
      </w:r>
    </w:p>
    <w:p>
      <w:pPr>
        <w:spacing w:line="360" w:lineRule="auto"/>
        <w:rPr>
          <w:rFonts w:ascii="宋体" w:hAnsi="宋体"/>
          <w:sz w:val="24"/>
        </w:rPr>
      </w:pPr>
      <w:r>
        <w:rPr>
          <w:rFonts w:hint="eastAsia" w:ascii="宋体" w:hAnsi="宋体"/>
          <w:sz w:val="24"/>
        </w:rPr>
        <w:t xml:space="preserve">   2.预算金额：</w:t>
      </w:r>
      <w:r>
        <w:rPr>
          <w:rFonts w:hint="eastAsia" w:ascii="宋体" w:hAnsi="宋体"/>
          <w:sz w:val="24"/>
          <w:lang w:val="en-US" w:eastAsia="zh-CN"/>
        </w:rPr>
        <w:t>63600</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rPr>
        <w:t>7.</w:t>
      </w:r>
      <w:r>
        <w:rPr>
          <w:rFonts w:ascii="宋体" w:hAnsi="宋体" w:cs="宋体"/>
          <w:kern w:val="0"/>
          <w:sz w:val="24"/>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rPr>
        <w:t>投标文件</w:t>
      </w:r>
      <w:r>
        <w:rPr>
          <w:rFonts w:ascii="宋体" w:hAnsi="宋体" w:cs="宋体"/>
          <w:kern w:val="0"/>
          <w:sz w:val="24"/>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20年</w:t>
      </w:r>
      <w:r>
        <w:rPr>
          <w:rFonts w:hint="eastAsia" w:ascii="宋体" w:hAnsi="宋体"/>
          <w:sz w:val="24"/>
          <w:lang w:val="en-US" w:eastAsia="zh-CN"/>
        </w:rPr>
        <w:t>10</w:t>
      </w:r>
      <w:r>
        <w:rPr>
          <w:rFonts w:hint="eastAsia" w:ascii="宋体" w:hAnsi="宋体"/>
          <w:sz w:val="24"/>
        </w:rPr>
        <w:t>月</w:t>
      </w:r>
      <w:r>
        <w:rPr>
          <w:rFonts w:hint="eastAsia" w:ascii="宋体" w:hAnsi="宋体"/>
          <w:sz w:val="24"/>
          <w:lang w:val="en-US" w:eastAsia="zh-CN"/>
        </w:rPr>
        <w:t>16</w:t>
      </w:r>
      <w:r>
        <w:rPr>
          <w:rFonts w:hint="eastAsia" w:ascii="宋体" w:hAnsi="宋体"/>
          <w:sz w:val="24"/>
        </w:rPr>
        <w:t>日上午</w:t>
      </w:r>
      <w:r>
        <w:rPr>
          <w:rFonts w:hint="eastAsia" w:ascii="宋体" w:hAnsi="宋体"/>
          <w:sz w:val="24"/>
          <w:lang w:val="en-US" w:eastAsia="zh-CN"/>
        </w:rPr>
        <w:t>10:00</w:t>
      </w:r>
      <w:r>
        <w:rPr>
          <w:rFonts w:hint="eastAsia" w:ascii="宋体" w:hAnsi="宋体"/>
          <w:sz w:val="24"/>
        </w:rPr>
        <w:t>至</w:t>
      </w:r>
      <w:r>
        <w:rPr>
          <w:rFonts w:hint="eastAsia" w:ascii="宋体" w:hAnsi="宋体"/>
          <w:sz w:val="24"/>
          <w:lang w:val="en-US" w:eastAsia="zh-CN"/>
        </w:rPr>
        <w:t>10：30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20</w:t>
      </w:r>
      <w:r>
        <w:rPr>
          <w:rFonts w:ascii="宋体" w:hAnsi="宋体"/>
          <w:sz w:val="24"/>
        </w:rPr>
        <w:t>年</w:t>
      </w:r>
      <w:r>
        <w:rPr>
          <w:rFonts w:hint="eastAsia" w:ascii="宋体" w:hAnsi="宋体"/>
          <w:sz w:val="24"/>
          <w:lang w:val="en-US" w:eastAsia="zh-CN"/>
        </w:rPr>
        <w:t>10</w:t>
      </w:r>
      <w:r>
        <w:rPr>
          <w:rFonts w:ascii="宋体" w:hAnsi="宋体"/>
          <w:sz w:val="24"/>
        </w:rPr>
        <w:t>月</w:t>
      </w:r>
      <w:r>
        <w:rPr>
          <w:rFonts w:hint="eastAsia" w:ascii="宋体" w:hAnsi="宋体"/>
          <w:sz w:val="24"/>
          <w:lang w:val="en-US" w:eastAsia="zh-CN"/>
        </w:rPr>
        <w:t>14</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p>
      <w:pPr>
        <w:pageBreakBefore w:val="0"/>
        <w:widowControl w:val="0"/>
        <w:kinsoku/>
        <w:wordWrap/>
        <w:topLinePunct w:val="0"/>
        <w:bidi w:val="0"/>
        <w:spacing w:line="360" w:lineRule="auto"/>
        <w:jc w:val="both"/>
        <w:textAlignment w:val="auto"/>
        <w:rPr>
          <w:rFonts w:hint="eastAsia" w:ascii="仿宋" w:hAnsi="仿宋" w:eastAsia="仿宋" w:cs="仿宋"/>
          <w:b/>
          <w:color w:val="FF0000"/>
          <w:sz w:val="32"/>
          <w:szCs w:val="32"/>
          <w:lang w:eastAsia="zh-CN"/>
        </w:rPr>
      </w:pP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lang w:eastAsia="zh-CN"/>
        </w:rPr>
        <w:t>）兰州职业技术学院实训大楼</w:t>
      </w:r>
      <w:r>
        <w:rPr>
          <w:rFonts w:hint="eastAsia" w:ascii="仿宋" w:hAnsi="仿宋" w:eastAsia="仿宋" w:cs="仿宋"/>
          <w:sz w:val="24"/>
          <w:szCs w:val="24"/>
          <w:u w:val="single"/>
          <w:lang w:val="en-US" w:eastAsia="zh-CN"/>
        </w:rPr>
        <w:t>5楼数字传媒系挂画线</w:t>
      </w:r>
    </w:p>
    <w:tbl>
      <w:tblPr>
        <w:tblStyle w:val="20"/>
        <w:tblpPr w:leftFromText="180" w:rightFromText="180" w:vertAnchor="text" w:horzAnchor="page" w:tblpX="1217" w:tblpY="139"/>
        <w:tblOverlap w:val="never"/>
        <w:tblW w:w="94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3"/>
        <w:gridCol w:w="1962"/>
        <w:gridCol w:w="971"/>
        <w:gridCol w:w="597"/>
        <w:gridCol w:w="52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1" w:hRule="atLeast"/>
        </w:trPr>
        <w:tc>
          <w:tcPr>
            <w:tcW w:w="623" w:type="dxa"/>
            <w:noWrap w:val="0"/>
            <w:vAlign w:val="center"/>
          </w:tcPr>
          <w:p>
            <w:pPr>
              <w:pStyle w:val="6"/>
              <w:ind w:firstLine="0"/>
              <w:jc w:val="center"/>
              <w:rPr>
                <w:rFonts w:hint="eastAsia"/>
                <w:sz w:val="24"/>
                <w:szCs w:val="24"/>
              </w:rPr>
            </w:pPr>
            <w:r>
              <w:rPr>
                <w:rFonts w:hint="eastAsia"/>
                <w:sz w:val="24"/>
                <w:szCs w:val="24"/>
              </w:rPr>
              <w:t>序号</w:t>
            </w:r>
          </w:p>
        </w:tc>
        <w:tc>
          <w:tcPr>
            <w:tcW w:w="1962" w:type="dxa"/>
            <w:noWrap w:val="0"/>
            <w:vAlign w:val="center"/>
          </w:tcPr>
          <w:p>
            <w:pPr>
              <w:pStyle w:val="6"/>
              <w:ind w:firstLine="0"/>
              <w:jc w:val="center"/>
              <w:rPr>
                <w:rFonts w:hint="eastAsia" w:eastAsia="宋体"/>
                <w:sz w:val="24"/>
                <w:szCs w:val="24"/>
                <w:lang w:eastAsia="zh-CN"/>
              </w:rPr>
            </w:pPr>
            <w:r>
              <w:rPr>
                <w:rFonts w:hint="eastAsia"/>
                <w:sz w:val="24"/>
                <w:szCs w:val="24"/>
                <w:lang w:val="en-US" w:eastAsia="zh-CN"/>
              </w:rPr>
              <w:t>项目名称</w:t>
            </w:r>
          </w:p>
        </w:tc>
        <w:tc>
          <w:tcPr>
            <w:tcW w:w="971" w:type="dxa"/>
            <w:noWrap w:val="0"/>
            <w:vAlign w:val="center"/>
          </w:tcPr>
          <w:p>
            <w:pPr>
              <w:pStyle w:val="6"/>
              <w:ind w:firstLine="0"/>
              <w:jc w:val="center"/>
              <w:rPr>
                <w:rFonts w:hint="eastAsia" w:eastAsia="宋体"/>
                <w:sz w:val="24"/>
                <w:szCs w:val="24"/>
                <w:lang w:val="en-US" w:eastAsia="zh-CN"/>
              </w:rPr>
            </w:pPr>
            <w:r>
              <w:rPr>
                <w:rFonts w:hint="eastAsia"/>
                <w:sz w:val="24"/>
                <w:szCs w:val="24"/>
                <w:lang w:val="en-US" w:eastAsia="zh-CN"/>
              </w:rPr>
              <w:t>工程量</w:t>
            </w:r>
          </w:p>
        </w:tc>
        <w:tc>
          <w:tcPr>
            <w:tcW w:w="597" w:type="dxa"/>
            <w:noWrap w:val="0"/>
            <w:vAlign w:val="center"/>
          </w:tcPr>
          <w:p>
            <w:pPr>
              <w:pStyle w:val="6"/>
              <w:ind w:firstLine="0"/>
              <w:jc w:val="center"/>
              <w:rPr>
                <w:rFonts w:hint="default" w:eastAsia="宋体"/>
                <w:sz w:val="24"/>
                <w:szCs w:val="24"/>
                <w:lang w:val="en-US" w:eastAsia="zh-CN"/>
              </w:rPr>
            </w:pPr>
            <w:r>
              <w:rPr>
                <w:rFonts w:hint="eastAsia"/>
                <w:sz w:val="24"/>
                <w:szCs w:val="24"/>
                <w:lang w:val="en-US" w:eastAsia="zh-CN"/>
              </w:rPr>
              <w:t>单位</w:t>
            </w:r>
          </w:p>
        </w:tc>
        <w:tc>
          <w:tcPr>
            <w:tcW w:w="5254" w:type="dxa"/>
            <w:noWrap w:val="0"/>
            <w:vAlign w:val="center"/>
          </w:tcPr>
          <w:p>
            <w:pPr>
              <w:pStyle w:val="6"/>
              <w:ind w:firstLine="0"/>
              <w:jc w:val="center"/>
              <w:rPr>
                <w:rFonts w:hint="eastAsia" w:eastAsia="宋体"/>
                <w:sz w:val="24"/>
                <w:szCs w:val="24"/>
                <w:lang w:val="en-US" w:eastAsia="zh-CN"/>
              </w:rPr>
            </w:pPr>
            <w:r>
              <w:rPr>
                <w:rFonts w:hint="eastAsia"/>
                <w:sz w:val="24"/>
                <w:szCs w:val="24"/>
                <w:lang w:val="en-US" w:eastAsia="zh-CN"/>
              </w:rPr>
              <w:t>规格（大C）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2" w:hRule="atLeast"/>
        </w:trPr>
        <w:tc>
          <w:tcPr>
            <w:tcW w:w="623" w:type="dxa"/>
            <w:noWrap w:val="0"/>
            <w:vAlign w:val="top"/>
          </w:tcPr>
          <w:p>
            <w:pPr>
              <w:pStyle w:val="6"/>
              <w:spacing w:line="60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962" w:type="dxa"/>
            <w:noWrap w:val="0"/>
            <w:vAlign w:val="top"/>
          </w:tcPr>
          <w:p>
            <w:pPr>
              <w:pStyle w:val="6"/>
              <w:spacing w:line="600" w:lineRule="auto"/>
              <w:ind w:firstLine="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墙面挂画线采购</w:t>
            </w:r>
          </w:p>
        </w:tc>
        <w:tc>
          <w:tcPr>
            <w:tcW w:w="971" w:type="dxa"/>
            <w:noWrap w:val="0"/>
            <w:vAlign w:val="top"/>
          </w:tcPr>
          <w:p>
            <w:pPr>
              <w:pStyle w:val="6"/>
              <w:spacing w:line="600" w:lineRule="auto"/>
              <w:ind w:firstLine="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1400</w:t>
            </w:r>
          </w:p>
        </w:tc>
        <w:tc>
          <w:tcPr>
            <w:tcW w:w="597" w:type="dxa"/>
            <w:noWrap w:val="0"/>
            <w:vAlign w:val="top"/>
          </w:tcPr>
          <w:p>
            <w:pPr>
              <w:pStyle w:val="6"/>
              <w:spacing w:line="600" w:lineRule="auto"/>
              <w:ind w:firstLine="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米</w:t>
            </w:r>
          </w:p>
        </w:tc>
        <w:tc>
          <w:tcPr>
            <w:tcW w:w="5254" w:type="dxa"/>
            <w:tcBorders>
              <w:bottom w:val="single" w:color="auto" w:sz="4" w:space="0"/>
            </w:tcBorders>
            <w:noWrap w:val="0"/>
            <w:vAlign w:val="top"/>
          </w:tcPr>
          <w:p>
            <w:pPr>
              <w:pStyle w:val="6"/>
              <w:spacing w:line="600" w:lineRule="auto"/>
              <w:ind w:firstLine="0"/>
              <w:jc w:val="left"/>
              <w:rPr>
                <w:rFonts w:hint="default"/>
                <w:sz w:val="32"/>
                <w:szCs w:val="32"/>
                <w:lang w:val="en-US" w:eastAsia="zh-CN"/>
              </w:rPr>
            </w:pPr>
            <w:r>
              <w:rPr>
                <w:rFonts w:hint="eastAsia" w:ascii="Times New Roman" w:hAnsi="Times New Roman" w:eastAsia="宋体" w:cs="Times New Roman"/>
                <w:kern w:val="2"/>
                <w:sz w:val="21"/>
                <w:szCs w:val="24"/>
                <w:lang w:val="en-US" w:eastAsia="zh-CN" w:bidi="ar-SA"/>
              </w:rPr>
              <w:t>材料使用18MM厚橡木指接板，宽度45MM，长度2400MM，顶部倒45度10MM长斜角</w:t>
            </w:r>
            <w:r>
              <w:rPr>
                <w:rFonts w:hint="eastAsia" w:cs="Times New Roman"/>
                <w:kern w:val="2"/>
                <w:sz w:val="21"/>
                <w:szCs w:val="24"/>
                <w:lang w:val="en-US" w:eastAsia="zh-CN" w:bidi="ar-SA"/>
              </w:rPr>
              <w:t>。（须提供样品）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623" w:type="dxa"/>
            <w:noWrap w:val="0"/>
            <w:vAlign w:val="top"/>
          </w:tcPr>
          <w:p>
            <w:pPr>
              <w:pStyle w:val="6"/>
              <w:spacing w:line="600" w:lineRule="auto"/>
              <w:ind w:firstLine="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c>
          <w:tcPr>
            <w:tcW w:w="1962" w:type="dxa"/>
            <w:noWrap w:val="0"/>
            <w:vAlign w:val="top"/>
          </w:tcPr>
          <w:p>
            <w:pPr>
              <w:pStyle w:val="6"/>
              <w:spacing w:line="600" w:lineRule="auto"/>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墙面挂画线安装</w:t>
            </w:r>
          </w:p>
        </w:tc>
        <w:tc>
          <w:tcPr>
            <w:tcW w:w="971" w:type="dxa"/>
            <w:noWrap w:val="0"/>
            <w:vAlign w:val="top"/>
          </w:tcPr>
          <w:p>
            <w:pPr>
              <w:pStyle w:val="6"/>
              <w:spacing w:line="600" w:lineRule="auto"/>
              <w:ind w:firstLine="0" w:firstLineChars="0"/>
              <w:jc w:val="center"/>
              <w:rPr>
                <w:rFonts w:hint="eastAsia" w:ascii="宋体" w:hAnsi="宋体" w:eastAsia="宋体" w:cs="宋体"/>
                <w:b w:val="0"/>
                <w:bCs/>
                <w:kern w:val="2"/>
                <w:sz w:val="24"/>
                <w:szCs w:val="24"/>
                <w:lang w:val="en-US" w:eastAsia="zh-CN" w:bidi="ar-SA"/>
              </w:rPr>
            </w:pPr>
            <w:r>
              <w:rPr>
                <w:rFonts w:hint="eastAsia" w:ascii="宋体" w:hAnsi="宋体" w:cs="宋体"/>
                <w:b w:val="0"/>
                <w:bCs/>
                <w:sz w:val="24"/>
                <w:szCs w:val="24"/>
                <w:lang w:val="en-US" w:eastAsia="zh-CN"/>
              </w:rPr>
              <w:t>1400</w:t>
            </w:r>
          </w:p>
        </w:tc>
        <w:tc>
          <w:tcPr>
            <w:tcW w:w="597" w:type="dxa"/>
            <w:noWrap w:val="0"/>
            <w:vAlign w:val="top"/>
          </w:tcPr>
          <w:p>
            <w:pPr>
              <w:pStyle w:val="6"/>
              <w:spacing w:line="600" w:lineRule="auto"/>
              <w:ind w:firstLine="0" w:firstLineChars="0"/>
              <w:jc w:val="center"/>
              <w:rPr>
                <w:rFonts w:hint="eastAsia" w:ascii="宋体" w:hAnsi="宋体" w:eastAsia="宋体" w:cs="宋体"/>
                <w:b w:val="0"/>
                <w:bCs/>
                <w:kern w:val="2"/>
                <w:sz w:val="24"/>
                <w:szCs w:val="24"/>
                <w:lang w:val="en-US" w:eastAsia="zh-CN" w:bidi="ar-SA"/>
              </w:rPr>
            </w:pPr>
            <w:r>
              <w:rPr>
                <w:rFonts w:hint="eastAsia" w:ascii="宋体" w:hAnsi="宋体" w:cs="宋体"/>
                <w:b w:val="0"/>
                <w:bCs/>
                <w:sz w:val="24"/>
                <w:szCs w:val="24"/>
                <w:lang w:val="en-US" w:eastAsia="zh-CN"/>
              </w:rPr>
              <w:t>米</w:t>
            </w:r>
          </w:p>
        </w:tc>
        <w:tc>
          <w:tcPr>
            <w:tcW w:w="5254" w:type="dxa"/>
            <w:tcBorders>
              <w:top w:val="single" w:color="auto" w:sz="4" w:space="0"/>
              <w:bottom w:val="single" w:color="auto" w:sz="4" w:space="0"/>
            </w:tcBorders>
            <w:noWrap w:val="0"/>
            <w:vAlign w:val="top"/>
          </w:tcPr>
          <w:p>
            <w:pPr>
              <w:rPr>
                <w:rFonts w:hint="default"/>
                <w:lang w:val="en-US" w:eastAsia="zh-CN"/>
              </w:rPr>
            </w:pPr>
            <w:r>
              <w:rPr>
                <w:rFonts w:hint="eastAsia"/>
                <w:lang w:val="en-US" w:eastAsia="zh-CN"/>
              </w:rPr>
              <w:t>按照国家施工标准制作，确保收口边缘美观程度，确保45度角闭合处无缝隙施工，可承受20KG以内重量，刷灰色和墙面一致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2" w:hRule="atLeast"/>
        </w:trPr>
        <w:tc>
          <w:tcPr>
            <w:tcW w:w="623" w:type="dxa"/>
            <w:noWrap w:val="0"/>
            <w:vAlign w:val="top"/>
          </w:tcPr>
          <w:p>
            <w:pPr>
              <w:pStyle w:val="6"/>
              <w:spacing w:line="600" w:lineRule="auto"/>
              <w:ind w:firstLine="0"/>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3</w:t>
            </w:r>
          </w:p>
        </w:tc>
        <w:tc>
          <w:tcPr>
            <w:tcW w:w="1962" w:type="dxa"/>
            <w:noWrap w:val="0"/>
            <w:vAlign w:val="top"/>
          </w:tcPr>
          <w:p>
            <w:pPr>
              <w:pStyle w:val="6"/>
              <w:spacing w:line="600" w:lineRule="auto"/>
              <w:ind w:firstLine="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挂钩</w:t>
            </w:r>
          </w:p>
        </w:tc>
        <w:tc>
          <w:tcPr>
            <w:tcW w:w="971" w:type="dxa"/>
            <w:noWrap w:val="0"/>
            <w:vAlign w:val="top"/>
          </w:tcPr>
          <w:p>
            <w:pPr>
              <w:pStyle w:val="6"/>
              <w:spacing w:line="600" w:lineRule="auto"/>
              <w:ind w:firstLine="0"/>
              <w:jc w:val="center"/>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300</w:t>
            </w:r>
          </w:p>
        </w:tc>
        <w:tc>
          <w:tcPr>
            <w:tcW w:w="597" w:type="dxa"/>
            <w:noWrap w:val="0"/>
            <w:vAlign w:val="top"/>
          </w:tcPr>
          <w:p>
            <w:pPr>
              <w:pStyle w:val="6"/>
              <w:spacing w:line="600" w:lineRule="auto"/>
              <w:ind w:firstLine="0"/>
              <w:jc w:val="center"/>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个</w:t>
            </w:r>
          </w:p>
        </w:tc>
        <w:tc>
          <w:tcPr>
            <w:tcW w:w="5254" w:type="dxa"/>
            <w:tcBorders>
              <w:top w:val="single" w:color="auto" w:sz="4" w:space="0"/>
              <w:bottom w:val="single" w:color="auto" w:sz="4" w:space="0"/>
            </w:tcBorders>
            <w:noWrap w:val="0"/>
            <w:vAlign w:val="top"/>
          </w:tcPr>
          <w:p>
            <w:pPr>
              <w:rPr>
                <w:rFonts w:hint="default"/>
                <w:lang w:val="en-US" w:eastAsia="zh-CN"/>
              </w:rPr>
            </w:pPr>
            <w:r>
              <w:rPr>
                <w:rFonts w:hint="eastAsia"/>
                <w:lang w:val="en-US" w:eastAsia="zh-CN"/>
              </w:rPr>
              <w:t>1.5米长，小S钩+1钩/套  200个</w:t>
            </w:r>
            <w:r>
              <w:rPr>
                <w:rFonts w:hint="eastAsia" w:cs="Times New Roman"/>
                <w:kern w:val="2"/>
                <w:sz w:val="21"/>
                <w:szCs w:val="24"/>
                <w:lang w:val="en-US" w:eastAsia="zh-CN" w:bidi="ar-SA"/>
              </w:rPr>
              <w:t>（须提供样品）</w:t>
            </w:r>
          </w:p>
          <w:p>
            <w:pPr>
              <w:rPr>
                <w:rFonts w:hint="default"/>
                <w:lang w:val="en-US" w:eastAsia="zh-CN"/>
              </w:rPr>
            </w:pPr>
            <w:r>
              <w:rPr>
                <w:rFonts w:hint="eastAsia"/>
                <w:lang w:val="en-US" w:eastAsia="zh-CN"/>
              </w:rPr>
              <w:t>1.5米长，小S钩+2钩/套  100个</w:t>
            </w:r>
            <w:r>
              <w:rPr>
                <w:rFonts w:hint="eastAsia" w:cs="Times New Roman"/>
                <w:kern w:val="2"/>
                <w:sz w:val="21"/>
                <w:szCs w:val="24"/>
                <w:lang w:val="en-US" w:eastAsia="zh-CN" w:bidi="ar-SA"/>
              </w:rPr>
              <w:t>（须提供样品）</w:t>
            </w:r>
          </w:p>
          <w:p>
            <w:pPr>
              <w:rPr>
                <w:rFonts w:hint="eastAsia"/>
                <w:lang w:val="en-US" w:eastAsia="zh-CN"/>
              </w:rPr>
            </w:pPr>
            <w:r>
              <w:rPr>
                <w:rFonts w:hint="eastAsia"/>
                <w:lang w:val="en-US" w:eastAsia="zh-CN"/>
              </w:rPr>
              <w:drawing>
                <wp:inline distT="0" distB="0" distL="114300" distR="114300">
                  <wp:extent cx="1301750" cy="1126490"/>
                  <wp:effectExtent l="0" t="0" r="12700" b="16510"/>
                  <wp:docPr id="2" name="图片 2" descr="微信图片_2020101409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01014095348"/>
                          <pic:cNvPicPr>
                            <a:picLocks noChangeAspect="1"/>
                          </pic:cNvPicPr>
                        </pic:nvPicPr>
                        <pic:blipFill>
                          <a:blip r:embed="rId4"/>
                          <a:stretch>
                            <a:fillRect/>
                          </a:stretch>
                        </pic:blipFill>
                        <pic:spPr>
                          <a:xfrm>
                            <a:off x="0" y="0"/>
                            <a:ext cx="1301750" cy="1126490"/>
                          </a:xfrm>
                          <a:prstGeom prst="rect">
                            <a:avLst/>
                          </a:prstGeom>
                        </pic:spPr>
                      </pic:pic>
                    </a:graphicData>
                  </a:graphic>
                </wp:inline>
              </w:drawing>
            </w:r>
          </w:p>
        </w:tc>
      </w:tr>
    </w:tbl>
    <w:p>
      <w:pPr>
        <w:pageBreakBefore w:val="0"/>
        <w:widowControl w:val="0"/>
        <w:kinsoku/>
        <w:wordWrap/>
        <w:topLinePunct w:val="0"/>
        <w:bidi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lang w:eastAsia="zh-CN"/>
        </w:rPr>
        <w:t>）兰州职业技术学院实训大楼</w:t>
      </w:r>
      <w:r>
        <w:rPr>
          <w:rFonts w:hint="eastAsia" w:ascii="仿宋" w:hAnsi="仿宋" w:eastAsia="仿宋" w:cs="仿宋"/>
          <w:sz w:val="24"/>
          <w:szCs w:val="24"/>
          <w:u w:val="single"/>
          <w:lang w:val="en-US" w:eastAsia="zh-CN"/>
        </w:rPr>
        <w:t>7楼非遗学院挂画线及轨道灯布线安装</w:t>
      </w:r>
    </w:p>
    <w:tbl>
      <w:tblPr>
        <w:tblStyle w:val="20"/>
        <w:tblpPr w:leftFromText="180" w:rightFromText="180" w:vertAnchor="text" w:horzAnchor="page" w:tblpX="1087" w:tblpY="139"/>
        <w:tblOverlap w:val="never"/>
        <w:tblW w:w="9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3"/>
        <w:gridCol w:w="1962"/>
        <w:gridCol w:w="971"/>
        <w:gridCol w:w="714"/>
        <w:gridCol w:w="55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753" w:type="dxa"/>
            <w:noWrap w:val="0"/>
            <w:vAlign w:val="center"/>
          </w:tcPr>
          <w:p>
            <w:pPr>
              <w:pStyle w:val="6"/>
              <w:ind w:firstLine="0"/>
              <w:jc w:val="center"/>
              <w:rPr>
                <w:rFonts w:hint="eastAsia"/>
                <w:sz w:val="24"/>
                <w:szCs w:val="24"/>
              </w:rPr>
            </w:pPr>
            <w:r>
              <w:rPr>
                <w:rFonts w:hint="eastAsia"/>
                <w:sz w:val="24"/>
                <w:szCs w:val="24"/>
              </w:rPr>
              <w:t>序号</w:t>
            </w:r>
          </w:p>
        </w:tc>
        <w:tc>
          <w:tcPr>
            <w:tcW w:w="1962" w:type="dxa"/>
            <w:noWrap w:val="0"/>
            <w:vAlign w:val="center"/>
          </w:tcPr>
          <w:p>
            <w:pPr>
              <w:pStyle w:val="6"/>
              <w:ind w:firstLine="0"/>
              <w:jc w:val="center"/>
              <w:rPr>
                <w:rFonts w:hint="eastAsia" w:eastAsia="宋体"/>
                <w:sz w:val="24"/>
                <w:szCs w:val="24"/>
                <w:lang w:eastAsia="zh-CN"/>
              </w:rPr>
            </w:pPr>
            <w:r>
              <w:rPr>
                <w:rFonts w:hint="eastAsia"/>
                <w:sz w:val="24"/>
                <w:szCs w:val="24"/>
                <w:lang w:val="en-US" w:eastAsia="zh-CN"/>
              </w:rPr>
              <w:t>项目名称</w:t>
            </w:r>
          </w:p>
        </w:tc>
        <w:tc>
          <w:tcPr>
            <w:tcW w:w="971" w:type="dxa"/>
            <w:noWrap w:val="0"/>
            <w:vAlign w:val="center"/>
          </w:tcPr>
          <w:p>
            <w:pPr>
              <w:pStyle w:val="6"/>
              <w:ind w:firstLine="0"/>
              <w:jc w:val="center"/>
              <w:rPr>
                <w:rFonts w:hint="eastAsia" w:eastAsia="宋体"/>
                <w:sz w:val="24"/>
                <w:szCs w:val="24"/>
                <w:lang w:val="en-US" w:eastAsia="zh-CN"/>
              </w:rPr>
            </w:pPr>
            <w:r>
              <w:rPr>
                <w:rFonts w:hint="eastAsia"/>
                <w:sz w:val="24"/>
                <w:szCs w:val="24"/>
                <w:lang w:val="en-US" w:eastAsia="zh-CN"/>
              </w:rPr>
              <w:t>工程量</w:t>
            </w:r>
          </w:p>
        </w:tc>
        <w:tc>
          <w:tcPr>
            <w:tcW w:w="714" w:type="dxa"/>
            <w:noWrap w:val="0"/>
            <w:vAlign w:val="center"/>
          </w:tcPr>
          <w:p>
            <w:pPr>
              <w:pStyle w:val="6"/>
              <w:ind w:firstLine="0"/>
              <w:jc w:val="center"/>
              <w:rPr>
                <w:rFonts w:hint="default" w:eastAsia="宋体"/>
                <w:sz w:val="24"/>
                <w:szCs w:val="24"/>
                <w:lang w:val="en-US" w:eastAsia="zh-CN"/>
              </w:rPr>
            </w:pPr>
            <w:r>
              <w:rPr>
                <w:rFonts w:hint="eastAsia"/>
                <w:sz w:val="24"/>
                <w:szCs w:val="24"/>
                <w:lang w:val="en-US" w:eastAsia="zh-CN"/>
              </w:rPr>
              <w:t>单位</w:t>
            </w:r>
          </w:p>
        </w:tc>
        <w:tc>
          <w:tcPr>
            <w:tcW w:w="5546" w:type="dxa"/>
            <w:noWrap w:val="0"/>
            <w:vAlign w:val="center"/>
          </w:tcPr>
          <w:p>
            <w:pPr>
              <w:pStyle w:val="6"/>
              <w:ind w:firstLine="0"/>
              <w:jc w:val="center"/>
              <w:rPr>
                <w:rFonts w:hint="eastAsia" w:eastAsia="宋体"/>
                <w:sz w:val="24"/>
                <w:szCs w:val="24"/>
                <w:lang w:val="en-US" w:eastAsia="zh-CN"/>
              </w:rPr>
            </w:pPr>
            <w:r>
              <w:rPr>
                <w:rFonts w:hint="eastAsia"/>
                <w:sz w:val="24"/>
                <w:szCs w:val="24"/>
                <w:lang w:val="en-US" w:eastAsia="zh-CN"/>
              </w:rPr>
              <w:t>参数（大C）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48" w:hRule="atLeast"/>
        </w:trPr>
        <w:tc>
          <w:tcPr>
            <w:tcW w:w="753" w:type="dxa"/>
            <w:noWrap w:val="0"/>
            <w:vAlign w:val="top"/>
          </w:tcPr>
          <w:p>
            <w:pPr>
              <w:pStyle w:val="6"/>
              <w:spacing w:line="60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962" w:type="dxa"/>
            <w:noWrap w:val="0"/>
            <w:vAlign w:val="top"/>
          </w:tcPr>
          <w:p>
            <w:pPr>
              <w:pStyle w:val="6"/>
              <w:spacing w:line="600" w:lineRule="auto"/>
              <w:ind w:firstLine="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墙面挂画线采购</w:t>
            </w:r>
          </w:p>
        </w:tc>
        <w:tc>
          <w:tcPr>
            <w:tcW w:w="971" w:type="dxa"/>
            <w:noWrap w:val="0"/>
            <w:vAlign w:val="top"/>
          </w:tcPr>
          <w:p>
            <w:pPr>
              <w:pStyle w:val="6"/>
              <w:spacing w:line="600" w:lineRule="auto"/>
              <w:ind w:firstLine="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200</w:t>
            </w:r>
          </w:p>
        </w:tc>
        <w:tc>
          <w:tcPr>
            <w:tcW w:w="714" w:type="dxa"/>
            <w:noWrap w:val="0"/>
            <w:vAlign w:val="top"/>
          </w:tcPr>
          <w:p>
            <w:pPr>
              <w:pStyle w:val="6"/>
              <w:spacing w:line="600" w:lineRule="auto"/>
              <w:ind w:firstLine="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米</w:t>
            </w:r>
          </w:p>
        </w:tc>
        <w:tc>
          <w:tcPr>
            <w:tcW w:w="5546" w:type="dxa"/>
            <w:vMerge w:val="restart"/>
            <w:noWrap w:val="0"/>
            <w:vAlign w:val="top"/>
          </w:tcPr>
          <w:p>
            <w:pPr>
              <w:pStyle w:val="6"/>
              <w:spacing w:line="600" w:lineRule="auto"/>
              <w:ind w:firstLine="0"/>
              <w:jc w:val="both"/>
              <w:rPr>
                <w:rFonts w:hint="default"/>
                <w:sz w:val="24"/>
                <w:szCs w:val="24"/>
                <w:lang w:val="en-US" w:eastAsia="zh-CN"/>
              </w:rPr>
            </w:pPr>
            <w:r>
              <w:rPr>
                <w:rFonts w:hint="eastAsia"/>
                <w:lang w:val="en-US" w:eastAsia="zh-CN"/>
              </w:rPr>
              <w:t>大C轨道，白色或黑色烤漆饰面（优质不锈钢材质）。卡槽深度上：10mm，下：12mm，高度45mm。配套1.5米两挂包塑钢丝挂绳。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trPr>
        <w:tc>
          <w:tcPr>
            <w:tcW w:w="753" w:type="dxa"/>
            <w:noWrap w:val="0"/>
            <w:vAlign w:val="top"/>
          </w:tcPr>
          <w:p>
            <w:pPr>
              <w:pStyle w:val="6"/>
              <w:spacing w:line="60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2</w:t>
            </w:r>
          </w:p>
        </w:tc>
        <w:tc>
          <w:tcPr>
            <w:tcW w:w="1962" w:type="dxa"/>
            <w:noWrap w:val="0"/>
            <w:vAlign w:val="top"/>
          </w:tcPr>
          <w:p>
            <w:pPr>
              <w:pStyle w:val="6"/>
              <w:spacing w:line="600" w:lineRule="auto"/>
              <w:ind w:firstLine="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墙面挂画线安装</w:t>
            </w:r>
          </w:p>
        </w:tc>
        <w:tc>
          <w:tcPr>
            <w:tcW w:w="971" w:type="dxa"/>
            <w:noWrap w:val="0"/>
            <w:vAlign w:val="top"/>
          </w:tcPr>
          <w:p>
            <w:pPr>
              <w:pStyle w:val="6"/>
              <w:spacing w:line="600" w:lineRule="auto"/>
              <w:ind w:firstLine="0"/>
              <w:jc w:val="center"/>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200</w:t>
            </w:r>
          </w:p>
        </w:tc>
        <w:tc>
          <w:tcPr>
            <w:tcW w:w="714" w:type="dxa"/>
            <w:noWrap w:val="0"/>
            <w:vAlign w:val="top"/>
          </w:tcPr>
          <w:p>
            <w:pPr>
              <w:pStyle w:val="6"/>
              <w:spacing w:line="600" w:lineRule="auto"/>
              <w:ind w:firstLine="0"/>
              <w:jc w:val="center"/>
              <w:rPr>
                <w:rFonts w:hint="eastAsia" w:ascii="宋体" w:hAnsi="宋体" w:eastAsia="宋体" w:cs="宋体"/>
                <w:b w:val="0"/>
                <w:bCs/>
                <w:sz w:val="24"/>
                <w:szCs w:val="24"/>
                <w:lang w:val="en-US" w:eastAsia="zh-CN"/>
              </w:rPr>
            </w:pPr>
            <w:r>
              <w:rPr>
                <w:rFonts w:hint="eastAsia" w:ascii="宋体" w:hAnsi="宋体" w:cs="宋体"/>
                <w:b w:val="0"/>
                <w:bCs/>
                <w:sz w:val="24"/>
                <w:szCs w:val="24"/>
                <w:lang w:val="en-US" w:eastAsia="zh-CN"/>
              </w:rPr>
              <w:t>米</w:t>
            </w:r>
          </w:p>
        </w:tc>
        <w:tc>
          <w:tcPr>
            <w:tcW w:w="5546" w:type="dxa"/>
            <w:vMerge w:val="continue"/>
            <w:noWrap w:val="0"/>
            <w:vAlign w:val="top"/>
          </w:tcPr>
          <w:p>
            <w:pPr>
              <w:pStyle w:val="6"/>
              <w:spacing w:line="600" w:lineRule="auto"/>
              <w:ind w:firstLine="0"/>
              <w:jc w:val="center"/>
              <w:rPr>
                <w:rFonts w:hint="eastAsia"/>
                <w:b/>
                <w:sz w:val="24"/>
                <w:szCs w:val="24"/>
                <w:lang w:val="en-US" w:eastAsia="zh-CN"/>
              </w:rPr>
            </w:pPr>
          </w:p>
        </w:tc>
      </w:tr>
    </w:tbl>
    <w:tbl>
      <w:tblPr>
        <w:tblStyle w:val="20"/>
        <w:tblpPr w:leftFromText="180" w:rightFromText="180" w:vertAnchor="text" w:horzAnchor="page" w:tblpX="1105" w:tblpY="139"/>
        <w:tblOverlap w:val="never"/>
        <w:tblW w:w="99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5"/>
        <w:gridCol w:w="1962"/>
        <w:gridCol w:w="971"/>
        <w:gridCol w:w="731"/>
        <w:gridCol w:w="5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atLeast"/>
        </w:trPr>
        <w:tc>
          <w:tcPr>
            <w:tcW w:w="735" w:type="dxa"/>
            <w:noWrap w:val="0"/>
            <w:vAlign w:val="top"/>
          </w:tcPr>
          <w:p>
            <w:pPr>
              <w:pStyle w:val="6"/>
              <w:spacing w:line="600" w:lineRule="auto"/>
              <w:ind w:firstLine="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962" w:type="dxa"/>
            <w:noWrap w:val="0"/>
            <w:vAlign w:val="top"/>
          </w:tcPr>
          <w:p>
            <w:pPr>
              <w:pStyle w:val="6"/>
              <w:spacing w:line="600" w:lineRule="auto"/>
              <w:ind w:firstLine="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轨道灯布线</w:t>
            </w:r>
          </w:p>
        </w:tc>
        <w:tc>
          <w:tcPr>
            <w:tcW w:w="971" w:type="dxa"/>
            <w:noWrap w:val="0"/>
            <w:vAlign w:val="top"/>
          </w:tcPr>
          <w:p>
            <w:pPr>
              <w:pStyle w:val="6"/>
              <w:spacing w:line="600" w:lineRule="auto"/>
              <w:ind w:firstLine="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200</w:t>
            </w:r>
          </w:p>
        </w:tc>
        <w:tc>
          <w:tcPr>
            <w:tcW w:w="731" w:type="dxa"/>
            <w:noWrap w:val="0"/>
            <w:vAlign w:val="top"/>
          </w:tcPr>
          <w:p>
            <w:pPr>
              <w:pStyle w:val="6"/>
              <w:spacing w:line="600" w:lineRule="auto"/>
              <w:ind w:firstLine="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米</w:t>
            </w:r>
          </w:p>
        </w:tc>
        <w:tc>
          <w:tcPr>
            <w:tcW w:w="5515" w:type="dxa"/>
            <w:tcBorders>
              <w:bottom w:val="single" w:color="auto" w:sz="4" w:space="0"/>
            </w:tcBorders>
            <w:noWrap w:val="0"/>
            <w:vAlign w:val="top"/>
          </w:tcPr>
          <w:p>
            <w:pPr>
              <w:pStyle w:val="6"/>
              <w:spacing w:line="600" w:lineRule="auto"/>
              <w:ind w:firstLine="0"/>
              <w:jc w:val="left"/>
              <w:rPr>
                <w:rFonts w:hint="default"/>
                <w:sz w:val="24"/>
                <w:szCs w:val="24"/>
                <w:lang w:val="en-US" w:eastAsia="zh-CN"/>
              </w:rPr>
            </w:pPr>
            <w:r>
              <w:rPr>
                <w:rFonts w:hint="eastAsia" w:asciiTheme="minorEastAsia" w:hAnsiTheme="minorEastAsia" w:eastAsiaTheme="minorEastAsia" w:cstheme="minorEastAsia"/>
                <w:sz w:val="24"/>
                <w:szCs w:val="24"/>
                <w:lang w:val="en-US" w:eastAsia="zh-CN"/>
              </w:rPr>
              <w:t>2.5平方铜线，按实际发生量计算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735" w:type="dxa"/>
            <w:noWrap w:val="0"/>
            <w:vAlign w:val="top"/>
          </w:tcPr>
          <w:p>
            <w:pPr>
              <w:pStyle w:val="6"/>
              <w:spacing w:line="60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4</w:t>
            </w:r>
          </w:p>
        </w:tc>
        <w:tc>
          <w:tcPr>
            <w:tcW w:w="1962" w:type="dxa"/>
            <w:noWrap w:val="0"/>
            <w:vAlign w:val="top"/>
          </w:tcPr>
          <w:p>
            <w:pPr>
              <w:pStyle w:val="6"/>
              <w:spacing w:line="600" w:lineRule="auto"/>
              <w:ind w:firstLine="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轨道灯安装</w:t>
            </w:r>
          </w:p>
        </w:tc>
        <w:tc>
          <w:tcPr>
            <w:tcW w:w="971" w:type="dxa"/>
            <w:noWrap w:val="0"/>
            <w:vAlign w:val="top"/>
          </w:tcPr>
          <w:p>
            <w:pPr>
              <w:pStyle w:val="6"/>
              <w:spacing w:line="600" w:lineRule="auto"/>
              <w:ind w:firstLine="0"/>
              <w:jc w:val="center"/>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200</w:t>
            </w:r>
          </w:p>
        </w:tc>
        <w:tc>
          <w:tcPr>
            <w:tcW w:w="731" w:type="dxa"/>
            <w:noWrap w:val="0"/>
            <w:vAlign w:val="top"/>
          </w:tcPr>
          <w:p>
            <w:pPr>
              <w:pStyle w:val="6"/>
              <w:spacing w:line="600" w:lineRule="auto"/>
              <w:ind w:firstLine="0"/>
              <w:jc w:val="center"/>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组</w:t>
            </w:r>
          </w:p>
        </w:tc>
        <w:tc>
          <w:tcPr>
            <w:tcW w:w="5515" w:type="dxa"/>
            <w:tcBorders>
              <w:top w:val="single" w:color="auto" w:sz="4" w:space="0"/>
            </w:tcBorders>
            <w:noWrap w:val="0"/>
            <w:vAlign w:val="top"/>
          </w:tcPr>
          <w:p>
            <w:pPr>
              <w:pStyle w:val="6"/>
              <w:spacing w:line="600" w:lineRule="auto"/>
              <w:ind w:firstLine="0"/>
              <w:jc w:val="center"/>
              <w:rPr>
                <w:rFonts w:hint="default"/>
                <w:b/>
                <w:sz w:val="24"/>
                <w:szCs w:val="24"/>
                <w:lang w:val="en-US" w:eastAsia="zh-CN"/>
              </w:rPr>
            </w:pPr>
            <w:r>
              <w:rPr>
                <w:rFonts w:hint="eastAsia"/>
                <w:b w:val="0"/>
                <w:bCs/>
                <w:sz w:val="24"/>
                <w:szCs w:val="24"/>
                <w:lang w:val="en-US" w:eastAsia="zh-CN"/>
              </w:rPr>
              <w:t>轨道及灯具安装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7" w:hRule="atLeast"/>
        </w:trPr>
        <w:tc>
          <w:tcPr>
            <w:tcW w:w="735" w:type="dxa"/>
            <w:noWrap w:val="0"/>
            <w:vAlign w:val="top"/>
          </w:tcPr>
          <w:p>
            <w:pPr>
              <w:pStyle w:val="6"/>
              <w:spacing w:line="600" w:lineRule="auto"/>
              <w:ind w:firstLine="0"/>
              <w:jc w:val="center"/>
              <w:rPr>
                <w:rFonts w:hint="default" w:eastAsia="宋体"/>
                <w:b w:val="0"/>
                <w:bCs/>
                <w:sz w:val="24"/>
                <w:szCs w:val="24"/>
                <w:lang w:val="en-US" w:eastAsia="zh-CN"/>
              </w:rPr>
            </w:pPr>
            <w:r>
              <w:rPr>
                <w:rFonts w:hint="eastAsia"/>
                <w:b w:val="0"/>
                <w:bCs/>
                <w:sz w:val="24"/>
                <w:szCs w:val="24"/>
                <w:lang w:val="en-US" w:eastAsia="zh-CN"/>
              </w:rPr>
              <w:t>5</w:t>
            </w:r>
          </w:p>
        </w:tc>
        <w:tc>
          <w:tcPr>
            <w:tcW w:w="1962" w:type="dxa"/>
            <w:noWrap w:val="0"/>
            <w:vAlign w:val="top"/>
          </w:tcPr>
          <w:p>
            <w:pPr>
              <w:pStyle w:val="6"/>
              <w:spacing w:line="600" w:lineRule="auto"/>
              <w:ind w:firstLine="0"/>
              <w:jc w:val="center"/>
              <w:rPr>
                <w:rFonts w:hint="default" w:eastAsia="宋体"/>
                <w:b w:val="0"/>
                <w:bCs/>
                <w:sz w:val="24"/>
                <w:szCs w:val="24"/>
                <w:lang w:val="en-US" w:eastAsia="zh-CN"/>
              </w:rPr>
            </w:pPr>
            <w:r>
              <w:rPr>
                <w:rFonts w:hint="eastAsia"/>
                <w:b w:val="0"/>
                <w:bCs/>
                <w:sz w:val="24"/>
                <w:szCs w:val="24"/>
                <w:lang w:val="en-US" w:eastAsia="zh-CN"/>
              </w:rPr>
              <w:t>轨道灯</w:t>
            </w:r>
          </w:p>
        </w:tc>
        <w:tc>
          <w:tcPr>
            <w:tcW w:w="971" w:type="dxa"/>
            <w:tcBorders>
              <w:right w:val="single" w:color="auto" w:sz="4" w:space="0"/>
            </w:tcBorders>
            <w:noWrap w:val="0"/>
            <w:vAlign w:val="top"/>
          </w:tcPr>
          <w:p>
            <w:pPr>
              <w:pStyle w:val="6"/>
              <w:spacing w:line="600" w:lineRule="auto"/>
              <w:ind w:firstLine="0"/>
              <w:jc w:val="center"/>
              <w:rPr>
                <w:rFonts w:hint="default"/>
                <w:b w:val="0"/>
                <w:bCs/>
                <w:sz w:val="24"/>
                <w:szCs w:val="24"/>
                <w:lang w:val="en-US" w:eastAsia="zh-CN"/>
              </w:rPr>
            </w:pPr>
            <w:r>
              <w:rPr>
                <w:rFonts w:hint="eastAsia"/>
                <w:b w:val="0"/>
                <w:bCs/>
                <w:sz w:val="24"/>
                <w:szCs w:val="24"/>
                <w:lang w:val="en-US" w:eastAsia="zh-CN"/>
              </w:rPr>
              <w:t>200</w:t>
            </w:r>
          </w:p>
        </w:tc>
        <w:tc>
          <w:tcPr>
            <w:tcW w:w="731" w:type="dxa"/>
            <w:tcBorders>
              <w:left w:val="single" w:color="auto" w:sz="4" w:space="0"/>
              <w:right w:val="single" w:color="auto" w:sz="4" w:space="0"/>
            </w:tcBorders>
            <w:noWrap w:val="0"/>
            <w:vAlign w:val="top"/>
          </w:tcPr>
          <w:p>
            <w:pPr>
              <w:pStyle w:val="6"/>
              <w:spacing w:line="600" w:lineRule="auto"/>
              <w:ind w:firstLine="0"/>
              <w:jc w:val="center"/>
              <w:rPr>
                <w:rFonts w:hint="default"/>
                <w:b w:val="0"/>
                <w:bCs/>
                <w:sz w:val="24"/>
                <w:szCs w:val="24"/>
                <w:lang w:val="en-US" w:eastAsia="zh-CN"/>
              </w:rPr>
            </w:pPr>
            <w:r>
              <w:rPr>
                <w:rFonts w:hint="eastAsia"/>
                <w:b w:val="0"/>
                <w:bCs/>
                <w:sz w:val="24"/>
                <w:szCs w:val="24"/>
                <w:lang w:val="en-US" w:eastAsia="zh-CN"/>
              </w:rPr>
              <w:t>组</w:t>
            </w:r>
          </w:p>
        </w:tc>
        <w:tc>
          <w:tcPr>
            <w:tcW w:w="5515" w:type="dxa"/>
            <w:tcBorders>
              <w:top w:val="single" w:color="auto" w:sz="4" w:space="0"/>
              <w:left w:val="single" w:color="auto" w:sz="4" w:space="0"/>
            </w:tcBorders>
            <w:noWrap w:val="0"/>
            <w:vAlign w:val="top"/>
          </w:tcPr>
          <w:p>
            <w:pPr>
              <w:pStyle w:val="6"/>
              <w:spacing w:line="600" w:lineRule="auto"/>
              <w:ind w:firstLine="0"/>
              <w:jc w:val="left"/>
              <w:rPr>
                <w:rFonts w:hint="default"/>
                <w:b/>
                <w:sz w:val="24"/>
                <w:szCs w:val="24"/>
                <w:lang w:val="en-US" w:eastAsia="zh-CN"/>
              </w:rPr>
            </w:pPr>
            <w:r>
              <w:rPr>
                <w:rFonts w:hint="eastAsia" w:asciiTheme="minorEastAsia" w:hAnsiTheme="minorEastAsia" w:eastAsiaTheme="minorEastAsia" w:cstheme="minorEastAsia"/>
                <w:b w:val="0"/>
                <w:bCs/>
                <w:sz w:val="24"/>
                <w:szCs w:val="24"/>
                <w:lang w:val="en-US" w:eastAsia="zh-CN"/>
              </w:rPr>
              <w:t>欧普照明，24w白光，暖光或中性光规格10（灯径）*25.2（灯高）cm，优质铝材灯体，PP材料底盘。一米轨道配套两个射灯。</w:t>
            </w:r>
          </w:p>
        </w:tc>
      </w:tr>
    </w:tbl>
    <w:p>
      <w:pPr>
        <w:pStyle w:val="2"/>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olor w:val="000000" w:themeColor="text1"/>
          <w:sz w:val="24"/>
          <w:lang w:eastAsia="zh-CN"/>
        </w:rPr>
      </w:pPr>
      <w:r>
        <w:rPr>
          <w:rFonts w:hint="eastAsia" w:ascii="宋体" w:hAnsi="宋体"/>
          <w:color w:val="000000" w:themeColor="text1"/>
          <w:sz w:val="24"/>
        </w:rPr>
        <w:t>本项目所涉及产品，必须符合国家相关规定的安全及环保要求，存在质量问题时（人为因素除外），供应商须在3日内无条件进行产品更换。产品质量保质期为在产品验收合格且双方签字并交付使用之日起</w:t>
      </w:r>
      <w:r>
        <w:rPr>
          <w:rFonts w:hint="eastAsia" w:ascii="宋体" w:hAnsi="宋体"/>
          <w:color w:val="000000" w:themeColor="text1"/>
          <w:sz w:val="24"/>
          <w:lang w:val="en-US" w:eastAsia="zh-CN"/>
        </w:rPr>
        <w:t>1</w:t>
      </w:r>
      <w:r>
        <w:rPr>
          <w:rFonts w:hint="eastAsia" w:ascii="宋体" w:hAnsi="宋体"/>
          <w:color w:val="000000" w:themeColor="text1"/>
          <w:sz w:val="24"/>
        </w:rPr>
        <w:t>年。</w:t>
      </w:r>
      <w:r>
        <w:rPr>
          <w:rFonts w:hint="eastAsia" w:ascii="宋体" w:hAnsi="宋体"/>
          <w:color w:val="000000" w:themeColor="text1"/>
          <w:sz w:val="24"/>
          <w:lang w:eastAsia="zh-CN"/>
        </w:rPr>
        <w:t>安装完成后一年内挂画线轨道如出现松动及掉落情况，需在三日内进行免费维修处理，确保不能影响正常使用。</w:t>
      </w:r>
    </w:p>
    <w:p>
      <w:pPr>
        <w:autoSpaceDE w:val="0"/>
        <w:autoSpaceDN w:val="0"/>
        <w:adjustRightInd w:val="0"/>
        <w:snapToGrid w:val="0"/>
        <w:spacing w:line="400" w:lineRule="exact"/>
        <w:ind w:right="-178" w:rightChars="-85"/>
        <w:textAlignment w:val="bottom"/>
        <w:rPr>
          <w:rFonts w:ascii="宋体" w:hAnsi="宋体"/>
          <w:b/>
          <w:color w:val="000000" w:themeColor="text1"/>
          <w:sz w:val="24"/>
        </w:rPr>
      </w:pPr>
    </w:p>
    <w:p>
      <w:pPr>
        <w:numPr>
          <w:ilvl w:val="0"/>
          <w:numId w:val="3"/>
        </w:numPr>
        <w:spacing w:line="360" w:lineRule="auto"/>
        <w:ind w:left="-181" w:leftChars="-86" w:firstLine="482" w:firstLineChars="200"/>
        <w:contextualSpacing/>
        <w:rPr>
          <w:rFonts w:ascii="宋体" w:hAnsi="宋体"/>
          <w:b/>
          <w:color w:val="000000" w:themeColor="text1"/>
          <w:sz w:val="24"/>
        </w:rPr>
      </w:pPr>
      <w:bookmarkStart w:id="2" w:name="_Toc416681035"/>
      <w:bookmarkEnd w:id="2"/>
      <w:r>
        <w:rPr>
          <w:rFonts w:hint="eastAsia" w:ascii="宋体" w:hAnsi="宋体"/>
          <w:b/>
          <w:color w:val="000000" w:themeColor="text1"/>
          <w:sz w:val="24"/>
        </w:rPr>
        <w:t>其他要求：</w:t>
      </w:r>
    </w:p>
    <w:p>
      <w:pPr>
        <w:spacing w:line="400" w:lineRule="exact"/>
        <w:ind w:firstLine="480" w:firstLineChars="200"/>
        <w:rPr>
          <w:color w:val="000000" w:themeColor="text1"/>
          <w:sz w:val="24"/>
        </w:rPr>
      </w:pPr>
      <w:r>
        <w:rPr>
          <w:rFonts w:hint="eastAsia"/>
          <w:color w:val="000000" w:themeColor="text1"/>
          <w:sz w:val="24"/>
        </w:rPr>
        <w:t>供应商须在规定时间内完成</w:t>
      </w:r>
      <w:r>
        <w:rPr>
          <w:rFonts w:hint="eastAsia"/>
          <w:color w:val="000000" w:themeColor="text1"/>
          <w:sz w:val="24"/>
          <w:lang w:eastAsia="zh-CN"/>
        </w:rPr>
        <w:t>安装及</w:t>
      </w:r>
      <w:r>
        <w:rPr>
          <w:rFonts w:hint="eastAsia"/>
          <w:color w:val="000000" w:themeColor="text1"/>
          <w:sz w:val="24"/>
        </w:rPr>
        <w:t>供货，3天内完成型号不符货物的更换和调配。所提供的样品必须与项目标书采购人样品一致，中标单位样品将进行留存并在实际交货时需对照，如出现样品跟实际供货不一样将取消中标资格。</w:t>
      </w:r>
    </w:p>
    <w:p>
      <w:pPr>
        <w:spacing w:line="400" w:lineRule="exact"/>
        <w:ind w:firstLine="480" w:firstLineChars="200"/>
        <w:rPr>
          <w:rFonts w:ascii="宋体" w:hAnsi="宋体"/>
          <w:b/>
          <w:color w:val="000000" w:themeColor="text1"/>
          <w:sz w:val="24"/>
        </w:rPr>
      </w:pPr>
      <w:r>
        <w:rPr>
          <w:rFonts w:hint="eastAsia"/>
          <w:color w:val="000000" w:themeColor="text1"/>
          <w:sz w:val="24"/>
        </w:rPr>
        <w:t>4、</w:t>
      </w:r>
      <w:r>
        <w:rPr>
          <w:color w:val="000000" w:themeColor="text1"/>
          <w:sz w:val="24"/>
        </w:rPr>
        <w:t>技术资料</w:t>
      </w:r>
      <w:r>
        <w:rPr>
          <w:rFonts w:hint="eastAsia"/>
          <w:color w:val="000000" w:themeColor="text1"/>
          <w:sz w:val="24"/>
        </w:rPr>
        <w:t>：供应商</w:t>
      </w:r>
      <w:r>
        <w:rPr>
          <w:color w:val="000000" w:themeColor="text1"/>
          <w:sz w:val="24"/>
        </w:rPr>
        <w:t>必须保证</w:t>
      </w:r>
      <w:r>
        <w:rPr>
          <w:rFonts w:hint="eastAsia"/>
          <w:color w:val="000000" w:themeColor="text1"/>
          <w:sz w:val="24"/>
        </w:rPr>
        <w:t>响应</w:t>
      </w:r>
      <w:r>
        <w:rPr>
          <w:color w:val="000000" w:themeColor="text1"/>
          <w:sz w:val="24"/>
        </w:rPr>
        <w:t>文件所提供的全部技术资料（包括：投标货物原厂原版彩印技术样本、使用保养说明书、图纸、各种试验报告和鉴定证书、货物获奖证书等）真实可靠，不得</w:t>
      </w:r>
      <w:r>
        <w:rPr>
          <w:rFonts w:hint="eastAsia"/>
          <w:color w:val="000000" w:themeColor="text1"/>
          <w:sz w:val="24"/>
        </w:rPr>
        <w:t>用虚假材料进行响应</w:t>
      </w:r>
      <w:r>
        <w:rPr>
          <w:color w:val="000000" w:themeColor="text1"/>
          <w:sz w:val="24"/>
        </w:rPr>
        <w:t>，并接受</w:t>
      </w:r>
      <w:r>
        <w:rPr>
          <w:rFonts w:hint="eastAsia"/>
          <w:color w:val="000000" w:themeColor="text1"/>
          <w:sz w:val="24"/>
        </w:rPr>
        <w:t>评标委员会</w:t>
      </w:r>
      <w:r>
        <w:rPr>
          <w:color w:val="000000" w:themeColor="text1"/>
          <w:sz w:val="24"/>
        </w:rPr>
        <w:t>对其中任何资料进一步审查和采购人认可的第3方测试</w:t>
      </w:r>
      <w:r>
        <w:rPr>
          <w:rFonts w:hint="eastAsia"/>
          <w:color w:val="000000" w:themeColor="text1"/>
          <w:sz w:val="24"/>
        </w:rPr>
        <w:t>机构</w:t>
      </w:r>
      <w:r>
        <w:rPr>
          <w:color w:val="000000" w:themeColor="text1"/>
          <w:sz w:val="24"/>
        </w:rPr>
        <w:t>对货物进行测试的要求。</w:t>
      </w:r>
      <w:r>
        <w:rPr>
          <w:rFonts w:hint="eastAsia"/>
          <w:color w:val="000000" w:themeColor="text1"/>
          <w:sz w:val="24"/>
        </w:rPr>
        <w:t>如有虚假应标，将视为无效投标，并追究相关法律责任。</w:t>
      </w:r>
    </w:p>
    <w:p>
      <w:pPr>
        <w:spacing w:line="360" w:lineRule="auto"/>
        <w:rPr>
          <w:rFonts w:ascii="宋体" w:hAnsi="宋体"/>
          <w:b/>
          <w:color w:val="000000" w:themeColor="text1"/>
          <w:sz w:val="24"/>
        </w:rPr>
      </w:pPr>
      <w:r>
        <w:rPr>
          <w:rFonts w:hint="eastAsia" w:ascii="宋体" w:hAnsi="宋体"/>
          <w:b/>
          <w:color w:val="000000" w:themeColor="text1"/>
          <w:sz w:val="24"/>
        </w:rPr>
        <w:t>二、完成时间及付款方式</w:t>
      </w:r>
    </w:p>
    <w:p>
      <w:pPr>
        <w:spacing w:line="360" w:lineRule="auto"/>
        <w:ind w:firstLine="482" w:firstLineChars="200"/>
        <w:rPr>
          <w:rFonts w:ascii="宋体" w:hAnsi="宋体"/>
          <w:b/>
          <w:bCs/>
          <w:color w:val="000000" w:themeColor="text1"/>
          <w:sz w:val="24"/>
        </w:rPr>
      </w:pPr>
      <w:r>
        <w:rPr>
          <w:rFonts w:hint="eastAsia" w:ascii="宋体" w:hAnsi="宋体"/>
          <w:b/>
          <w:bCs/>
          <w:color w:val="000000" w:themeColor="text1"/>
          <w:sz w:val="24"/>
        </w:rPr>
        <w:t>1．合同签订后，供应商应在接到采购人通知</w:t>
      </w:r>
      <w:r>
        <w:rPr>
          <w:rFonts w:hint="eastAsia" w:ascii="宋体" w:hAnsi="宋体"/>
          <w:b/>
          <w:bCs/>
          <w:color w:val="000000" w:themeColor="text1"/>
          <w:sz w:val="24"/>
          <w:lang w:val="en-US" w:eastAsia="zh-CN"/>
        </w:rPr>
        <w:t>5</w:t>
      </w:r>
      <w:r>
        <w:rPr>
          <w:rFonts w:hint="eastAsia" w:ascii="宋体" w:hAnsi="宋体"/>
          <w:b/>
          <w:bCs/>
          <w:color w:val="000000" w:themeColor="text1"/>
          <w:sz w:val="24"/>
          <w:u w:val="single"/>
        </w:rPr>
        <w:t>天内</w:t>
      </w:r>
      <w:r>
        <w:rPr>
          <w:rFonts w:hint="eastAsia" w:ascii="宋体" w:hAnsi="宋体"/>
          <w:b/>
          <w:bCs/>
          <w:color w:val="000000" w:themeColor="text1"/>
          <w:sz w:val="24"/>
        </w:rPr>
        <w:t>完成项目的所需货物的供货、发放、调配</w:t>
      </w:r>
      <w:r>
        <w:rPr>
          <w:rFonts w:hint="eastAsia" w:ascii="宋体" w:hAnsi="宋体"/>
          <w:b/>
          <w:bCs/>
          <w:color w:val="000000" w:themeColor="text1"/>
          <w:sz w:val="24"/>
          <w:lang w:eastAsia="zh-CN"/>
        </w:rPr>
        <w:t>及安装，</w:t>
      </w:r>
      <w:r>
        <w:rPr>
          <w:rFonts w:hint="eastAsia" w:ascii="宋体" w:hAnsi="宋体"/>
          <w:b/>
          <w:bCs/>
          <w:color w:val="000000" w:themeColor="text1"/>
          <w:sz w:val="24"/>
        </w:rPr>
        <w:t>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color w:val="000000" w:themeColor="text1"/>
          <w:sz w:val="24"/>
        </w:rPr>
        <w:t>2．供应商按采购人要求完成货物的供应、发放、调配，并经采购人验收合格</w:t>
      </w:r>
      <w:r>
        <w:rPr>
          <w:rFonts w:hint="eastAsia" w:ascii="宋体" w:hAnsi="宋体"/>
          <w:sz w:val="24"/>
        </w:rPr>
        <w:t>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bookmarkStart w:id="14" w:name="_GoBack"/>
      <w:bookmarkEnd w:id="14"/>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4"/>
        </w:numPr>
        <w:rPr>
          <w:rFonts w:ascii="宋体" w:hAnsi="宋体"/>
          <w:sz w:val="24"/>
          <w:szCs w:val="24"/>
        </w:rPr>
      </w:pPr>
      <w:r>
        <w:rPr>
          <w:rFonts w:hint="eastAsia" w:ascii="宋体" w:hAnsi="宋体"/>
          <w:sz w:val="24"/>
          <w:szCs w:val="24"/>
        </w:rPr>
        <w:t>所有价格均用人民币表示，单位为元。</w:t>
      </w:r>
    </w:p>
    <w:p>
      <w:pPr>
        <w:pStyle w:val="6"/>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附件五</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B5AEE"/>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8F36AC"/>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7C6"/>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2AC4654"/>
    <w:rsid w:val="033E7859"/>
    <w:rsid w:val="04765BFE"/>
    <w:rsid w:val="04C11398"/>
    <w:rsid w:val="08E85E77"/>
    <w:rsid w:val="098C501E"/>
    <w:rsid w:val="0A412F0D"/>
    <w:rsid w:val="0B1B470A"/>
    <w:rsid w:val="0C8D0B1C"/>
    <w:rsid w:val="0DB2633E"/>
    <w:rsid w:val="0E170F1D"/>
    <w:rsid w:val="1096558D"/>
    <w:rsid w:val="1132687B"/>
    <w:rsid w:val="167C7678"/>
    <w:rsid w:val="16CE0DE2"/>
    <w:rsid w:val="180C163C"/>
    <w:rsid w:val="22E13702"/>
    <w:rsid w:val="240B3670"/>
    <w:rsid w:val="29175E93"/>
    <w:rsid w:val="29C651C2"/>
    <w:rsid w:val="2BD831ED"/>
    <w:rsid w:val="30ED3773"/>
    <w:rsid w:val="30F454E0"/>
    <w:rsid w:val="32082D80"/>
    <w:rsid w:val="38257B50"/>
    <w:rsid w:val="39F15BF0"/>
    <w:rsid w:val="3A7D7082"/>
    <w:rsid w:val="3B0418F4"/>
    <w:rsid w:val="3C800FC9"/>
    <w:rsid w:val="3E842D9E"/>
    <w:rsid w:val="41E83D03"/>
    <w:rsid w:val="42497455"/>
    <w:rsid w:val="469902C4"/>
    <w:rsid w:val="4BF27BEA"/>
    <w:rsid w:val="531410DD"/>
    <w:rsid w:val="5398783B"/>
    <w:rsid w:val="553E2EC3"/>
    <w:rsid w:val="56666A83"/>
    <w:rsid w:val="59575F32"/>
    <w:rsid w:val="59A565CA"/>
    <w:rsid w:val="59F903C5"/>
    <w:rsid w:val="5B0A7487"/>
    <w:rsid w:val="5CA2370E"/>
    <w:rsid w:val="62472877"/>
    <w:rsid w:val="64413EB6"/>
    <w:rsid w:val="650B258F"/>
    <w:rsid w:val="65B03214"/>
    <w:rsid w:val="68EC003C"/>
    <w:rsid w:val="6959727F"/>
    <w:rsid w:val="6FA636AF"/>
    <w:rsid w:val="7562300B"/>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paragraph" w:styleId="2">
    <w:name w:val="heading 4"/>
    <w:basedOn w:val="1"/>
    <w:next w:val="1"/>
    <w:unhideWhenUsed/>
    <w:qFormat/>
    <w:uiPriority w:val="0"/>
    <w:pPr>
      <w:keepNext/>
      <w:keepLines/>
      <w:spacing w:before="280" w:after="290" w:line="376" w:lineRule="auto"/>
      <w:outlineLvl w:val="3"/>
    </w:pPr>
    <w:rPr>
      <w:rFonts w:ascii="Cambria" w:hAnsi="Cambria"/>
      <w:b/>
      <w:bCs/>
      <w:kern w:val="21"/>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line="480" w:lineRule="auto"/>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Char"/>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Char"/>
    <w:link w:val="11"/>
    <w:qFormat/>
    <w:uiPriority w:val="0"/>
    <w:rPr>
      <w:rFonts w:ascii="宋体" w:hAnsi="Courier New" w:eastAsia="宋体" w:cs="Courier New"/>
      <w:kern w:val="2"/>
      <w:sz w:val="21"/>
      <w:szCs w:val="21"/>
      <w:lang w:val="en-US" w:eastAsia="zh-CN" w:bidi="ar-SA"/>
    </w:rPr>
  </w:style>
  <w:style w:type="character" w:customStyle="1" w:styleId="39">
    <w:name w:val="正文缩进 Char"/>
    <w:link w:val="6"/>
    <w:qFormat/>
    <w:uiPriority w:val="0"/>
    <w:rPr>
      <w:rFonts w:eastAsia="宋体"/>
      <w:kern w:val="2"/>
      <w:sz w:val="21"/>
      <w:lang w:val="en-US" w:eastAsia="zh-CN" w:bidi="ar-SA"/>
    </w:rPr>
  </w:style>
  <w:style w:type="character" w:customStyle="1" w:styleId="40">
    <w:name w:val="页眉 Char"/>
    <w:link w:val="14"/>
    <w:qFormat/>
    <w:uiPriority w:val="0"/>
    <w:rPr>
      <w:rFonts w:eastAsia="宋体"/>
      <w:kern w:val="2"/>
      <w:sz w:val="18"/>
      <w:szCs w:val="18"/>
      <w:lang w:val="en-US" w:eastAsia="zh-CN" w:bidi="ar-SA"/>
    </w:rPr>
  </w:style>
  <w:style w:type="character" w:customStyle="1" w:styleId="41">
    <w:name w:val="标题 3 Char"/>
    <w:basedOn w:val="22"/>
    <w:link w:val="5"/>
    <w:semiHidden/>
    <w:qFormat/>
    <w:uiPriority w:val="0"/>
    <w:rPr>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6044</Words>
  <Characters>1486</Characters>
  <Lines>12</Lines>
  <Paragraphs>15</Paragraphs>
  <TotalTime>2</TotalTime>
  <ScaleCrop>false</ScaleCrop>
  <LinksUpToDate>false</LinksUpToDate>
  <CharactersWithSpaces>7515</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2020-10-14T08:29:37Z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