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eastAsia="宋体"/>
          <w:b w:val="0"/>
          <w:bCs w:val="0"/>
          <w:color w:val="auto"/>
          <w:sz w:val="24"/>
          <w:lang w:eastAsia="zh-CN"/>
        </w:rPr>
      </w:pPr>
      <w:r>
        <w:rPr>
          <w:rFonts w:hint="eastAsia"/>
          <w:sz w:val="28"/>
          <w:szCs w:val="28"/>
        </w:rPr>
        <w:t>项目名称</w:t>
      </w:r>
      <w:r>
        <w:rPr>
          <w:rFonts w:hint="eastAsia"/>
          <w:b w:val="0"/>
          <w:bCs w:val="0"/>
          <w:color w:val="auto"/>
          <w:sz w:val="28"/>
          <w:szCs w:val="28"/>
        </w:rPr>
        <w:t>：</w:t>
      </w:r>
      <w:r>
        <w:rPr>
          <w:rFonts w:hint="eastAsia"/>
          <w:b w:val="0"/>
          <w:bCs w:val="0"/>
          <w:color w:val="auto"/>
          <w:sz w:val="24"/>
        </w:rPr>
        <w:t>兰州职业技术学院</w:t>
      </w:r>
      <w:r>
        <w:rPr>
          <w:rFonts w:hint="eastAsia"/>
          <w:b w:val="0"/>
          <w:bCs w:val="0"/>
          <w:color w:val="auto"/>
          <w:sz w:val="24"/>
          <w:lang w:eastAsia="zh-CN"/>
        </w:rPr>
        <w:t>轻量化比赛赛车耗材</w:t>
      </w:r>
      <w:r>
        <w:rPr>
          <w:rFonts w:hint="eastAsia"/>
          <w:b w:val="0"/>
          <w:bCs w:val="0"/>
          <w:color w:val="auto"/>
          <w:sz w:val="24"/>
          <w:lang w:val="en-US" w:eastAsia="zh-CN"/>
        </w:rPr>
        <w:t>项目（二次）</w:t>
      </w:r>
    </w:p>
    <w:p>
      <w:pPr>
        <w:ind w:firstLine="560" w:firstLineChars="200"/>
        <w:jc w:val="left"/>
        <w:rPr>
          <w:sz w:val="28"/>
          <w:szCs w:val="28"/>
        </w:rPr>
      </w:pPr>
      <w:r>
        <w:rPr>
          <w:rFonts w:hint="eastAsia"/>
          <w:sz w:val="28"/>
          <w:szCs w:val="28"/>
        </w:rPr>
        <w:t>项目编号：LZXJ--20200</w:t>
      </w:r>
      <w:r>
        <w:rPr>
          <w:rFonts w:hint="eastAsia"/>
          <w:sz w:val="28"/>
          <w:szCs w:val="28"/>
          <w:lang w:val="en-US" w:eastAsia="zh-CN"/>
        </w:rPr>
        <w:t>17</w:t>
      </w:r>
      <w:r>
        <w:rPr>
          <w:rFonts w:hint="eastAsia"/>
          <w:sz w:val="28"/>
          <w:szCs w:val="28"/>
        </w:rPr>
        <w:t xml:space="preserve"> </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10</w:t>
      </w:r>
      <w:r>
        <w:rPr>
          <w:rFonts w:hint="eastAsia"/>
          <w:sz w:val="28"/>
          <w:szCs w:val="28"/>
        </w:rPr>
        <w:t>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10</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color w:val="auto"/>
          <w:sz w:val="24"/>
        </w:rPr>
      </w:pPr>
      <w:r>
        <w:rPr>
          <w:rFonts w:hint="eastAsia" w:ascii="宋体" w:hAnsi="宋体" w:cs="宋体"/>
          <w:color w:val="auto"/>
          <w:sz w:val="24"/>
        </w:rPr>
        <w:t>根据</w:t>
      </w:r>
      <w:r>
        <w:rPr>
          <w:rFonts w:hint="eastAsia" w:ascii="宋体" w:hAnsi="宋体"/>
          <w:color w:val="auto"/>
          <w:sz w:val="24"/>
        </w:rPr>
        <w:t>兰州职业技术学院</w:t>
      </w:r>
      <w:r>
        <w:rPr>
          <w:rFonts w:hint="eastAsia" w:ascii="宋体" w:hAnsi="宋体"/>
          <w:color w:val="auto"/>
          <w:sz w:val="24"/>
          <w:lang w:eastAsia="zh-CN"/>
        </w:rPr>
        <w:t>学生参赛需求</w:t>
      </w:r>
      <w:r>
        <w:rPr>
          <w:rFonts w:hint="eastAsia" w:ascii="宋体" w:hAnsi="宋体"/>
          <w:color w:val="auto"/>
          <w:sz w:val="24"/>
        </w:rPr>
        <w:t>，现拟对</w:t>
      </w:r>
      <w:r>
        <w:rPr>
          <w:rFonts w:hint="eastAsia"/>
          <w:color w:val="auto"/>
          <w:sz w:val="24"/>
        </w:rPr>
        <w:t>兰州职业技术学院</w:t>
      </w:r>
      <w:r>
        <w:rPr>
          <w:rFonts w:hint="eastAsia"/>
          <w:color w:val="auto"/>
          <w:sz w:val="24"/>
          <w:lang w:eastAsia="zh-CN"/>
        </w:rPr>
        <w:t>轻量化赛车耗材</w:t>
      </w:r>
      <w:r>
        <w:rPr>
          <w:rFonts w:hint="eastAsia"/>
          <w:color w:val="auto"/>
          <w:sz w:val="24"/>
          <w:lang w:val="en-US" w:eastAsia="zh-CN"/>
        </w:rPr>
        <w:t>项目</w:t>
      </w:r>
      <w:r>
        <w:rPr>
          <w:rFonts w:hint="eastAsia" w:ascii="宋体" w:hAnsi="宋体"/>
          <w:color w:val="auto"/>
          <w:sz w:val="24"/>
        </w:rPr>
        <w:t>进行询价采购。欢迎满足资格要求的供应商前来参加，具体事宜公告如下：</w:t>
      </w:r>
    </w:p>
    <w:p>
      <w:pPr>
        <w:spacing w:line="360" w:lineRule="auto"/>
        <w:rPr>
          <w:rFonts w:hint="default" w:ascii="宋体" w:hAnsi="宋体" w:eastAsia="宋体"/>
          <w:color w:val="auto"/>
          <w:sz w:val="24"/>
          <w:lang w:val="en-US" w:eastAsia="zh-CN"/>
        </w:rPr>
      </w:pPr>
      <w:r>
        <w:rPr>
          <w:rFonts w:hint="eastAsia" w:ascii="宋体" w:hAnsi="宋体"/>
          <w:color w:val="auto"/>
          <w:sz w:val="24"/>
        </w:rPr>
        <w:t>一、采购项目编号：LZXJ--20200</w:t>
      </w:r>
      <w:r>
        <w:rPr>
          <w:rFonts w:hint="eastAsia" w:ascii="宋体" w:hAnsi="宋体"/>
          <w:color w:val="auto"/>
          <w:sz w:val="24"/>
          <w:lang w:val="en-US" w:eastAsia="zh-CN"/>
        </w:rPr>
        <w:t>17</w:t>
      </w:r>
    </w:p>
    <w:p>
      <w:pPr>
        <w:spacing w:line="360" w:lineRule="auto"/>
        <w:rPr>
          <w:rFonts w:hint="eastAsia"/>
          <w:color w:val="auto"/>
          <w:sz w:val="24"/>
          <w:lang w:val="en-US" w:eastAsia="zh-CN"/>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eastAsia="zh-CN"/>
        </w:rPr>
        <w:t>轻量化比赛赛车耗材</w:t>
      </w:r>
      <w:r>
        <w:rPr>
          <w:rFonts w:hint="eastAsia"/>
          <w:color w:val="auto"/>
          <w:sz w:val="24"/>
          <w:lang w:val="en-US" w:eastAsia="zh-CN"/>
        </w:rPr>
        <w:t>项目</w:t>
      </w:r>
      <w:bookmarkStart w:id="14" w:name="_GoBack"/>
      <w:bookmarkEnd w:id="14"/>
    </w:p>
    <w:p>
      <w:pPr>
        <w:spacing w:line="360" w:lineRule="auto"/>
        <w:rPr>
          <w:rFonts w:ascii="宋体" w:hAnsi="宋体"/>
          <w:color w:val="auto"/>
          <w:sz w:val="24"/>
        </w:rPr>
      </w:pPr>
      <w:r>
        <w:rPr>
          <w:rFonts w:hint="eastAsia" w:ascii="宋体" w:hAnsi="宋体"/>
          <w:color w:val="auto"/>
          <w:sz w:val="24"/>
        </w:rPr>
        <w:t>三、采购方式：询价采购</w:t>
      </w:r>
    </w:p>
    <w:p>
      <w:pPr>
        <w:spacing w:line="360" w:lineRule="auto"/>
        <w:rPr>
          <w:rFonts w:ascii="宋体" w:hAnsi="宋体"/>
          <w:color w:val="auto"/>
          <w:sz w:val="24"/>
        </w:rPr>
      </w:pPr>
      <w:r>
        <w:rPr>
          <w:rFonts w:hint="eastAsia" w:ascii="宋体" w:hAnsi="宋体"/>
          <w:color w:val="auto"/>
          <w:sz w:val="24"/>
        </w:rPr>
        <w:t>四、采购内容及预算金额：</w:t>
      </w:r>
    </w:p>
    <w:p>
      <w:pPr>
        <w:spacing w:line="360" w:lineRule="auto"/>
        <w:rPr>
          <w:rFonts w:ascii="宋体" w:hAnsi="宋体"/>
          <w:color w:val="auto"/>
          <w:sz w:val="24"/>
        </w:rPr>
      </w:pPr>
      <w:r>
        <w:rPr>
          <w:rFonts w:hint="eastAsia" w:ascii="宋体" w:hAnsi="宋体"/>
          <w:color w:val="auto"/>
          <w:sz w:val="24"/>
        </w:rPr>
        <w:t xml:space="preserve">   1.</w:t>
      </w:r>
      <w:r>
        <w:rPr>
          <w:rFonts w:hint="eastAsia"/>
          <w:color w:val="auto"/>
          <w:sz w:val="24"/>
          <w:lang w:eastAsia="zh-CN"/>
        </w:rPr>
        <w:t>轻量化比赛赛车耗材</w:t>
      </w:r>
    </w:p>
    <w:p>
      <w:pPr>
        <w:spacing w:line="360" w:lineRule="auto"/>
        <w:rPr>
          <w:rFonts w:ascii="宋体" w:hAnsi="宋体"/>
          <w:color w:val="auto"/>
          <w:sz w:val="24"/>
        </w:rPr>
      </w:pPr>
      <w:r>
        <w:rPr>
          <w:rFonts w:hint="eastAsia" w:ascii="宋体" w:hAnsi="宋体"/>
          <w:color w:val="auto"/>
          <w:sz w:val="24"/>
        </w:rPr>
        <w:t xml:space="preserve">   2.预算金额：</w:t>
      </w:r>
      <w:r>
        <w:rPr>
          <w:rFonts w:hint="eastAsia" w:ascii="宋体" w:hAnsi="宋体"/>
          <w:color w:val="auto"/>
          <w:sz w:val="24"/>
          <w:lang w:val="en-US" w:eastAsia="zh-CN"/>
        </w:rPr>
        <w:t>99470</w:t>
      </w:r>
      <w:r>
        <w:rPr>
          <w:rFonts w:hint="eastAsia" w:ascii="宋体" w:hAnsi="宋体"/>
          <w:color w:val="auto"/>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16</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0</w:t>
      </w:r>
      <w:r>
        <w:rPr>
          <w:rFonts w:ascii="宋体" w:hAnsi="宋体"/>
          <w:color w:val="auto"/>
          <w:sz w:val="24"/>
        </w:rPr>
        <w:t>0</w:t>
      </w:r>
      <w:r>
        <w:rPr>
          <w:rFonts w:hint="eastAsia" w:ascii="宋体" w:hAnsi="宋体"/>
          <w:color w:val="auto"/>
          <w:sz w:val="24"/>
        </w:rPr>
        <w:t>至9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color w:val="auto"/>
          <w:sz w:val="24"/>
        </w:rPr>
      </w:pPr>
      <w:r>
        <w:rPr>
          <w:rFonts w:hint="eastAsia" w:ascii="宋体" w:hAnsi="宋体"/>
          <w:color w:val="auto"/>
          <w:sz w:val="24"/>
        </w:rPr>
        <w:t>电话：</w:t>
      </w:r>
      <w:r>
        <w:rPr>
          <w:rFonts w:ascii="宋体" w:hAnsi="宋体"/>
          <w:color w:val="auto"/>
          <w:sz w:val="24"/>
        </w:rPr>
        <w:t>0</w:t>
      </w:r>
      <w:r>
        <w:rPr>
          <w:rFonts w:hint="eastAsia" w:ascii="宋体" w:hAnsi="宋体"/>
          <w:color w:val="auto"/>
          <w:sz w:val="24"/>
        </w:rPr>
        <w:t>931</w:t>
      </w:r>
      <w:r>
        <w:rPr>
          <w:rFonts w:ascii="宋体" w:hAnsi="宋体"/>
          <w:color w:val="auto"/>
          <w:sz w:val="24"/>
        </w:rPr>
        <w:t>-</w:t>
      </w:r>
      <w:r>
        <w:rPr>
          <w:rFonts w:hint="eastAsia" w:ascii="宋体" w:hAnsi="宋体"/>
          <w:color w:val="auto"/>
          <w:sz w:val="24"/>
        </w:rPr>
        <w:t>7619761</w:t>
      </w:r>
    </w:p>
    <w:p>
      <w:pPr>
        <w:spacing w:line="360" w:lineRule="auto"/>
        <w:ind w:firstLine="480" w:firstLineChars="200"/>
        <w:rPr>
          <w:rFonts w:ascii="宋体" w:hAnsi="宋体"/>
          <w:color w:val="auto"/>
          <w:sz w:val="24"/>
        </w:rPr>
      </w:pPr>
    </w:p>
    <w:p>
      <w:pPr>
        <w:spacing w:line="360" w:lineRule="auto"/>
        <w:ind w:firstLine="4800" w:firstLineChars="2000"/>
        <w:rPr>
          <w:rFonts w:ascii="宋体" w:hAnsi="宋体"/>
          <w:color w:val="auto"/>
          <w:sz w:val="24"/>
        </w:rPr>
      </w:pPr>
      <w:r>
        <w:rPr>
          <w:rFonts w:hint="eastAsia" w:ascii="宋体" w:hAnsi="宋体"/>
          <w:color w:val="auto"/>
          <w:sz w:val="24"/>
        </w:rPr>
        <w:t>兰州职业技术学院国资及产业管理处</w:t>
      </w:r>
    </w:p>
    <w:p>
      <w:pPr>
        <w:spacing w:line="360" w:lineRule="auto"/>
        <w:ind w:firstLine="5760" w:firstLineChars="2400"/>
        <w:rPr>
          <w:rFonts w:ascii="宋体" w:hAnsi="宋体"/>
          <w:color w:val="auto"/>
          <w:sz w:val="24"/>
        </w:rPr>
      </w:pPr>
      <w:r>
        <w:rPr>
          <w:rFonts w:ascii="宋体" w:hAnsi="宋体"/>
          <w:color w:val="auto"/>
          <w:sz w:val="24"/>
        </w:rPr>
        <w:t>20</w:t>
      </w:r>
      <w:r>
        <w:rPr>
          <w:rFonts w:hint="eastAsia" w:ascii="宋体" w:hAnsi="宋体"/>
          <w:color w:val="auto"/>
          <w:sz w:val="24"/>
        </w:rPr>
        <w:t>20</w:t>
      </w:r>
      <w:r>
        <w:rPr>
          <w:rFonts w:ascii="宋体" w:hAnsi="宋体"/>
          <w:color w:val="auto"/>
          <w:sz w:val="24"/>
        </w:rPr>
        <w:t>年</w:t>
      </w:r>
      <w:r>
        <w:rPr>
          <w:rFonts w:hint="eastAsia" w:ascii="宋体" w:hAnsi="宋体"/>
          <w:color w:val="auto"/>
          <w:sz w:val="24"/>
          <w:lang w:val="en-US" w:eastAsia="zh-CN"/>
        </w:rPr>
        <w:t>10</w:t>
      </w:r>
      <w:r>
        <w:rPr>
          <w:rFonts w:ascii="宋体" w:hAnsi="宋体"/>
          <w:color w:val="auto"/>
          <w:sz w:val="24"/>
        </w:rPr>
        <w:t>月</w:t>
      </w:r>
      <w:r>
        <w:rPr>
          <w:rFonts w:hint="eastAsia" w:ascii="宋体" w:hAnsi="宋体"/>
          <w:color w:val="auto"/>
          <w:sz w:val="24"/>
          <w:lang w:val="en-US" w:eastAsia="zh-CN"/>
        </w:rPr>
        <w:t>13</w:t>
      </w:r>
      <w:r>
        <w:rPr>
          <w:rFonts w:ascii="宋体" w:hAnsi="宋体"/>
          <w:color w:val="auto"/>
          <w:sz w:val="24"/>
        </w:rPr>
        <w:t>日</w:t>
      </w:r>
    </w:p>
    <w:p>
      <w:pPr>
        <w:pStyle w:val="2"/>
        <w:spacing w:before="0"/>
        <w:jc w:val="center"/>
        <w:rPr>
          <w:rFonts w:ascii="宋体" w:hAnsi="宋体"/>
          <w:color w:val="auto"/>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8925" w:type="dxa"/>
        <w:tblInd w:w="-15" w:type="dxa"/>
        <w:tblLayout w:type="fixed"/>
        <w:tblCellMar>
          <w:top w:w="0" w:type="dxa"/>
          <w:left w:w="0" w:type="dxa"/>
          <w:bottom w:w="0" w:type="dxa"/>
          <w:right w:w="0" w:type="dxa"/>
        </w:tblCellMar>
      </w:tblPr>
      <w:tblGrid>
        <w:gridCol w:w="684"/>
        <w:gridCol w:w="1055"/>
        <w:gridCol w:w="5945"/>
        <w:gridCol w:w="641"/>
        <w:gridCol w:w="600"/>
      </w:tblGrid>
      <w:tr>
        <w:tblPrEx>
          <w:tblCellMar>
            <w:top w:w="0" w:type="dxa"/>
            <w:left w:w="0" w:type="dxa"/>
            <w:bottom w:w="0" w:type="dxa"/>
            <w:right w:w="0" w:type="dxa"/>
          </w:tblCellMar>
        </w:tblPrEx>
        <w:trPr>
          <w:trHeight w:val="337"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kern w:val="0"/>
                <w:sz w:val="24"/>
              </w:rPr>
            </w:pPr>
            <w:r>
              <w:rPr>
                <w:rStyle w:val="41"/>
                <w:rFonts w:ascii="宋体" w:hAnsi="宋体"/>
                <w:b/>
                <w:color w:val="000000"/>
                <w:kern w:val="0"/>
                <w:sz w:val="24"/>
              </w:rPr>
              <w:t>序号</w:t>
            </w:r>
          </w:p>
        </w:tc>
        <w:tc>
          <w:tcPr>
            <w:tcW w:w="105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名称</w:t>
            </w:r>
          </w:p>
        </w:tc>
        <w:tc>
          <w:tcPr>
            <w:tcW w:w="594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配置及参数描述</w:t>
            </w:r>
          </w:p>
        </w:tc>
        <w:tc>
          <w:tcPr>
            <w:tcW w:w="64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数量</w:t>
            </w:r>
          </w:p>
        </w:tc>
        <w:tc>
          <w:tcPr>
            <w:tcW w:w="60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单位</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防倾杆套件总成</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配置清单：前防倾杆上盖45#钢2件、前防倾杆下盖45#钢2件、后防倾杆上盖45#4钢2件、后防倾杆下盖5#钢2件、防倾杆固定座螺丝（圆柱头M6*20)8件、防倾杆激光件45#钢2件、鱼眼球轴承(含螺丝圆柱头内六角M6*20及螺母，2件、铜套23*20*25，2件。</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1.防倾杆扭转刚度可以通过调节杆端轴承或者安装孔位进行调节</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2.防倾杆外径：20mm </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3.防倾杆采用两个固定支座通过铜套与车架或底板连接</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车身</w:t>
            </w:r>
            <w:r>
              <w:rPr>
                <w:rFonts w:hint="default" w:ascii="宋体" w:hAnsi="宋体" w:cs="宋体"/>
                <w:i w:val="0"/>
                <w:color w:val="000000"/>
                <w:kern w:val="0"/>
                <w:sz w:val="24"/>
                <w:szCs w:val="24"/>
                <w:u w:val="none"/>
                <w:lang w:eastAsia="zh-CN" w:bidi="ar"/>
              </w:rPr>
              <w:t>吊耳</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前杠安装吊耳*2，安全带吊耳片*10（含螺丝），后拖钩*1（含螺丝）</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车身壳体制作</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1.模具标准：数控加工赛车车身模具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2.模具数量：模具阴模加工数量</w:t>
            </w:r>
            <w:r>
              <w:rPr>
                <w:rFonts w:hint="default" w:ascii="宋体" w:hAnsi="宋体" w:cs="宋体"/>
                <w:i w:val="0"/>
                <w:color w:val="000000"/>
                <w:kern w:val="0"/>
                <w:sz w:val="24"/>
                <w:szCs w:val="24"/>
                <w:u w:val="none"/>
                <w:lang w:eastAsia="zh-CN" w:bidi="ar"/>
              </w:rPr>
              <w:t>为</w:t>
            </w:r>
            <w:r>
              <w:rPr>
                <w:rFonts w:hint="eastAsia" w:ascii="宋体" w:hAnsi="宋体" w:eastAsia="宋体" w:cs="宋体"/>
                <w:i w:val="0"/>
                <w:color w:val="000000"/>
                <w:kern w:val="0"/>
                <w:sz w:val="24"/>
                <w:szCs w:val="24"/>
                <w:u w:val="none"/>
                <w:lang w:val="en-US" w:eastAsia="zh-CN" w:bidi="ar"/>
              </w:rPr>
              <w:t>3块</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3.设计：采用三维设计轻量化</w:t>
            </w:r>
            <w:r>
              <w:rPr>
                <w:rFonts w:hint="default" w:ascii="宋体" w:hAnsi="宋体" w:cs="宋体"/>
                <w:i w:val="0"/>
                <w:color w:val="000000"/>
                <w:kern w:val="0"/>
                <w:sz w:val="24"/>
                <w:szCs w:val="24"/>
                <w:u w:val="none"/>
                <w:lang w:eastAsia="zh-CN" w:bidi="ar"/>
              </w:rPr>
              <w:t>曲面</w:t>
            </w:r>
            <w:r>
              <w:rPr>
                <w:rFonts w:hint="eastAsia" w:ascii="宋体" w:hAnsi="宋体" w:eastAsia="宋体" w:cs="宋体"/>
                <w:i w:val="0"/>
                <w:color w:val="000000"/>
                <w:kern w:val="0"/>
                <w:sz w:val="24"/>
                <w:szCs w:val="24"/>
                <w:u w:val="none"/>
                <w:lang w:val="en-US" w:eastAsia="zh-CN" w:bidi="ar"/>
              </w:rPr>
              <w:t>车身</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4.表面质量：表面喷漆处理</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5.壳体厚度：1mm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个</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防火墙原材料</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防火墙原材料铝板0.5mm,规格 1*1m.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平米</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5</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碳纤维鼻翼、尾翼</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碳纤维鼻翼、尾翼碳纤维板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1.采用真空导流成型工艺</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2.鼻翼采用分模制作，上下部分粘接而成</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3.表面纤维：3K斜纹碳纤维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4.表面质量：</w:t>
            </w:r>
            <w:r>
              <w:rPr>
                <w:rFonts w:hint="default" w:ascii="宋体" w:hAnsi="宋体" w:cs="宋体"/>
                <w:i w:val="0"/>
                <w:color w:val="000000"/>
                <w:kern w:val="0"/>
                <w:sz w:val="24"/>
                <w:szCs w:val="24"/>
                <w:u w:val="none"/>
                <w:lang w:eastAsia="zh-CN" w:bidi="ar"/>
              </w:rPr>
              <w:t>喷漆处理</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5.尾翼长度≤1000mm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6</w:t>
            </w:r>
          </w:p>
        </w:tc>
        <w:tc>
          <w:tcPr>
            <w:tcW w:w="105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防滚架原材料</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1）材质：SAE 4130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2）尺寸：4130管20*1.2，2.3米/每根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7</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41"/>
                <w:rFonts w:ascii="宋体" w:hAnsi="宋体"/>
                <w:color w:val="000000"/>
                <w:sz w:val="20"/>
                <w:szCs w:val="20"/>
              </w:rPr>
            </w:pP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1)材质：SAE 4130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2）尺寸：4130管16*2，3米/根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8</w:t>
            </w:r>
          </w:p>
        </w:tc>
        <w:tc>
          <w:tcPr>
            <w:tcW w:w="105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41"/>
                <w:rFonts w:ascii="宋体" w:hAnsi="宋体"/>
                <w:color w:val="000000"/>
                <w:sz w:val="20"/>
                <w:szCs w:val="20"/>
              </w:rPr>
            </w:pP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技术参数：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1)材质：SAE 4130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2）尺寸：4130管25.4*1.6，3米/根</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3）满足赛项技术要求。</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13</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9</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防滚架加工</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尺寸：4130管20*1.2，  技术参数：焊接</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个</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10</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减震器</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default" w:ascii="宋体" w:hAnsi="宋体" w:cs="宋体"/>
                <w:i w:val="0"/>
                <w:color w:val="000000"/>
                <w:kern w:val="0"/>
                <w:sz w:val="24"/>
                <w:szCs w:val="24"/>
                <w:u w:val="none"/>
                <w:lang w:eastAsia="zh-CN" w:bidi="ar"/>
              </w:rPr>
              <w:t>减震器</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支</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铝方管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7075航空铝方管（15*15*2mm）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米</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赛车用座椅</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普通玻璃钢绒布座椅</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铜线</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1平方*50米</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铜线</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kern w:val="0"/>
                <w:sz w:val="20"/>
                <w:szCs w:val="20"/>
              </w:rPr>
            </w:pPr>
            <w:r>
              <w:rPr>
                <w:rFonts w:hint="eastAsia" w:ascii="宋体" w:hAnsi="宋体" w:eastAsia="宋体" w:cs="宋体"/>
                <w:i w:val="0"/>
                <w:color w:val="000000"/>
                <w:kern w:val="0"/>
                <w:sz w:val="24"/>
                <w:szCs w:val="24"/>
                <w:u w:val="none"/>
                <w:lang w:val="en-US" w:eastAsia="zh-CN" w:bidi="ar"/>
              </w:rPr>
              <w:t>1平方*50米</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15</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热缩管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kern w:val="0"/>
                <w:sz w:val="20"/>
                <w:szCs w:val="20"/>
              </w:rPr>
            </w:pPr>
            <w:r>
              <w:rPr>
                <w:rFonts w:hint="eastAsia" w:ascii="宋体" w:hAnsi="宋体" w:eastAsia="宋体" w:cs="宋体"/>
                <w:i w:val="0"/>
                <w:color w:val="000000"/>
                <w:kern w:val="0"/>
                <w:sz w:val="24"/>
                <w:szCs w:val="24"/>
                <w:u w:val="none"/>
                <w:lang w:val="en-US" w:eastAsia="zh-CN" w:bidi="ar"/>
              </w:rPr>
              <w:t>红色（3mm*100m）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17</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热缩管</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黑色（30mm*25m）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18</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铆钉</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狄龙抽芯拉铆钉 3.2*11mm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盒</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ascii="宋体" w:hAnsi="宋体"/>
                <w:color w:val="000000"/>
                <w:kern w:val="0"/>
                <w:sz w:val="20"/>
                <w:szCs w:val="20"/>
              </w:rPr>
            </w:pPr>
            <w:r>
              <w:rPr>
                <w:rStyle w:val="41"/>
                <w:rFonts w:ascii="宋体" w:hAnsi="宋体"/>
                <w:color w:val="000000"/>
                <w:kern w:val="0"/>
                <w:sz w:val="20"/>
                <w:szCs w:val="20"/>
              </w:rPr>
              <w:t>19</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钻头</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kern w:val="0"/>
                <w:sz w:val="20"/>
                <w:szCs w:val="20"/>
              </w:rPr>
            </w:pPr>
            <w:r>
              <w:rPr>
                <w:rFonts w:hint="eastAsia" w:ascii="宋体" w:hAnsi="宋体" w:eastAsia="宋体" w:cs="宋体"/>
                <w:i w:val="0"/>
                <w:color w:val="000000"/>
                <w:kern w:val="0"/>
                <w:sz w:val="24"/>
                <w:szCs w:val="24"/>
                <w:u w:val="none"/>
                <w:lang w:val="en-US" w:eastAsia="zh-CN" w:bidi="ar"/>
              </w:rPr>
              <w:t>钻头 3.2mm</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盒</w:t>
            </w:r>
          </w:p>
        </w:tc>
      </w:tr>
      <w:tr>
        <w:tblPrEx>
          <w:tblCellMar>
            <w:top w:w="0" w:type="dxa"/>
            <w:left w:w="0" w:type="dxa"/>
            <w:bottom w:w="0" w:type="dxa"/>
            <w:right w:w="0" w:type="dxa"/>
          </w:tblCellMar>
        </w:tblPrEx>
        <w:trPr>
          <w:trHeight w:val="544"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000000"/>
                <w:kern w:val="0"/>
                <w:sz w:val="20"/>
                <w:szCs w:val="20"/>
                <w:lang w:val="en-US" w:eastAsia="zh-CN"/>
              </w:rPr>
            </w:pPr>
            <w:r>
              <w:rPr>
                <w:rStyle w:val="41"/>
                <w:rFonts w:hint="eastAsia" w:ascii="宋体" w:hAnsi="宋体"/>
                <w:color w:val="000000"/>
                <w:kern w:val="0"/>
                <w:sz w:val="20"/>
                <w:szCs w:val="20"/>
                <w:lang w:val="en-US" w:eastAsia="zh-CN"/>
              </w:rPr>
              <w:t>20</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赛车头盔</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赛车头盔</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顶</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000000"/>
                <w:kern w:val="0"/>
                <w:sz w:val="20"/>
                <w:szCs w:val="20"/>
                <w:lang w:val="en-US" w:eastAsia="zh-CN"/>
              </w:rPr>
            </w:pPr>
            <w:r>
              <w:rPr>
                <w:rStyle w:val="41"/>
                <w:rFonts w:hint="eastAsia" w:ascii="宋体" w:hAnsi="宋体"/>
                <w:color w:val="000000"/>
                <w:kern w:val="0"/>
                <w:sz w:val="20"/>
                <w:szCs w:val="20"/>
                <w:lang w:val="en-US" w:eastAsia="zh-CN"/>
              </w:rPr>
              <w:t>21</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束缚带</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default"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手臂束缚带</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对</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000000"/>
                <w:kern w:val="0"/>
                <w:sz w:val="20"/>
                <w:szCs w:val="20"/>
                <w:lang w:val="en-US" w:eastAsia="zh-CN"/>
              </w:rPr>
            </w:pPr>
            <w:r>
              <w:rPr>
                <w:rStyle w:val="41"/>
                <w:rFonts w:hint="eastAsia" w:ascii="宋体" w:hAnsi="宋体"/>
                <w:color w:val="000000"/>
                <w:kern w:val="0"/>
                <w:sz w:val="20"/>
                <w:szCs w:val="20"/>
                <w:lang w:val="en-US" w:eastAsia="zh-CN"/>
              </w:rPr>
              <w:t>22</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灭火器支架</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灭火器支架</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eastAsia="zh-CN"/>
              </w:rPr>
            </w:pPr>
            <w:r>
              <w:rPr>
                <w:rFonts w:hint="eastAsia" w:ascii="宋体" w:hAnsi="宋体" w:eastAsia="宋体" w:cs="宋体"/>
                <w:i w:val="0"/>
                <w:color w:val="000000"/>
                <w:kern w:val="0"/>
                <w:sz w:val="24"/>
                <w:szCs w:val="24"/>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hint="eastAsia" w:ascii="宋体" w:hAnsi="宋体" w:eastAsia="宋体"/>
                <w:color w:val="000000"/>
                <w:sz w:val="20"/>
                <w:szCs w:val="20"/>
                <w:lang w:val="en-US" w:eastAsia="zh-CN"/>
              </w:rPr>
            </w:pPr>
            <w:r>
              <w:rPr>
                <w:rFonts w:hint="eastAsia" w:ascii="宋体" w:hAnsi="宋体" w:eastAsia="宋体" w:cs="宋体"/>
                <w:i w:val="0"/>
                <w:color w:val="000000"/>
                <w:kern w:val="0"/>
                <w:sz w:val="24"/>
                <w:szCs w:val="24"/>
                <w:u w:val="none"/>
                <w:lang w:val="en-US" w:eastAsia="zh-CN" w:bidi="ar"/>
              </w:rPr>
              <w:t>套</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000000"/>
                <w:kern w:val="0"/>
                <w:sz w:val="20"/>
                <w:szCs w:val="20"/>
                <w:lang w:val="en-US" w:eastAsia="zh-CN"/>
              </w:rPr>
            </w:pPr>
            <w:r>
              <w:rPr>
                <w:rStyle w:val="41"/>
                <w:rFonts w:hint="eastAsia" w:ascii="宋体" w:hAnsi="宋体"/>
                <w:color w:val="000000"/>
                <w:kern w:val="0"/>
                <w:sz w:val="20"/>
                <w:szCs w:val="20"/>
                <w:lang w:val="en-US" w:eastAsia="zh-CN"/>
              </w:rPr>
              <w:t>23</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防水防火绒布胶带</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绒布线束胶带；3厘米宽*15米长</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Style w:val="41"/>
                <w:rFonts w:ascii="宋体" w:hAnsi="宋体"/>
                <w:color w:val="000000"/>
                <w:sz w:val="20"/>
                <w:szCs w:val="20"/>
              </w:rPr>
            </w:pPr>
            <w:r>
              <w:rPr>
                <w:rFonts w:hint="eastAsia" w:ascii="宋体" w:hAnsi="宋体" w:eastAsia="宋体" w:cs="宋体"/>
                <w:i w:val="0"/>
                <w:color w:val="000000"/>
                <w:kern w:val="0"/>
                <w:sz w:val="24"/>
                <w:szCs w:val="24"/>
                <w:u w:val="none"/>
                <w:lang w:val="en-US" w:eastAsia="zh-CN" w:bidi="ar"/>
              </w:rPr>
              <w:t>卷</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default" w:ascii="宋体" w:hAnsi="宋体" w:eastAsia="宋体"/>
                <w:color w:val="000000"/>
                <w:kern w:val="0"/>
                <w:sz w:val="20"/>
                <w:szCs w:val="20"/>
                <w:lang w:val="en-US" w:eastAsia="zh-CN"/>
              </w:rPr>
            </w:pPr>
            <w:r>
              <w:rPr>
                <w:rStyle w:val="41"/>
                <w:rFonts w:hint="eastAsia" w:ascii="宋体" w:hAnsi="宋体"/>
                <w:color w:val="000000"/>
                <w:kern w:val="0"/>
                <w:sz w:val="20"/>
                <w:szCs w:val="20"/>
                <w:lang w:val="en-US" w:eastAsia="zh-CN"/>
              </w:rPr>
              <w:t>24</w:t>
            </w:r>
          </w:p>
        </w:tc>
        <w:tc>
          <w:tcPr>
            <w:tcW w:w="10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000000"/>
                <w:kern w:val="2"/>
                <w:sz w:val="20"/>
                <w:szCs w:val="20"/>
                <w:lang w:val="en-US" w:eastAsia="zh-CN" w:bidi="ar-SA"/>
              </w:rPr>
            </w:pPr>
            <w:r>
              <w:rPr>
                <w:rFonts w:hint="eastAsia" w:ascii="宋体" w:hAnsi="宋体" w:eastAsia="宋体" w:cs="宋体"/>
                <w:i w:val="0"/>
                <w:color w:val="000000"/>
                <w:kern w:val="0"/>
                <w:sz w:val="24"/>
                <w:szCs w:val="24"/>
                <w:u w:val="none"/>
                <w:lang w:val="en-US" w:eastAsia="zh-CN" w:bidi="ar"/>
              </w:rPr>
              <w:t>三电升级</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赛车</w:t>
            </w:r>
            <w:r>
              <w:rPr>
                <w:rFonts w:hint="eastAsia" w:ascii="宋体" w:hAnsi="宋体" w:cs="宋体"/>
                <w:i w:val="0"/>
                <w:color w:val="000000"/>
                <w:kern w:val="0"/>
                <w:sz w:val="24"/>
                <w:szCs w:val="24"/>
                <w:u w:val="none"/>
                <w:lang w:val="en-US" w:eastAsia="zh-CN" w:bidi="ar"/>
              </w:rPr>
              <w:t>及</w:t>
            </w:r>
            <w:r>
              <w:rPr>
                <w:rFonts w:hint="eastAsia" w:ascii="宋体" w:hAnsi="宋体" w:eastAsia="宋体" w:cs="宋体"/>
                <w:i w:val="0"/>
                <w:color w:val="000000"/>
                <w:kern w:val="0"/>
                <w:sz w:val="24"/>
                <w:szCs w:val="24"/>
                <w:u w:val="none"/>
                <w:lang w:val="en-US" w:eastAsia="zh-CN" w:bidi="ar"/>
              </w:rPr>
              <w:t>赛场工具</w:t>
            </w:r>
            <w:r>
              <w:rPr>
                <w:rFonts w:hint="eastAsia" w:ascii="宋体" w:hAnsi="宋体" w:cs="宋体"/>
                <w:i w:val="0"/>
                <w:color w:val="000000"/>
                <w:kern w:val="0"/>
                <w:sz w:val="24"/>
                <w:szCs w:val="24"/>
                <w:u w:val="none"/>
                <w:lang w:val="en-US" w:eastAsia="zh-CN" w:bidi="ar"/>
              </w:rPr>
              <w:t>物流运费</w:t>
            </w:r>
          </w:p>
        </w:tc>
        <w:tc>
          <w:tcPr>
            <w:tcW w:w="59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宋体" w:hAnsi="宋体" w:cs="宋体"/>
                <w:i w:val="0"/>
                <w:color w:val="000000"/>
                <w:kern w:val="0"/>
                <w:sz w:val="24"/>
                <w:szCs w:val="24"/>
                <w:u w:val="none"/>
                <w:lang w:eastAsia="zh-CN" w:bidi="ar"/>
              </w:rPr>
            </w:pPr>
            <w:r>
              <w:rPr>
                <w:rFonts w:hint="default" w:ascii="宋体" w:hAnsi="宋体" w:cs="宋体"/>
                <w:i w:val="0"/>
                <w:color w:val="000000"/>
                <w:kern w:val="0"/>
                <w:sz w:val="24"/>
                <w:szCs w:val="24"/>
                <w:u w:val="none"/>
                <w:lang w:eastAsia="zh-CN" w:bidi="ar"/>
              </w:rPr>
              <w:t>兰州-天津；天津-河南；河南-兰州。</w:t>
            </w:r>
          </w:p>
          <w:p>
            <w:pPr>
              <w:keepNext w:val="0"/>
              <w:keepLines w:val="0"/>
              <w:widowControl/>
              <w:suppressLineNumbers w:val="0"/>
              <w:jc w:val="center"/>
              <w:textAlignment w:val="center"/>
              <w:rPr>
                <w:rFonts w:hint="eastAsia" w:ascii="宋体" w:hAnsi="宋体" w:eastAsia="宋体" w:cs="Times New Roman"/>
                <w:color w:val="000000"/>
                <w:kern w:val="2"/>
                <w:sz w:val="20"/>
                <w:szCs w:val="20"/>
                <w:lang w:val="en-US" w:eastAsia="zh-CN" w:bidi="ar-SA"/>
              </w:rPr>
            </w:pPr>
            <w:r>
              <w:rPr>
                <w:rFonts w:hint="eastAsia" w:ascii="宋体" w:hAnsi="宋体" w:eastAsia="宋体" w:cs="宋体"/>
                <w:i w:val="0"/>
                <w:color w:val="000000"/>
                <w:kern w:val="0"/>
                <w:sz w:val="24"/>
                <w:szCs w:val="24"/>
                <w:u w:val="none"/>
                <w:lang w:val="en-US" w:eastAsia="zh-CN" w:bidi="ar"/>
              </w:rPr>
              <w:t>物流（称重计算）</w:t>
            </w:r>
          </w:p>
        </w:tc>
        <w:tc>
          <w:tcPr>
            <w:tcW w:w="64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000000"/>
                <w:kern w:val="2"/>
                <w:sz w:val="20"/>
                <w:szCs w:val="20"/>
                <w:lang w:val="en-US" w:eastAsia="zh-CN" w:bidi="ar-SA"/>
              </w:rPr>
            </w:pPr>
            <w:r>
              <w:rPr>
                <w:rFonts w:hint="eastAsia" w:ascii="宋体" w:hAnsi="宋体" w:eastAsia="宋体" w:cs="宋体"/>
                <w:i w:val="0"/>
                <w:color w:val="000000"/>
                <w:kern w:val="0"/>
                <w:sz w:val="24"/>
                <w:szCs w:val="24"/>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Times New Roman"/>
                <w:color w:val="000000"/>
                <w:kern w:val="2"/>
                <w:sz w:val="20"/>
                <w:szCs w:val="20"/>
                <w:lang w:val="en-US" w:eastAsia="zh-CN" w:bidi="ar-SA"/>
              </w:rPr>
            </w:pPr>
            <w:r>
              <w:rPr>
                <w:rFonts w:hint="eastAsia" w:ascii="宋体" w:hAnsi="宋体" w:eastAsia="宋体" w:cs="宋体"/>
                <w:i w:val="0"/>
                <w:color w:val="000000"/>
                <w:kern w:val="0"/>
                <w:sz w:val="24"/>
                <w:szCs w:val="24"/>
                <w:u w:val="none"/>
                <w:lang w:val="en-US" w:eastAsia="zh-CN" w:bidi="ar"/>
              </w:rPr>
              <w:t>套</w:t>
            </w: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color w:val="auto"/>
          <w:sz w:val="24"/>
        </w:rPr>
      </w:pPr>
      <w:r>
        <w:rPr>
          <w:rFonts w:hint="eastAsia" w:ascii="宋体" w:hAnsi="宋体"/>
          <w:b/>
          <w:color w:val="auto"/>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b w:val="0"/>
          <w:bCs w:val="0"/>
          <w:color w:val="auto"/>
          <w:sz w:val="24"/>
        </w:rPr>
      </w:pPr>
      <w:r>
        <w:rPr>
          <w:rFonts w:hint="eastAsia" w:ascii="宋体" w:hAnsi="宋体"/>
          <w:b w:val="0"/>
          <w:bCs w:val="0"/>
          <w:color w:val="auto"/>
          <w:sz w:val="24"/>
        </w:rPr>
        <w:t>本项目所涉及产品，服装类在质量保质期内若出现缩水、退色、破损（人为因素除外）等质量问题，器材类产品在质量保质期内发生破损（人为因素除外），供应商须在3日内无条件进行产品更换。产品质量保质期为</w:t>
      </w:r>
      <w:r>
        <w:rPr>
          <w:rFonts w:hint="eastAsia" w:ascii="宋体" w:hAnsi="宋体"/>
          <w:b w:val="0"/>
          <w:bCs w:val="0"/>
          <w:color w:val="auto"/>
          <w:sz w:val="24"/>
          <w:lang w:eastAsia="zh-CN"/>
        </w:rPr>
        <w:t>在</w:t>
      </w:r>
      <w:r>
        <w:rPr>
          <w:rFonts w:hint="eastAsia" w:ascii="宋体" w:hAnsi="宋体"/>
          <w:b w:val="0"/>
          <w:bCs w:val="0"/>
          <w:color w:val="auto"/>
          <w:sz w:val="24"/>
        </w:rPr>
        <w:t>产品验收合格</w:t>
      </w:r>
      <w:r>
        <w:rPr>
          <w:rFonts w:hint="eastAsia" w:ascii="宋体" w:hAnsi="宋体"/>
          <w:b w:val="0"/>
          <w:bCs w:val="0"/>
          <w:color w:val="auto"/>
          <w:sz w:val="24"/>
          <w:lang w:eastAsia="zh-CN"/>
        </w:rPr>
        <w:t>且</w:t>
      </w:r>
      <w:r>
        <w:rPr>
          <w:rFonts w:hint="eastAsia" w:ascii="宋体" w:hAnsi="宋体"/>
          <w:b w:val="0"/>
          <w:bCs w:val="0"/>
          <w:color w:val="auto"/>
          <w:sz w:val="24"/>
        </w:rPr>
        <w:t>双方签字并交付使用之日起半年。</w:t>
      </w:r>
    </w:p>
    <w:p>
      <w:pPr>
        <w:autoSpaceDE w:val="0"/>
        <w:autoSpaceDN w:val="0"/>
        <w:adjustRightInd w:val="0"/>
        <w:snapToGrid w:val="0"/>
        <w:spacing w:line="400" w:lineRule="exact"/>
        <w:ind w:right="-178" w:rightChars="-85"/>
        <w:textAlignment w:val="bottom"/>
        <w:rPr>
          <w:rFonts w:ascii="宋体" w:hAnsi="宋体"/>
          <w:b w:val="0"/>
          <w:bCs w:val="0"/>
          <w:color w:val="auto"/>
          <w:sz w:val="24"/>
        </w:rPr>
      </w:pPr>
    </w:p>
    <w:p>
      <w:pPr>
        <w:numPr>
          <w:ilvl w:val="0"/>
          <w:numId w:val="3"/>
        </w:numPr>
        <w:spacing w:line="360" w:lineRule="auto"/>
        <w:ind w:left="-181" w:leftChars="-86" w:firstLine="480" w:firstLineChars="200"/>
        <w:contextualSpacing/>
        <w:rPr>
          <w:rFonts w:ascii="宋体" w:hAnsi="宋体"/>
          <w:b w:val="0"/>
          <w:bCs w:val="0"/>
          <w:color w:val="auto"/>
          <w:sz w:val="24"/>
        </w:rPr>
      </w:pPr>
      <w:bookmarkStart w:id="2" w:name="_Toc416681035"/>
      <w:bookmarkEnd w:id="2"/>
      <w:r>
        <w:rPr>
          <w:rFonts w:hint="eastAsia" w:ascii="宋体" w:hAnsi="宋体"/>
          <w:b w:val="0"/>
          <w:bCs w:val="0"/>
          <w:color w:val="auto"/>
          <w:sz w:val="24"/>
        </w:rPr>
        <w:t>其他要求：</w:t>
      </w:r>
    </w:p>
    <w:p>
      <w:pPr>
        <w:spacing w:line="400" w:lineRule="exact"/>
        <w:ind w:firstLine="480" w:firstLineChars="200"/>
        <w:rPr>
          <w:b w:val="0"/>
          <w:bCs w:val="0"/>
          <w:color w:val="auto"/>
          <w:sz w:val="24"/>
        </w:rPr>
      </w:pPr>
      <w:r>
        <w:rPr>
          <w:rFonts w:hint="eastAsia"/>
          <w:b w:val="0"/>
          <w:bCs w:val="0"/>
          <w:color w:val="auto"/>
          <w:sz w:val="24"/>
        </w:rPr>
        <w:t>1、供应商必须根据学生身高、体重提供适宜型号进行供货，同时提供充足的货源满足个别型号特别的学生需求。</w:t>
      </w:r>
    </w:p>
    <w:p>
      <w:pPr>
        <w:spacing w:line="400" w:lineRule="exact"/>
        <w:ind w:firstLine="480" w:firstLineChars="200"/>
        <w:rPr>
          <w:b w:val="0"/>
          <w:bCs w:val="0"/>
          <w:color w:val="auto"/>
          <w:sz w:val="24"/>
        </w:rPr>
      </w:pPr>
      <w:r>
        <w:rPr>
          <w:rFonts w:hint="eastAsia"/>
          <w:b w:val="0"/>
          <w:bCs w:val="0"/>
          <w:color w:val="auto"/>
          <w:sz w:val="24"/>
        </w:rPr>
        <w:t>2、供应商须根据学院新生报到情况在规定时间内完成供货，同时根据学院安排进行现场发货，</w:t>
      </w:r>
      <w:r>
        <w:rPr>
          <w:rFonts w:hint="eastAsia"/>
          <w:b w:val="0"/>
          <w:bCs w:val="0"/>
          <w:color w:val="auto"/>
          <w:sz w:val="24"/>
          <w:lang w:val="en-US" w:eastAsia="zh-CN"/>
        </w:rPr>
        <w:t>3</w:t>
      </w:r>
      <w:r>
        <w:rPr>
          <w:rFonts w:hint="eastAsia"/>
          <w:b w:val="0"/>
          <w:bCs w:val="0"/>
          <w:color w:val="auto"/>
          <w:sz w:val="24"/>
        </w:rPr>
        <w:t>天内完成型号不符学生的服装更换和调配。所提供的样品必须与项目标书采购人样品一致，中标单位样品将进行留存并在实际交货时需对照，如出现样品跟实际供货不一样将取消中标资格。</w:t>
      </w:r>
    </w:p>
    <w:p>
      <w:pPr>
        <w:spacing w:line="400" w:lineRule="exact"/>
        <w:ind w:firstLine="480" w:firstLineChars="200"/>
        <w:rPr>
          <w:rFonts w:ascii="宋体" w:hAnsi="宋体"/>
          <w:b w:val="0"/>
          <w:bCs w:val="0"/>
          <w:color w:val="auto"/>
          <w:sz w:val="24"/>
        </w:rPr>
      </w:pPr>
      <w:r>
        <w:rPr>
          <w:rFonts w:hint="eastAsia"/>
          <w:b w:val="0"/>
          <w:bCs w:val="0"/>
          <w:color w:val="auto"/>
          <w:sz w:val="24"/>
        </w:rPr>
        <w:t>3、</w:t>
      </w:r>
      <w:r>
        <w:rPr>
          <w:b w:val="0"/>
          <w:bCs w:val="0"/>
          <w:color w:val="auto"/>
          <w:sz w:val="24"/>
        </w:rPr>
        <w:t>技术资料</w:t>
      </w:r>
      <w:r>
        <w:rPr>
          <w:rFonts w:hint="eastAsia"/>
          <w:b w:val="0"/>
          <w:bCs w:val="0"/>
          <w:color w:val="auto"/>
          <w:sz w:val="24"/>
        </w:rPr>
        <w:t>：供应商</w:t>
      </w:r>
      <w:r>
        <w:rPr>
          <w:b w:val="0"/>
          <w:bCs w:val="0"/>
          <w:color w:val="auto"/>
          <w:sz w:val="24"/>
        </w:rPr>
        <w:t>必须保证</w:t>
      </w:r>
      <w:r>
        <w:rPr>
          <w:rFonts w:hint="eastAsia"/>
          <w:b w:val="0"/>
          <w:bCs w:val="0"/>
          <w:color w:val="auto"/>
          <w:sz w:val="24"/>
        </w:rPr>
        <w:t>响应</w:t>
      </w:r>
      <w:r>
        <w:rPr>
          <w:b w:val="0"/>
          <w:bCs w:val="0"/>
          <w:color w:val="auto"/>
          <w:sz w:val="24"/>
        </w:rPr>
        <w:t>文件所提供的全部技术资料（包括：投标货物原厂原版彩印技术样本、使用保养说明书、图纸、各种试验报告和鉴定证书、货物获奖证书等）真实可靠，不得</w:t>
      </w:r>
      <w:r>
        <w:rPr>
          <w:rFonts w:hint="eastAsia"/>
          <w:b w:val="0"/>
          <w:bCs w:val="0"/>
          <w:color w:val="auto"/>
          <w:sz w:val="24"/>
        </w:rPr>
        <w:t>用虚假材料进行响应</w:t>
      </w:r>
      <w:r>
        <w:rPr>
          <w:b w:val="0"/>
          <w:bCs w:val="0"/>
          <w:color w:val="auto"/>
          <w:sz w:val="24"/>
        </w:rPr>
        <w:t>，并接受</w:t>
      </w:r>
      <w:r>
        <w:rPr>
          <w:rFonts w:hint="eastAsia"/>
          <w:b w:val="0"/>
          <w:bCs w:val="0"/>
          <w:color w:val="auto"/>
          <w:sz w:val="24"/>
        </w:rPr>
        <w:t>评标委员会</w:t>
      </w:r>
      <w:r>
        <w:rPr>
          <w:b w:val="0"/>
          <w:bCs w:val="0"/>
          <w:color w:val="auto"/>
          <w:sz w:val="24"/>
        </w:rPr>
        <w:t>对其中任何资料进一步审查和采购人认可的第3方测试</w:t>
      </w:r>
      <w:r>
        <w:rPr>
          <w:rFonts w:hint="eastAsia"/>
          <w:b w:val="0"/>
          <w:bCs w:val="0"/>
          <w:color w:val="auto"/>
          <w:sz w:val="24"/>
        </w:rPr>
        <w:t>机构</w:t>
      </w:r>
      <w:r>
        <w:rPr>
          <w:b w:val="0"/>
          <w:bCs w:val="0"/>
          <w:color w:val="auto"/>
          <w:sz w:val="24"/>
        </w:rPr>
        <w:t>对货物进行测试的要求。</w:t>
      </w:r>
      <w:r>
        <w:rPr>
          <w:rFonts w:hint="eastAsia"/>
          <w:b w:val="0"/>
          <w:bCs w:val="0"/>
          <w:color w:val="auto"/>
          <w:sz w:val="24"/>
        </w:rPr>
        <w:t>如有虚假应标，将视为无效投标，并追究相关法律责任。</w:t>
      </w:r>
    </w:p>
    <w:p>
      <w:pPr>
        <w:spacing w:line="360" w:lineRule="auto"/>
        <w:rPr>
          <w:rFonts w:ascii="宋体" w:hAnsi="宋体"/>
          <w:b w:val="0"/>
          <w:bCs w:val="0"/>
          <w:color w:val="auto"/>
          <w:sz w:val="24"/>
        </w:rPr>
      </w:pPr>
      <w:r>
        <w:rPr>
          <w:rFonts w:hint="eastAsia" w:ascii="宋体" w:hAnsi="宋体"/>
          <w:b w:val="0"/>
          <w:bCs w:val="0"/>
          <w:color w:val="auto"/>
          <w:sz w:val="24"/>
        </w:rPr>
        <w:t>二、完成时间及付款方式</w:t>
      </w:r>
    </w:p>
    <w:p>
      <w:pPr>
        <w:spacing w:line="360" w:lineRule="auto"/>
        <w:ind w:firstLine="480" w:firstLineChars="200"/>
        <w:rPr>
          <w:rFonts w:ascii="宋体" w:hAnsi="宋体"/>
          <w:b w:val="0"/>
          <w:bCs w:val="0"/>
          <w:color w:val="auto"/>
          <w:sz w:val="24"/>
        </w:rPr>
      </w:pPr>
      <w:r>
        <w:rPr>
          <w:rFonts w:hint="eastAsia" w:ascii="宋体" w:hAnsi="宋体"/>
          <w:b w:val="0"/>
          <w:bCs w:val="0"/>
          <w:color w:val="auto"/>
          <w:sz w:val="24"/>
        </w:rPr>
        <w:t>1．合同签订后，供应商应在接到采购人通知10</w:t>
      </w:r>
      <w:r>
        <w:rPr>
          <w:rFonts w:hint="eastAsia" w:ascii="宋体" w:hAnsi="宋体"/>
          <w:b w:val="0"/>
          <w:bCs w:val="0"/>
          <w:color w:val="auto"/>
          <w:sz w:val="24"/>
          <w:u w:val="single"/>
        </w:rPr>
        <w:t>天内</w:t>
      </w:r>
      <w:r>
        <w:rPr>
          <w:rFonts w:hint="eastAsia" w:ascii="宋体" w:hAnsi="宋体"/>
          <w:b w:val="0"/>
          <w:bCs w:val="0"/>
          <w:color w:val="auto"/>
          <w:sz w:val="24"/>
        </w:rPr>
        <w:t>完成项目的所需货物的供货、发放、调配，如不能按期按投标要求供货，供应商按中标报价的3倍进行赔偿。</w:t>
      </w:r>
    </w:p>
    <w:p>
      <w:pPr>
        <w:spacing w:line="360" w:lineRule="auto"/>
        <w:ind w:firstLine="480" w:firstLineChars="200"/>
        <w:rPr>
          <w:rFonts w:ascii="宋体" w:hAnsi="宋体"/>
          <w:color w:val="auto"/>
          <w:sz w:val="24"/>
        </w:rPr>
      </w:pPr>
      <w:r>
        <w:rPr>
          <w:rFonts w:hint="eastAsia" w:ascii="宋体" w:hAnsi="宋体"/>
          <w:b w:val="0"/>
          <w:bCs w:val="0"/>
          <w:color w:val="auto"/>
          <w:sz w:val="24"/>
        </w:rPr>
        <w:t>2．供应商按采购人要求完成货物的供应、发放、调配，并经采购人验收合格后付合同金额。成交金额即为合同金额，除非采购货物的数量发生变更，否则不</w:t>
      </w:r>
      <w:r>
        <w:rPr>
          <w:rFonts w:hint="eastAsia" w:ascii="宋体" w:hAnsi="宋体"/>
          <w:color w:val="auto"/>
          <w:sz w:val="24"/>
        </w:rPr>
        <w:t>允许变更合同金额。</w:t>
      </w:r>
    </w:p>
    <w:p>
      <w:pPr>
        <w:spacing w:line="360" w:lineRule="auto"/>
        <w:rPr>
          <w:rFonts w:ascii="宋体" w:hAnsi="宋体"/>
          <w:b/>
          <w:bCs/>
          <w:color w:val="auto"/>
          <w:sz w:val="24"/>
        </w:rPr>
      </w:pPr>
      <w:r>
        <w:rPr>
          <w:rFonts w:hint="eastAsia" w:ascii="宋体" w:hAnsi="宋体"/>
          <w:b/>
          <w:bCs/>
          <w:color w:val="auto"/>
          <w:sz w:val="24"/>
          <w:lang w:eastAsia="zh-CN"/>
        </w:rPr>
        <w:t>三</w:t>
      </w:r>
      <w:r>
        <w:rPr>
          <w:rFonts w:hint="eastAsia" w:ascii="宋体" w:hAnsi="宋体"/>
          <w:b/>
          <w:bCs/>
          <w:color w:val="auto"/>
          <w:sz w:val="24"/>
        </w:rPr>
        <w:t>、对</w:t>
      </w:r>
      <w:bookmarkStart w:id="3" w:name="_Toc307216486"/>
      <w:r>
        <w:rPr>
          <w:rFonts w:hint="eastAsia" w:ascii="宋体" w:hAnsi="宋体"/>
          <w:b/>
          <w:bCs/>
          <w:color w:val="auto"/>
          <w:sz w:val="24"/>
        </w:rPr>
        <w:t>询价文件的质疑</w:t>
      </w:r>
    </w:p>
    <w:p>
      <w:pPr>
        <w:spacing w:line="360" w:lineRule="auto"/>
        <w:ind w:firstLine="480" w:firstLineChars="200"/>
        <w:rPr>
          <w:rFonts w:ascii="宋体" w:hAnsi="宋体"/>
          <w:color w:val="auto"/>
          <w:sz w:val="24"/>
        </w:rPr>
      </w:pPr>
      <w:r>
        <w:rPr>
          <w:rFonts w:hint="eastAsia" w:ascii="宋体" w:hAnsi="宋体"/>
          <w:color w:val="auto"/>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eastAsia="zh-CN"/>
        </w:rPr>
      </w:pPr>
      <w:r>
        <w:rPr>
          <w:rFonts w:hint="eastAsia" w:ascii="宋体" w:hAnsi="宋体"/>
          <w:sz w:val="24"/>
          <w:lang w:val="en-US" w:eastAsia="zh-CN"/>
        </w:rPr>
        <w:t>8.响应文件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5151D2B"/>
    <w:rsid w:val="08953723"/>
    <w:rsid w:val="098C501E"/>
    <w:rsid w:val="0A412F0D"/>
    <w:rsid w:val="0B1B470A"/>
    <w:rsid w:val="0C8D0B1C"/>
    <w:rsid w:val="0DB2633E"/>
    <w:rsid w:val="0E170F1D"/>
    <w:rsid w:val="1096558D"/>
    <w:rsid w:val="167C7678"/>
    <w:rsid w:val="16CE0DE2"/>
    <w:rsid w:val="180C163C"/>
    <w:rsid w:val="22E13702"/>
    <w:rsid w:val="29175E93"/>
    <w:rsid w:val="29C651C2"/>
    <w:rsid w:val="2BD831ED"/>
    <w:rsid w:val="30ED3773"/>
    <w:rsid w:val="30F454E0"/>
    <w:rsid w:val="32082D80"/>
    <w:rsid w:val="37CA7C84"/>
    <w:rsid w:val="3A7D7082"/>
    <w:rsid w:val="3AB22602"/>
    <w:rsid w:val="3B0418F4"/>
    <w:rsid w:val="3C800FC9"/>
    <w:rsid w:val="3E842D9E"/>
    <w:rsid w:val="41E83D03"/>
    <w:rsid w:val="42497455"/>
    <w:rsid w:val="469902C4"/>
    <w:rsid w:val="4BF27BEA"/>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1178</Words>
  <Characters>6719</Characters>
  <Lines>55</Lines>
  <Paragraphs>15</Paragraphs>
  <TotalTime>3</TotalTime>
  <ScaleCrop>false</ScaleCrop>
  <LinksUpToDate>false</LinksUpToDate>
  <CharactersWithSpaces>7882</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2020-10-13T08:26:14Z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