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b/>
          <w:sz w:val="24"/>
          <w:lang w:val="en-US" w:eastAsia="zh-CN"/>
        </w:rPr>
      </w:pPr>
      <w:r>
        <w:rPr>
          <w:rFonts w:hint="eastAsia"/>
          <w:sz w:val="28"/>
          <w:szCs w:val="28"/>
        </w:rPr>
        <w:t>项目名称：</w:t>
      </w:r>
      <w:r>
        <w:rPr>
          <w:rFonts w:hint="eastAsia"/>
          <w:b/>
          <w:sz w:val="24"/>
        </w:rPr>
        <w:t>兰州职业技术学院</w:t>
      </w:r>
      <w:r>
        <w:rPr>
          <w:rFonts w:hint="eastAsia"/>
          <w:b/>
          <w:sz w:val="24"/>
        </w:rPr>
        <w:fldChar w:fldCharType="begin"/>
      </w:r>
      <w:r>
        <w:rPr>
          <w:rFonts w:hint="eastAsia"/>
          <w:b/>
          <w:sz w:val="24"/>
        </w:rPr>
        <w:instrText xml:space="preserve"> HYPERLINK "http://qc.lvu.edu.cn/" \t "https://www.lvu.edu.cn/1376/_blank" </w:instrText>
      </w:r>
      <w:r>
        <w:rPr>
          <w:rFonts w:hint="eastAsia"/>
          <w:b/>
          <w:sz w:val="24"/>
        </w:rPr>
        <w:fldChar w:fldCharType="separate"/>
      </w:r>
      <w:r>
        <w:rPr>
          <w:rFonts w:hint="eastAsia"/>
          <w:b/>
          <w:sz w:val="24"/>
        </w:rPr>
        <w:t>汽车工程与交通运输系</w:t>
      </w:r>
      <w:r>
        <w:rPr>
          <w:rFonts w:hint="eastAsia"/>
          <w:b/>
          <w:sz w:val="24"/>
        </w:rPr>
        <w:fldChar w:fldCharType="end"/>
      </w:r>
      <w:r>
        <w:rPr>
          <w:rFonts w:hint="eastAsia"/>
          <w:b/>
          <w:sz w:val="24"/>
          <w:lang w:val="en-US" w:eastAsia="zh-CN"/>
        </w:rPr>
        <w:t>2021年教学耗材项目</w:t>
      </w:r>
    </w:p>
    <w:p>
      <w:pPr>
        <w:ind w:firstLine="560" w:firstLineChars="200"/>
        <w:jc w:val="left"/>
        <w:rPr>
          <w:rFonts w:hint="default" w:eastAsia="宋体"/>
          <w:sz w:val="28"/>
          <w:szCs w:val="28"/>
          <w:lang w:val="en-US" w:eastAsia="zh-CN"/>
        </w:rPr>
      </w:pPr>
      <w:r>
        <w:rPr>
          <w:rFonts w:hint="eastAsia"/>
          <w:sz w:val="28"/>
          <w:szCs w:val="28"/>
        </w:rPr>
        <w:t>项目编号：LZXJ--202</w:t>
      </w:r>
      <w:r>
        <w:rPr>
          <w:rFonts w:hint="eastAsia"/>
          <w:sz w:val="28"/>
          <w:szCs w:val="28"/>
          <w:lang w:val="en-US" w:eastAsia="zh-CN"/>
        </w:rPr>
        <w:t>1</w:t>
      </w:r>
      <w:r>
        <w:rPr>
          <w:rFonts w:hint="eastAsia"/>
          <w:sz w:val="28"/>
          <w:szCs w:val="28"/>
        </w:rPr>
        <w:t>0</w:t>
      </w:r>
      <w:r>
        <w:rPr>
          <w:rFonts w:hint="eastAsia"/>
          <w:sz w:val="28"/>
          <w:szCs w:val="28"/>
          <w:lang w:val="en-US" w:eastAsia="zh-CN"/>
        </w:rPr>
        <w:t>05</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1</w:t>
      </w:r>
      <w:r>
        <w:rPr>
          <w:rFonts w:hint="eastAsia"/>
          <w:sz w:val="28"/>
          <w:szCs w:val="28"/>
        </w:rPr>
        <w:t>年</w:t>
      </w:r>
      <w:r>
        <w:rPr>
          <w:rFonts w:hint="eastAsia"/>
          <w:sz w:val="28"/>
          <w:szCs w:val="28"/>
          <w:lang w:val="en-US" w:eastAsia="zh-CN"/>
        </w:rPr>
        <w:t>2</w:t>
      </w:r>
      <w:r>
        <w:rPr>
          <w:rFonts w:hint="eastAsia"/>
          <w:sz w:val="28"/>
          <w:szCs w:val="28"/>
        </w:rPr>
        <w:t>月</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2</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lang w:eastAsia="zh-CN"/>
        </w:rPr>
      </w:pPr>
      <w:r>
        <w:rPr>
          <w:rFonts w:hint="eastAsia" w:ascii="宋体" w:hAnsi="宋体" w:cs="宋体"/>
          <w:sz w:val="24"/>
        </w:rPr>
        <w:t>根据兰州职业技术学院</w:t>
      </w:r>
      <w:r>
        <w:rPr>
          <w:rFonts w:hint="eastAsia" w:ascii="宋体" w:hAnsi="宋体" w:cs="宋体"/>
          <w:sz w:val="24"/>
        </w:rPr>
        <w:fldChar w:fldCharType="begin"/>
      </w:r>
      <w:r>
        <w:rPr>
          <w:rFonts w:hint="eastAsia" w:ascii="宋体" w:hAnsi="宋体" w:cs="宋体"/>
          <w:sz w:val="24"/>
        </w:rPr>
        <w:instrText xml:space="preserve"> HYPERLINK "http://qc.lvu.edu.cn/" \t "https://www.lvu.edu.cn/1376/_blank" </w:instrText>
      </w:r>
      <w:r>
        <w:rPr>
          <w:rFonts w:hint="eastAsia" w:ascii="宋体" w:hAnsi="宋体" w:cs="宋体"/>
          <w:sz w:val="24"/>
        </w:rPr>
        <w:fldChar w:fldCharType="separate"/>
      </w:r>
      <w:r>
        <w:rPr>
          <w:rFonts w:hint="eastAsia" w:ascii="宋体" w:hAnsi="宋体" w:cs="宋体"/>
          <w:sz w:val="24"/>
        </w:rPr>
        <w:t>汽车工程与交通运输系</w:t>
      </w:r>
      <w:r>
        <w:rPr>
          <w:rFonts w:hint="eastAsia" w:ascii="宋体" w:hAnsi="宋体" w:cs="宋体"/>
          <w:sz w:val="24"/>
        </w:rPr>
        <w:fldChar w:fldCharType="end"/>
      </w:r>
      <w:r>
        <w:rPr>
          <w:rFonts w:hint="eastAsia" w:ascii="宋体" w:hAnsi="宋体" w:cs="宋体"/>
          <w:sz w:val="24"/>
          <w:lang w:eastAsia="zh-CN"/>
        </w:rPr>
        <w:t>教学需求</w:t>
      </w:r>
      <w:r>
        <w:rPr>
          <w:rFonts w:hint="eastAsia" w:ascii="宋体" w:hAnsi="宋体"/>
          <w:sz w:val="24"/>
        </w:rPr>
        <w:t>，现拟对</w:t>
      </w:r>
      <w:r>
        <w:rPr>
          <w:rFonts w:hint="eastAsia" w:ascii="宋体" w:hAnsi="宋体"/>
          <w:sz w:val="24"/>
          <w:lang w:eastAsia="zh-CN"/>
        </w:rPr>
        <w:t>兰州职业技术学院机</w:t>
      </w:r>
      <w:r>
        <w:rPr>
          <w:rFonts w:hint="eastAsia" w:ascii="宋体" w:hAnsi="宋体" w:cs="宋体"/>
          <w:sz w:val="24"/>
        </w:rPr>
        <w:fldChar w:fldCharType="begin"/>
      </w:r>
      <w:r>
        <w:rPr>
          <w:rFonts w:hint="eastAsia" w:ascii="宋体" w:hAnsi="宋体" w:cs="宋体"/>
          <w:sz w:val="24"/>
        </w:rPr>
        <w:instrText xml:space="preserve"> HYPERLINK "http://qc.lvu.edu.cn/" \t "https://www.lvu.edu.cn/1376/_blank" </w:instrText>
      </w:r>
      <w:r>
        <w:rPr>
          <w:rFonts w:hint="eastAsia" w:ascii="宋体" w:hAnsi="宋体" w:cs="宋体"/>
          <w:sz w:val="24"/>
        </w:rPr>
        <w:fldChar w:fldCharType="separate"/>
      </w:r>
      <w:r>
        <w:rPr>
          <w:rFonts w:hint="eastAsia" w:ascii="宋体" w:hAnsi="宋体" w:cs="宋体"/>
          <w:sz w:val="24"/>
        </w:rPr>
        <w:t>汽车工程与交通运输系</w:t>
      </w:r>
      <w:r>
        <w:rPr>
          <w:rFonts w:hint="eastAsia" w:ascii="宋体" w:hAnsi="宋体" w:cs="宋体"/>
          <w:sz w:val="24"/>
        </w:rPr>
        <w:fldChar w:fldCharType="end"/>
      </w:r>
      <w:r>
        <w:rPr>
          <w:rFonts w:hint="eastAsia" w:ascii="宋体" w:hAnsi="宋体"/>
          <w:sz w:val="24"/>
          <w:lang w:val="en-US" w:eastAsia="zh-CN"/>
        </w:rPr>
        <w:t>2021年教学耗材项目</w:t>
      </w:r>
      <w:r>
        <w:rPr>
          <w:rFonts w:hint="eastAsia" w:ascii="宋体" w:hAnsi="宋体"/>
          <w:sz w:val="24"/>
          <w:lang w:eastAsia="zh-CN"/>
        </w:rPr>
        <w:t>进行询价采购。欢迎满足资格要求的供应商前来参加，具体事宜公告如下：</w:t>
      </w:r>
    </w:p>
    <w:p>
      <w:pPr>
        <w:spacing w:line="360" w:lineRule="auto"/>
        <w:rPr>
          <w:rFonts w:hint="default" w:ascii="宋体" w:hAnsi="宋体" w:eastAsia="宋体"/>
          <w:sz w:val="24"/>
          <w:lang w:val="en-US" w:eastAsia="zh-CN"/>
        </w:rPr>
      </w:pPr>
      <w:r>
        <w:rPr>
          <w:rFonts w:hint="eastAsia" w:ascii="宋体" w:hAnsi="宋体"/>
          <w:sz w:val="24"/>
        </w:rPr>
        <w:t>一、采购项目编号：LZXJ</w:t>
      </w:r>
      <w:r>
        <w:rPr>
          <w:rFonts w:ascii="宋体" w:hAnsi="宋体"/>
          <w:sz w:val="24"/>
        </w:rPr>
        <w:t>—</w:t>
      </w:r>
      <w:r>
        <w:rPr>
          <w:rFonts w:hint="eastAsia" w:ascii="宋体" w:hAnsi="宋体"/>
          <w:sz w:val="24"/>
        </w:rPr>
        <w:t>202</w:t>
      </w:r>
      <w:r>
        <w:rPr>
          <w:rFonts w:hint="eastAsia" w:ascii="宋体" w:hAnsi="宋体"/>
          <w:sz w:val="24"/>
          <w:lang w:val="en-US" w:eastAsia="zh-CN"/>
        </w:rPr>
        <w:t>1005</w:t>
      </w:r>
    </w:p>
    <w:p>
      <w:pPr>
        <w:spacing w:line="360" w:lineRule="auto"/>
        <w:rPr>
          <w:rFonts w:hint="eastAsia" w:ascii="宋体" w:hAnsi="宋体"/>
          <w:sz w:val="24"/>
          <w:lang w:val="en-US" w:eastAsia="zh-CN"/>
        </w:rPr>
      </w:pPr>
      <w:r>
        <w:rPr>
          <w:rFonts w:hint="eastAsia" w:ascii="宋体" w:hAnsi="宋体"/>
          <w:sz w:val="24"/>
        </w:rPr>
        <w:t>二、采购项目名称：</w:t>
      </w:r>
      <w:r>
        <w:rPr>
          <w:rFonts w:hint="eastAsia" w:ascii="宋体" w:hAnsi="宋体"/>
          <w:sz w:val="24"/>
          <w:lang w:eastAsia="zh-CN"/>
        </w:rPr>
        <w:t>兰州职业技术学院</w:t>
      </w:r>
      <w:r>
        <w:rPr>
          <w:rFonts w:hint="eastAsia" w:ascii="宋体" w:hAnsi="宋体" w:cs="宋体"/>
          <w:sz w:val="24"/>
        </w:rPr>
        <w:fldChar w:fldCharType="begin"/>
      </w:r>
      <w:r>
        <w:rPr>
          <w:rFonts w:hint="eastAsia" w:ascii="宋体" w:hAnsi="宋体" w:cs="宋体"/>
          <w:sz w:val="24"/>
        </w:rPr>
        <w:instrText xml:space="preserve"> HYPERLINK "http://qc.lvu.edu.cn/" \t "https://www.lvu.edu.cn/1376/_blank" </w:instrText>
      </w:r>
      <w:r>
        <w:rPr>
          <w:rFonts w:hint="eastAsia" w:ascii="宋体" w:hAnsi="宋体" w:cs="宋体"/>
          <w:sz w:val="24"/>
        </w:rPr>
        <w:fldChar w:fldCharType="separate"/>
      </w:r>
      <w:r>
        <w:rPr>
          <w:rFonts w:hint="eastAsia" w:ascii="宋体" w:hAnsi="宋体" w:cs="宋体"/>
          <w:sz w:val="24"/>
        </w:rPr>
        <w:t>汽车工程与交通运输系</w:t>
      </w:r>
      <w:r>
        <w:rPr>
          <w:rFonts w:hint="eastAsia" w:ascii="宋体" w:hAnsi="宋体" w:cs="宋体"/>
          <w:sz w:val="24"/>
        </w:rPr>
        <w:fldChar w:fldCharType="end"/>
      </w:r>
      <w:r>
        <w:rPr>
          <w:rFonts w:hint="eastAsia" w:ascii="宋体" w:hAnsi="宋体"/>
          <w:sz w:val="24"/>
          <w:lang w:val="en-US" w:eastAsia="zh-CN"/>
        </w:rPr>
        <w:t>2021年教学耗材项目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rFonts w:hint="eastAsia" w:ascii="宋体" w:hAnsi="宋体"/>
          <w:sz w:val="24"/>
          <w:lang w:val="en-US" w:eastAsia="zh-CN"/>
        </w:rPr>
      </w:pPr>
      <w:r>
        <w:rPr>
          <w:rFonts w:hint="eastAsia" w:ascii="宋体" w:hAnsi="宋体"/>
          <w:sz w:val="24"/>
        </w:rPr>
        <w:t xml:space="preserve">   1.</w:t>
      </w:r>
      <w:r>
        <w:rPr>
          <w:rFonts w:hint="eastAsia"/>
          <w:sz w:val="24"/>
        </w:rPr>
        <w:t xml:space="preserve"> </w:t>
      </w:r>
      <w:r>
        <w:rPr>
          <w:rFonts w:hint="eastAsia" w:ascii="宋体" w:hAnsi="宋体"/>
          <w:sz w:val="24"/>
          <w:lang w:eastAsia="zh-CN"/>
        </w:rPr>
        <w:t>兰州职业技术学院</w:t>
      </w:r>
      <w:r>
        <w:rPr>
          <w:rFonts w:hint="eastAsia" w:ascii="宋体" w:hAnsi="宋体" w:cs="宋体"/>
          <w:sz w:val="24"/>
        </w:rPr>
        <w:fldChar w:fldCharType="begin"/>
      </w:r>
      <w:r>
        <w:rPr>
          <w:rFonts w:hint="eastAsia" w:ascii="宋体" w:hAnsi="宋体" w:cs="宋体"/>
          <w:sz w:val="24"/>
        </w:rPr>
        <w:instrText xml:space="preserve"> HYPERLINK "http://qc.lvu.edu.cn/" \t "https://www.lvu.edu.cn/1376/_blank" </w:instrText>
      </w:r>
      <w:r>
        <w:rPr>
          <w:rFonts w:hint="eastAsia" w:ascii="宋体" w:hAnsi="宋体" w:cs="宋体"/>
          <w:sz w:val="24"/>
        </w:rPr>
        <w:fldChar w:fldCharType="separate"/>
      </w:r>
      <w:r>
        <w:rPr>
          <w:rFonts w:hint="eastAsia" w:ascii="宋体" w:hAnsi="宋体" w:cs="宋体"/>
          <w:sz w:val="24"/>
        </w:rPr>
        <w:t>汽车工程与交通运输系</w:t>
      </w:r>
      <w:r>
        <w:rPr>
          <w:rFonts w:hint="eastAsia" w:ascii="宋体" w:hAnsi="宋体" w:cs="宋体"/>
          <w:sz w:val="24"/>
        </w:rPr>
        <w:fldChar w:fldCharType="end"/>
      </w:r>
      <w:r>
        <w:rPr>
          <w:rFonts w:hint="eastAsia" w:ascii="宋体" w:hAnsi="宋体"/>
          <w:sz w:val="24"/>
          <w:lang w:val="en-US" w:eastAsia="zh-CN"/>
        </w:rPr>
        <w:t>2021年教学耗材</w:t>
      </w:r>
    </w:p>
    <w:p>
      <w:pPr>
        <w:spacing w:line="360" w:lineRule="auto"/>
        <w:rPr>
          <w:sz w:val="24"/>
        </w:rPr>
      </w:pPr>
      <w:r>
        <w:rPr>
          <w:rFonts w:hint="eastAsia" w:ascii="宋体" w:hAnsi="宋体"/>
          <w:sz w:val="24"/>
        </w:rPr>
        <w:t xml:space="preserve">   2.预算金额：</w:t>
      </w:r>
      <w:r>
        <w:rPr>
          <w:rFonts w:hint="eastAsia"/>
          <w:sz w:val="24"/>
          <w:lang w:val="en-US" w:eastAsia="zh-CN"/>
        </w:rPr>
        <w:t>168600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1</w:t>
      </w:r>
      <w:r>
        <w:rPr>
          <w:rFonts w:hint="eastAsia" w:ascii="宋体" w:hAnsi="宋体"/>
          <w:sz w:val="24"/>
        </w:rPr>
        <w:t>年</w:t>
      </w:r>
      <w:r>
        <w:rPr>
          <w:rFonts w:hint="eastAsia" w:ascii="宋体" w:hAnsi="宋体"/>
          <w:sz w:val="24"/>
          <w:lang w:val="en-US" w:eastAsia="zh-CN"/>
        </w:rPr>
        <w:t>2</w:t>
      </w:r>
      <w:r>
        <w:rPr>
          <w:rFonts w:hint="eastAsia" w:ascii="宋体" w:hAnsi="宋体"/>
          <w:sz w:val="24"/>
        </w:rPr>
        <w:t>月2</w:t>
      </w:r>
      <w:r>
        <w:rPr>
          <w:rFonts w:hint="eastAsia" w:ascii="宋体" w:hAnsi="宋体"/>
          <w:sz w:val="24"/>
          <w:lang w:val="en-US" w:eastAsia="zh-CN"/>
        </w:rPr>
        <w:t>2</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lang w:val="en-US" w:eastAsia="zh-CN"/>
        </w:rPr>
        <w:t>00</w:t>
      </w:r>
      <w:r>
        <w:rPr>
          <w:rFonts w:hint="eastAsia" w:ascii="宋体" w:hAnsi="宋体"/>
          <w:sz w:val="24"/>
        </w:rPr>
        <w:t>分，逾期不予受理</w:t>
      </w:r>
      <w:bookmarkStart w:id="14" w:name="_GoBack"/>
      <w:bookmarkEnd w:id="14"/>
      <w:r>
        <w:rPr>
          <w:rFonts w:hint="eastAsia" w:ascii="宋体" w:hAnsi="宋体"/>
          <w:sz w:val="24"/>
        </w:rPr>
        <w:t>。</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响应文件递交地点：兰州职业技术学院总校区综合楼801室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hint="eastAsia" w:ascii="宋体" w:hAnsi="宋体"/>
          <w:sz w:val="24"/>
          <w:lang w:eastAsia="zh-CN"/>
        </w:rPr>
        <w:t>2021</w:t>
      </w:r>
      <w:r>
        <w:rPr>
          <w:rFonts w:ascii="宋体" w:hAnsi="宋体"/>
          <w:sz w:val="24"/>
        </w:rPr>
        <w:t>年</w:t>
      </w:r>
      <w:r>
        <w:rPr>
          <w:rFonts w:hint="eastAsia" w:ascii="宋体" w:hAnsi="宋体"/>
          <w:sz w:val="24"/>
          <w:lang w:val="en-US" w:eastAsia="zh-CN"/>
        </w:rPr>
        <w:t>2</w:t>
      </w:r>
      <w:r>
        <w:rPr>
          <w:rFonts w:ascii="宋体" w:hAnsi="宋体"/>
          <w:sz w:val="24"/>
        </w:rPr>
        <w:t>月</w:t>
      </w:r>
      <w:r>
        <w:rPr>
          <w:rFonts w:hint="eastAsia" w:ascii="宋体" w:hAnsi="宋体"/>
          <w:sz w:val="24"/>
        </w:rPr>
        <w:t>1</w:t>
      </w:r>
      <w:r>
        <w:rPr>
          <w:rFonts w:hint="eastAsia" w:ascii="宋体" w:hAnsi="宋体"/>
          <w:sz w:val="24"/>
          <w:lang w:val="en-US" w:eastAsia="zh-CN"/>
        </w:rPr>
        <w:t>8</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kern w:val="0"/>
          <w:sz w:val="22"/>
        </w:rPr>
      </w:pPr>
      <w:r>
        <w:rPr>
          <w:rFonts w:hint="eastAsia" w:ascii="宋体" w:hAnsi="宋体"/>
          <w:b/>
          <w:sz w:val="24"/>
        </w:rPr>
        <w:t>1.货物清单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496"/>
        <w:gridCol w:w="4786"/>
        <w:gridCol w:w="1005"/>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1496" w:type="dxa"/>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设备</w:t>
            </w:r>
          </w:p>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名称</w:t>
            </w:r>
          </w:p>
        </w:tc>
        <w:tc>
          <w:tcPr>
            <w:tcW w:w="4786" w:type="dxa"/>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技术参数及要求</w:t>
            </w:r>
          </w:p>
        </w:tc>
        <w:tc>
          <w:tcPr>
            <w:tcW w:w="1005" w:type="dxa"/>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数量</w:t>
            </w:r>
          </w:p>
        </w:tc>
        <w:tc>
          <w:tcPr>
            <w:tcW w:w="1335" w:type="dxa"/>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1</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食品级二氧化碳</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CO2气体,纯度＞99%</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40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0"/>
                <w:sz w:val="21"/>
                <w:szCs w:val="21"/>
                <w:lang w:val="en-US" w:eastAsia="zh-CN" w:bidi="ar-SA"/>
              </w:rPr>
            </w:pPr>
            <w:r>
              <w:rPr>
                <w:rFonts w:hint="eastAsia" w:ascii="宋体" w:hAnsi="宋体" w:eastAsia="宋体" w:cs="宋体"/>
                <w:i w:val="0"/>
                <w:color w:val="000000"/>
                <w:kern w:val="0"/>
                <w:sz w:val="22"/>
                <w:szCs w:val="22"/>
                <w:u w:val="none"/>
                <w:lang w:val="en-US" w:eastAsia="zh-CN" w:bidi="ar"/>
              </w:rPr>
              <w:t>2</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钢板</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优质冷轧钢板0.3mm*1m*2m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5</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3</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钢板</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优质冷轧钢板1.0mm*1m*2m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4</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电阻点焊试焊片</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125mm× 35mm× 0.7mm镀锌</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5</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气保连续焊试焊片</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125mm× 35mm× 1.2mm镀锌</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6</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铁砧台</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30KG，精钢，535*153*160mm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4</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7</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紫铜皮</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0.05mm*200mm*20</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8</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工业级凿子</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12件套装工业级錾子</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6</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9</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气保塞焊试焊片（带孔）</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125mm× 70mm× 1.2mm（有 15 个 6mm孔）</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10</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气保塞焊试焊片（带孔）</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125mm× 70mm×1.2mm（有 15 个 8mm孔）</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11</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碳棒</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8x355mm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12</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导电嘴</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0.6mm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15</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13</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麻花钻头</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10*3.2mm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14</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麻花钻头</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10*6.0mm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15</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麻花钻头</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10*8.0mm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16</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百叶抛光片</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外径100mm、内径16mm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17</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金属抛光片</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外径100mm、内径16mm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18</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记号笔</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白色油漆记号笔</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19</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模拟结构件更换组套</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世赛专用模拟六件套</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20</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划规</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台湾强斯威划规MTC308</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12</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21</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划针</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优质钨钢金属划线器</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12</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22</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气动锯片</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强斯威气动往复式锯片JAT-10T24 密齿</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23</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钥匙片</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钥匙片 59mm*1.5mm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24</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钣金修复锉刀</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德国刨刀支架</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6</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25</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钣金修复锉刀片</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德国进口刨刀-2号中齿</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6</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26</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钣金修复锉刀片</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德国进口刨刀-3号细齿</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6</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27</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抛光机挂架</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黑色，60*10*26CM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8</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28</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挂壁式毛巾架</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16格储物，42*42*15cm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12</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29</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DA偏心抛光机</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偏心角度8mm,AC  220V</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4</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30</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抛光蜡</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水性配方抛光蜡</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31</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抛光盘（方格中盘）</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海绵厚度20mm、绒布直径135mm、底部羊毛直径150mm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5</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32</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抛光盘（条纹粗盘）</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海绵厚度20mm、绒布直径135mm、底部羊毛直径150mm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5</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33</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长柄刷</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木柄、猪鬃40*20*7cm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34</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洗车水蜡</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含有镀晶成分，中性，高效去污</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35</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抛光盘（平面细盘）</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海绵厚度20mm、绒布直径135mm、底部羊毛直径150mm</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5</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36</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美工刀</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30度刀尖，有自锁功能</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40</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37</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喷壶支架</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长60cm、金属磨砂烤漆工艺</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4</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38</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镀晶蜡</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水晶硬蜡</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4</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39</w:t>
            </w:r>
          </w:p>
        </w:tc>
        <w:tc>
          <w:tcPr>
            <w:tcW w:w="149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氩气</w:t>
            </w:r>
          </w:p>
        </w:tc>
        <w:tc>
          <w:tcPr>
            <w:tcW w:w="4786"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Ar纯度＞99%</w:t>
            </w:r>
          </w:p>
        </w:tc>
        <w:tc>
          <w:tcPr>
            <w:tcW w:w="100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5</w:t>
            </w:r>
          </w:p>
        </w:tc>
        <w:tc>
          <w:tcPr>
            <w:tcW w:w="1335" w:type="dxa"/>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40</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95号汽油</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95号</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450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41</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灯泡</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刹车灯灯泡双丝高低角12V P21/5W，10个/1盒,适用于迈腾、宝来、朗逸等车型</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42</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机油</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API SN 0W-40合成机油，4L/桶，用于迈腾、帕萨特等车型</w:t>
            </w:r>
            <w:r>
              <w:rPr>
                <w:rFonts w:hint="eastAsia" w:ascii="仿宋" w:hAnsi="仿宋" w:eastAsia="仿宋" w:cs="仿宋"/>
                <w:i w:val="0"/>
                <w:color w:val="auto"/>
                <w:kern w:val="0"/>
                <w:sz w:val="21"/>
                <w:szCs w:val="21"/>
                <w:u w:val="none"/>
                <w:lang w:val="en-US" w:eastAsia="zh-CN" w:bidi="ar"/>
              </w:rPr>
              <w:br w:type="textWrapping"/>
            </w:r>
            <w:r>
              <w:rPr>
                <w:rFonts w:hint="eastAsia" w:ascii="仿宋" w:hAnsi="仿宋" w:eastAsia="仿宋" w:cs="仿宋"/>
                <w:i w:val="0"/>
                <w:color w:val="auto"/>
                <w:kern w:val="0"/>
                <w:sz w:val="21"/>
                <w:szCs w:val="21"/>
                <w:u w:val="none"/>
                <w:lang w:val="en-US" w:eastAsia="zh-CN" w:bidi="ar"/>
              </w:rPr>
              <w:t xml:space="preserve">发动机润滑系统。 </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4</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43</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机油</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API SN 5W-40合成机油，4L/桶，用于瑞纳、伊兰特等车型</w:t>
            </w:r>
            <w:r>
              <w:rPr>
                <w:rFonts w:hint="eastAsia" w:ascii="仿宋" w:hAnsi="仿宋" w:eastAsia="仿宋" w:cs="仿宋"/>
                <w:i w:val="0"/>
                <w:color w:val="auto"/>
                <w:kern w:val="0"/>
                <w:sz w:val="21"/>
                <w:szCs w:val="21"/>
                <w:u w:val="none"/>
                <w:lang w:val="en-US" w:eastAsia="zh-CN" w:bidi="ar"/>
              </w:rPr>
              <w:br w:type="textWrapping"/>
            </w:r>
            <w:r>
              <w:rPr>
                <w:rFonts w:hint="eastAsia" w:ascii="仿宋" w:hAnsi="仿宋" w:eastAsia="仿宋" w:cs="仿宋"/>
                <w:i w:val="0"/>
                <w:color w:val="auto"/>
                <w:kern w:val="0"/>
                <w:sz w:val="21"/>
                <w:szCs w:val="21"/>
                <w:u w:val="none"/>
                <w:lang w:val="en-US" w:eastAsia="zh-CN" w:bidi="ar"/>
              </w:rPr>
              <w:t>发动机润滑系统</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6</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44</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冷媒R134a</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汽车空调制冷剂R134a（13kg/罐）用于汽车空调系统制冷剂</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45</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增压压力传感器</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迈腾B8CUGA发动机专用</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46</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凸轮轴位置传感器</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 xml:space="preserve"> 北京现代瑞纳专用</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47</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E1开关</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L5ND 941 431速腾专用</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48</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保险</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7.5A、10A、15A、20A（各一盒）</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4</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49</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安全帽</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黄色</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4</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50</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继电器</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比亚迪E5、E6、秦专用</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5</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51</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继电器</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比亚迪E5、E6、秦专用</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5</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52</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汽车线束绒布胶带</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汽车线束绒布胶带包裹线束</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53</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绝缘胶带</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PVC1970A环保型</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54</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全车卡子</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比亚迪E5、E6、秦专用</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5</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55</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发光二极管</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8mm/F8草帽LED</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56</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机油</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 xml:space="preserve">比亚迪秦混动版1.5L专用 </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5</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57</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机油滤芯</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比亚迪秦混动版1.5L专用</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5</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58</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防冻液</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比亚迪E5、E6、秦专用</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5</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59</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汽车掸子</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除尘专用</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60</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齿轮油</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比亚迪E5、E6、秦专用</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61</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放油螺栓</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比亚迪E5、E6、秦专用</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62</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5号电池</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AA、1.5V</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63</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7号电池</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AAA、1.5V</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64</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9V电池</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9V 碱性电池</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65</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漆包线</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铜芯漆包线1.0，1000克</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66</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可调速流水灯</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 xml:space="preserve">电子爱好之家，供电电压AC12V </w:t>
            </w:r>
          </w:p>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 xml:space="preserve">板子尺寸55*28mm </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67</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正弦波发生器套件</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电子爱好之家，套件+4节5号电池</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68</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LM317可调稳压电源</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散件+电压表+变压器+外壳</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69</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C51单片机智能车</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套件+蓝牙模块</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70</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D2-2智能循迹小车套件</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套件+2节5号电池</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71</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光敏光控声光报警套装</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PCB板+元器件</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72</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万用表表笔</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通用型表笔，耐电流2500A</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5</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73</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示波器探针</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示波器探针200Mx1x10可切换</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5</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74</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陶瓷加热器（PTC）</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适用于（2017款）比亚迪秦/秦EV/E5</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75</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汽车电路检测笔</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用于检测6V/12V/24V 直流、交流、脉冲信号，三灯一体式，带探针</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76</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二极管</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3MM    1N4007 1A/1200V       1N5819  1A/40V</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150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77</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三极管</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S8050 NPN  封装TO-92   S8550 0.5A  封装TO92 9015 PNP  封装TO92</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200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78</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电容器</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5P-0.1UF 25V-400V</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150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79</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电感器</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0307-100mH 3X7</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150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80</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电阻器</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10K/12K/13K/4.7K  1/4W</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200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81</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电位器</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3296W、104/105欧</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100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82</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面包板</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10*15CM</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300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83</w:t>
            </w:r>
          </w:p>
        </w:tc>
        <w:tc>
          <w:tcPr>
            <w:tcW w:w="149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电烙铁</w:t>
            </w:r>
          </w:p>
        </w:tc>
        <w:tc>
          <w:tcPr>
            <w:tcW w:w="4786"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40w</w:t>
            </w:r>
          </w:p>
        </w:tc>
        <w:tc>
          <w:tcPr>
            <w:tcW w:w="100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40</w:t>
            </w:r>
          </w:p>
        </w:tc>
        <w:tc>
          <w:tcPr>
            <w:tcW w:w="1335" w:type="dxa"/>
            <w:vAlign w:val="center"/>
          </w:tcPr>
          <w:p>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84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多用途原子灰</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1.5kg/罐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85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原子灰固化剂</w:t>
            </w:r>
          </w:p>
        </w:tc>
        <w:tc>
          <w:tcPr>
            <w:tcW w:w="4786" w:type="dxa"/>
            <w:vAlign w:val="center"/>
          </w:tcPr>
          <w:p>
            <w:pPr>
              <w:jc w:val="left"/>
              <w:rPr>
                <w:rFonts w:hint="eastAsia" w:ascii="仿宋" w:hAnsi="仿宋" w:eastAsia="仿宋" w:cs="仿宋"/>
                <w:i w:val="0"/>
                <w:color w:val="auto"/>
                <w:kern w:val="0"/>
                <w:sz w:val="21"/>
                <w:szCs w:val="21"/>
                <w:u w:val="none"/>
                <w:lang w:val="en-US" w:eastAsia="zh-CN" w:bidi="ar"/>
              </w:rPr>
            </w:pP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86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塑料原子灰</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1.5kg/罐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87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橡胶水(稀料）</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88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除硅清洁剂</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89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塑料专用清洁剂</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90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环氧底漆(VOC)</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91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高浓免磨湿碰湿中涂底漆灰色(VOC)）</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92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高浓度干磨中涂底漆(灰色)</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93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环氧树脂底漆固化剂</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94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中涂底漆固化剂(快干)</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95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标准稀释剂</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96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水性漆调和树脂</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97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水性漆调整剂</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98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清漆(VOC)</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99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标准固化剂(VOC)</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2.5L/罐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100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快干固化剂(VOC)</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2.5L/罐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101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清洁剂</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102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脱脂清洁剂</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103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石榴石干磨砂纸P180</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70*198、100张/盒</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104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3M防尘口罩</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耳挂式，防粉尘PM2.5</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105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除油布</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30CM*35CM（蓝色）</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106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粘尘布</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80CM*35CM（白色），10盒/箱</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107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万能原子灰</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1960g+60g/罐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108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固化剂</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2.5L/罐（快干）</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109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清漆</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高固，5L/罐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110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橡胶水</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111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除油剂</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112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灰色中涂底漆</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3.5L/罐（灰度值5）</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113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专用稀释剂</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5L/罐</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114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喷漆手套（丁腈橡胶）</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专业喷漆手套L码（加大加厚100只/盒）</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115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3M防尘口罩</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耳挂式，防工业打磨粉尘，防雾霾PM2.5，（50只/盒）</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30</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116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石榴石干磨砂纸P80</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6寸9孔，50张/盒</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117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石榴石干磨砂纸P180</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6寸9孔，100张/盒</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118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石榴石干磨砂纸P240</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6寸9孔，100张/盒</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119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石榴石干磨砂纸P320</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6寸9孔，100张/盒</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120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石榴石干磨砂纸P500</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6寸9孔，100张/盒</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121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石榴石干磨砂纸P80</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70*198，100张/盒</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122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石榴石干磨砂纸P120</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70*198，100张/盒</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123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石榴石干磨砂纸P240</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70*198，100张/盒</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124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石榴石干磨砂纸P320</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70*198，100张/盒</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125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5号机保护垫</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6寸9孔</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126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3号机软垫</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6寸9孔</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127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一次性调漆塑料杯</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200ml 中厚</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128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除油布</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30CM*35CM（蓝色）</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129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粘尘布</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80CM*35CM（白色），10盒/箱</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130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棉线手套</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20cm中号、优质高弹尼龙丝和黑灰色棉线混纺织</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400</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131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防静电喷漆服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防静电连体喷漆服</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132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白色</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133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微调白</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134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土黄</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135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绿金</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136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金棕</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137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橙黄</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138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柠檬黄</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139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柠檬黄</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140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微调柠檬黄</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141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浅黄</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142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亮橙</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143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铁红</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144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微调铁红</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145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亮红</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146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透明铁红</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147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栗红</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148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棕红</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149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深红</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150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玫红</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151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大红</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152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红色</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153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紫色</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154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紫红</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155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绿相酞蓝</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156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宝石蓝</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157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微调蓝色</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158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正蓝</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159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海蓝</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160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蓝绿</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161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黄绿色</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162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特黑</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163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黑色</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164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微调黑</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165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蓝相黑</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166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白珍珠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167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细白珍珠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168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青金珠光</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169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红珍珠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170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细红珍珠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171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蓝珍珠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172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细蓝珍珠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173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幻彩白</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174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宝石红珍珠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175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钻石银白珍珠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176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幻彩石墨</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177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超细银</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178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特细银</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179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细银</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180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标准白银</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181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中细银</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182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特粗闪银</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183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亮银</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184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细晶状银粉</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185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粗晶状银粉</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186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幻珠光白</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187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超闪亮白色母</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188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金闪珍珠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189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珍珠橙</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190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褐色闪光珍珠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191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珍珠红</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192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闪光白</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193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珍珠紫</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194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闪光紫珍珠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195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紫红珠光</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196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宝石蓝</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197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祖母绿</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198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珍珠绿</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199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黄绿珠光</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200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蓝绿珠光</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201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红绿珠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202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栗色珍珠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203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古铜珠光</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204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铜闪珍珠</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205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青金珠光</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206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巴斯夫水性漆色母</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红金珠光</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207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巴斯夫水性漆辅料</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银粉控制剂</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208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巴斯夫水性漆辅料</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水性漆调和树脂</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color w:val="auto"/>
                <w:sz w:val="21"/>
                <w:szCs w:val="21"/>
                <w:lang w:val="en-US" w:eastAsia="zh-CN"/>
              </w:rPr>
            </w:pPr>
            <w:r>
              <w:rPr>
                <w:rFonts w:hint="eastAsia" w:ascii="宋体" w:hAnsi="宋体" w:eastAsia="宋体" w:cs="宋体"/>
                <w:i w:val="0"/>
                <w:color w:val="000000"/>
                <w:kern w:val="0"/>
                <w:sz w:val="22"/>
                <w:szCs w:val="22"/>
                <w:u w:val="none"/>
                <w:lang w:val="en-US" w:eastAsia="zh-CN" w:bidi="ar"/>
              </w:rPr>
              <w:t>209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巴斯夫水性漆辅料</w:t>
            </w:r>
          </w:p>
        </w:tc>
        <w:tc>
          <w:tcPr>
            <w:tcW w:w="478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水性漆调整剂</w:t>
            </w:r>
          </w:p>
        </w:tc>
        <w:tc>
          <w:tcPr>
            <w:tcW w:w="100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33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210</w:t>
            </w:r>
          </w:p>
        </w:tc>
        <w:tc>
          <w:tcPr>
            <w:tcW w:w="1496" w:type="dxa"/>
            <w:vAlign w:val="center"/>
          </w:tcPr>
          <w:p>
            <w:pPr>
              <w:widowControl/>
              <w:jc w:val="left"/>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color w:val="auto"/>
                <w:sz w:val="21"/>
                <w:szCs w:val="21"/>
                <w:lang w:val="en-US" w:eastAsia="zh-CN"/>
              </w:rPr>
              <w:t>塑料间隙规</w:t>
            </w:r>
          </w:p>
        </w:tc>
        <w:tc>
          <w:tcPr>
            <w:tcW w:w="4786" w:type="dxa"/>
            <w:vAlign w:val="center"/>
          </w:tcPr>
          <w:p>
            <w:pPr>
              <w:widowControl/>
              <w:jc w:val="left"/>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aps w:val="0"/>
                <w:color w:val="auto"/>
                <w:spacing w:val="0"/>
                <w:sz w:val="21"/>
                <w:szCs w:val="21"/>
                <w:shd w:val="clear" w:fill="FFFFFF"/>
              </w:rPr>
              <w:t>大赛</w:t>
            </w:r>
            <w:r>
              <w:rPr>
                <w:rFonts w:hint="eastAsia" w:ascii="仿宋" w:hAnsi="仿宋" w:eastAsia="仿宋" w:cs="仿宋"/>
                <w:i w:val="0"/>
                <w:caps w:val="0"/>
                <w:color w:val="auto"/>
                <w:spacing w:val="0"/>
                <w:sz w:val="21"/>
                <w:szCs w:val="21"/>
                <w:shd w:val="clear" w:fill="FFFFFF"/>
                <w:lang w:eastAsia="zh-CN"/>
              </w:rPr>
              <w:t>用</w:t>
            </w:r>
            <w:r>
              <w:rPr>
                <w:rFonts w:hint="eastAsia" w:ascii="仿宋" w:hAnsi="仿宋" w:eastAsia="仿宋" w:cs="仿宋"/>
                <w:i w:val="0"/>
                <w:caps w:val="0"/>
                <w:color w:val="auto"/>
                <w:spacing w:val="0"/>
                <w:sz w:val="21"/>
                <w:szCs w:val="21"/>
                <w:shd w:val="clear" w:fill="FFFFFF"/>
              </w:rPr>
              <w:t xml:space="preserve"> 0.025-0.175 mm 2</w:t>
            </w:r>
          </w:p>
        </w:tc>
        <w:tc>
          <w:tcPr>
            <w:tcW w:w="1005" w:type="dxa"/>
            <w:vAlign w:val="center"/>
          </w:tcPr>
          <w:p>
            <w:pPr>
              <w:widowControl/>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color w:val="auto"/>
                <w:sz w:val="21"/>
                <w:szCs w:val="21"/>
                <w:lang w:val="en-US" w:eastAsia="zh-CN"/>
              </w:rPr>
              <w:t>10</w:t>
            </w:r>
          </w:p>
        </w:tc>
        <w:tc>
          <w:tcPr>
            <w:tcW w:w="1335" w:type="dxa"/>
            <w:vAlign w:val="center"/>
          </w:tcPr>
          <w:p>
            <w:pPr>
              <w:widowControl/>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color w:val="auto"/>
                <w:sz w:val="21"/>
                <w:szCs w:val="21"/>
                <w:lang w:eastAsia="zh-CN"/>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211</w:t>
            </w:r>
          </w:p>
        </w:tc>
        <w:tc>
          <w:tcPr>
            <w:tcW w:w="1496" w:type="dxa"/>
            <w:vAlign w:val="center"/>
          </w:tcPr>
          <w:p>
            <w:pPr>
              <w:widowControl/>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color w:val="auto"/>
                <w:sz w:val="21"/>
                <w:szCs w:val="21"/>
                <w:lang w:val="en-US" w:eastAsia="zh-CN"/>
              </w:rPr>
              <w:t>千分尺座</w:t>
            </w:r>
          </w:p>
        </w:tc>
        <w:tc>
          <w:tcPr>
            <w:tcW w:w="4786" w:type="dxa"/>
            <w:vAlign w:val="center"/>
          </w:tcPr>
          <w:p>
            <w:pPr>
              <w:widowControl/>
              <w:jc w:val="center"/>
              <w:textAlignment w:val="center"/>
              <w:rPr>
                <w:rFonts w:hint="eastAsia" w:ascii="仿宋" w:hAnsi="仿宋" w:eastAsia="仿宋" w:cs="仿宋"/>
                <w:i w:val="0"/>
                <w:color w:val="auto"/>
                <w:kern w:val="0"/>
                <w:sz w:val="21"/>
                <w:szCs w:val="21"/>
                <w:u w:val="none"/>
                <w:lang w:val="en-US" w:eastAsia="zh-CN" w:bidi="ar"/>
              </w:rPr>
            </w:pPr>
          </w:p>
        </w:tc>
        <w:tc>
          <w:tcPr>
            <w:tcW w:w="1005" w:type="dxa"/>
            <w:vAlign w:val="center"/>
          </w:tcPr>
          <w:p>
            <w:pPr>
              <w:widowControl/>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color w:val="auto"/>
                <w:sz w:val="21"/>
                <w:szCs w:val="21"/>
                <w:lang w:val="en-US" w:eastAsia="zh-CN"/>
              </w:rPr>
              <w:t>8</w:t>
            </w:r>
          </w:p>
        </w:tc>
        <w:tc>
          <w:tcPr>
            <w:tcW w:w="1335" w:type="dxa"/>
            <w:vAlign w:val="center"/>
          </w:tcPr>
          <w:p>
            <w:pPr>
              <w:widowControl/>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color w:val="auto"/>
                <w:sz w:val="21"/>
                <w:szCs w:val="21"/>
                <w:lang w:eastAsia="zh-CN"/>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212</w:t>
            </w:r>
          </w:p>
        </w:tc>
        <w:tc>
          <w:tcPr>
            <w:tcW w:w="1496" w:type="dxa"/>
            <w:vAlign w:val="center"/>
          </w:tcPr>
          <w:p>
            <w:pPr>
              <w:widowControl/>
              <w:jc w:val="left"/>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color w:val="auto"/>
                <w:sz w:val="21"/>
                <w:szCs w:val="21"/>
                <w:lang w:val="en-US" w:eastAsia="zh-CN"/>
              </w:rPr>
              <w:t>塑料间隙规</w:t>
            </w:r>
          </w:p>
        </w:tc>
        <w:tc>
          <w:tcPr>
            <w:tcW w:w="4786" w:type="dxa"/>
            <w:vAlign w:val="center"/>
          </w:tcPr>
          <w:p>
            <w:pPr>
              <w:widowControl/>
              <w:jc w:val="left"/>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aps w:val="0"/>
                <w:color w:val="auto"/>
                <w:spacing w:val="0"/>
                <w:sz w:val="21"/>
                <w:szCs w:val="21"/>
                <w:shd w:val="clear" w:fill="FFFFFF"/>
              </w:rPr>
              <w:t>大赛</w:t>
            </w:r>
            <w:r>
              <w:rPr>
                <w:rFonts w:hint="eastAsia" w:ascii="仿宋" w:hAnsi="仿宋" w:eastAsia="仿宋" w:cs="仿宋"/>
                <w:i w:val="0"/>
                <w:caps w:val="0"/>
                <w:color w:val="auto"/>
                <w:spacing w:val="0"/>
                <w:sz w:val="21"/>
                <w:szCs w:val="21"/>
                <w:shd w:val="clear" w:fill="FFFFFF"/>
                <w:lang w:eastAsia="zh-CN"/>
              </w:rPr>
              <w:t>用</w:t>
            </w:r>
            <w:r>
              <w:rPr>
                <w:rFonts w:hint="eastAsia" w:ascii="仿宋" w:hAnsi="仿宋" w:eastAsia="仿宋" w:cs="仿宋"/>
                <w:i w:val="0"/>
                <w:caps w:val="0"/>
                <w:color w:val="auto"/>
                <w:spacing w:val="0"/>
                <w:sz w:val="21"/>
                <w:szCs w:val="21"/>
                <w:shd w:val="clear" w:fill="FFFFFF"/>
              </w:rPr>
              <w:t xml:space="preserve"> 0.025-0.175 mm 2</w:t>
            </w:r>
          </w:p>
        </w:tc>
        <w:tc>
          <w:tcPr>
            <w:tcW w:w="1005" w:type="dxa"/>
            <w:vAlign w:val="center"/>
          </w:tcPr>
          <w:p>
            <w:pPr>
              <w:widowControl/>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color w:val="auto"/>
                <w:sz w:val="21"/>
                <w:szCs w:val="21"/>
                <w:lang w:val="en-US" w:eastAsia="zh-CN"/>
              </w:rPr>
              <w:t>10</w:t>
            </w:r>
          </w:p>
        </w:tc>
        <w:tc>
          <w:tcPr>
            <w:tcW w:w="1335" w:type="dxa"/>
            <w:vAlign w:val="center"/>
          </w:tcPr>
          <w:p>
            <w:pPr>
              <w:widowControl/>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color w:val="auto"/>
                <w:sz w:val="21"/>
                <w:szCs w:val="21"/>
                <w:lang w:eastAsia="zh-CN"/>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213</w:t>
            </w:r>
          </w:p>
        </w:tc>
        <w:tc>
          <w:tcPr>
            <w:tcW w:w="1496" w:type="dxa"/>
            <w:vAlign w:val="center"/>
          </w:tcPr>
          <w:p>
            <w:pPr>
              <w:widowControl/>
              <w:jc w:val="left"/>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科鲁兹发动机活塞环</w:t>
            </w:r>
          </w:p>
        </w:tc>
        <w:tc>
          <w:tcPr>
            <w:tcW w:w="4786" w:type="dxa"/>
            <w:vAlign w:val="center"/>
          </w:tcPr>
          <w:p>
            <w:pPr>
              <w:widowControl/>
              <w:jc w:val="left"/>
              <w:textAlignment w:val="center"/>
              <w:rPr>
                <w:rFonts w:hint="eastAsia" w:ascii="仿宋" w:hAnsi="仿宋" w:eastAsia="仿宋" w:cs="仿宋"/>
                <w:color w:val="auto"/>
                <w:kern w:val="2"/>
                <w:sz w:val="21"/>
                <w:szCs w:val="21"/>
                <w:lang w:val="en-US" w:eastAsia="zh-CN" w:bidi="ar-SA"/>
              </w:rPr>
            </w:pPr>
          </w:p>
        </w:tc>
        <w:tc>
          <w:tcPr>
            <w:tcW w:w="1005" w:type="dxa"/>
            <w:vAlign w:val="center"/>
          </w:tcPr>
          <w:p>
            <w:pPr>
              <w:widowControl/>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8</w:t>
            </w:r>
          </w:p>
        </w:tc>
        <w:tc>
          <w:tcPr>
            <w:tcW w:w="1335" w:type="dxa"/>
            <w:vAlign w:val="center"/>
          </w:tcPr>
          <w:p>
            <w:pPr>
              <w:widowControl/>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214</w:t>
            </w:r>
          </w:p>
        </w:tc>
        <w:tc>
          <w:tcPr>
            <w:tcW w:w="1496" w:type="dxa"/>
            <w:vAlign w:val="center"/>
          </w:tcPr>
          <w:p>
            <w:pPr>
              <w:widowControl/>
              <w:jc w:val="left"/>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eastAsia="zh-CN"/>
              </w:rPr>
              <w:t>伊兰特发动机活塞环</w:t>
            </w:r>
          </w:p>
        </w:tc>
        <w:tc>
          <w:tcPr>
            <w:tcW w:w="4786" w:type="dxa"/>
            <w:vAlign w:val="center"/>
          </w:tcPr>
          <w:p>
            <w:pPr>
              <w:widowControl/>
              <w:jc w:val="left"/>
              <w:textAlignment w:val="center"/>
              <w:rPr>
                <w:rFonts w:hint="eastAsia" w:ascii="仿宋" w:hAnsi="仿宋" w:eastAsia="仿宋" w:cs="仿宋"/>
                <w:color w:val="auto"/>
                <w:kern w:val="2"/>
                <w:sz w:val="21"/>
                <w:szCs w:val="21"/>
                <w:lang w:val="en-US" w:eastAsia="zh-CN" w:bidi="ar-SA"/>
              </w:rPr>
            </w:pPr>
          </w:p>
        </w:tc>
        <w:tc>
          <w:tcPr>
            <w:tcW w:w="1005" w:type="dxa"/>
            <w:vAlign w:val="center"/>
          </w:tcPr>
          <w:p>
            <w:pPr>
              <w:widowControl/>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8</w:t>
            </w:r>
          </w:p>
        </w:tc>
        <w:tc>
          <w:tcPr>
            <w:tcW w:w="1335" w:type="dxa"/>
            <w:vAlign w:val="center"/>
          </w:tcPr>
          <w:p>
            <w:pPr>
              <w:widowControl/>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eastAsia="zh-CN"/>
              </w:rPr>
              <w:t>套</w:t>
            </w:r>
          </w:p>
        </w:tc>
      </w:tr>
    </w:tbl>
    <w:p>
      <w:pPr>
        <w:ind w:firstLine="440" w:firstLineChars="200"/>
        <w:rPr>
          <w:rFonts w:ascii="宋体" w:hAnsi="宋体"/>
          <w:kern w:val="0"/>
          <w:sz w:val="22"/>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right="-178" w:rightChars="-85" w:firstLine="480" w:firstLineChars="200"/>
        <w:textAlignment w:val="bottom"/>
        <w:rPr>
          <w:rFonts w:hint="eastAsia" w:ascii="宋体" w:hAnsi="宋体" w:eastAsia="宋体"/>
          <w:b/>
          <w:sz w:val="24"/>
          <w:lang w:eastAsia="zh-CN"/>
        </w:rPr>
      </w:pPr>
      <w:r>
        <w:rPr>
          <w:rFonts w:ascii="宋体" w:hAnsi="宋体" w:cs="宋体"/>
          <w:sz w:val="24"/>
        </w:rPr>
        <w:t>本项目所涉及产品在质量保质期内若出现质量问题（人为因素除外），供应商须在3日内无条件进行产品更换。产品质量保质期为在产品验收合格且双方签字并交付使用之日起</w:t>
      </w:r>
      <w:r>
        <w:rPr>
          <w:rFonts w:hint="eastAsia" w:ascii="宋体" w:hAnsi="宋体" w:cs="宋体"/>
          <w:sz w:val="24"/>
        </w:rPr>
        <w:t>一</w:t>
      </w:r>
      <w:r>
        <w:rPr>
          <w:rFonts w:ascii="宋体" w:hAnsi="宋体" w:cs="宋体"/>
          <w:sz w:val="24"/>
        </w:rPr>
        <w:t>年</w:t>
      </w:r>
      <w:r>
        <w:rPr>
          <w:rFonts w:hint="eastAsia" w:ascii="宋体" w:hAnsi="宋体" w:cs="宋体"/>
          <w:sz w:val="24"/>
          <w:lang w:eastAsia="zh-CN"/>
        </w:rPr>
        <w:t>；</w:t>
      </w:r>
      <w:r>
        <w:rPr>
          <w:rFonts w:ascii="宋体" w:hAnsi="宋体" w:cs="宋体"/>
          <w:sz w:val="24"/>
        </w:rPr>
        <w:t>本项目所涉及产品</w:t>
      </w:r>
      <w:r>
        <w:rPr>
          <w:rFonts w:hint="eastAsia" w:ascii="宋体" w:hAnsi="宋体" w:cs="宋体"/>
          <w:sz w:val="24"/>
          <w:lang w:eastAsia="zh-CN"/>
        </w:rPr>
        <w:t>因中标供应商出现货物供错、漏供等情况，</w:t>
      </w:r>
      <w:r>
        <w:rPr>
          <w:rFonts w:ascii="宋体" w:hAnsi="宋体" w:cs="宋体"/>
          <w:sz w:val="24"/>
        </w:rPr>
        <w:t>供应商须在3日内无条件进行产品更换</w:t>
      </w:r>
      <w:r>
        <w:rPr>
          <w:rFonts w:hint="eastAsia" w:ascii="宋体" w:hAnsi="宋体" w:cs="宋体"/>
          <w:sz w:val="24"/>
          <w:lang w:eastAsia="zh-CN"/>
        </w:rPr>
        <w:t>及调配。</w:t>
      </w:r>
    </w:p>
    <w:p>
      <w:pPr>
        <w:numPr>
          <w:ilvl w:val="0"/>
          <w:numId w:val="3"/>
        </w:numPr>
        <w:spacing w:line="360" w:lineRule="auto"/>
        <w:ind w:left="-181" w:leftChars="-86" w:firstLine="482" w:firstLineChars="200"/>
        <w:contextualSpacing/>
        <w:rPr>
          <w:rFonts w:ascii="宋体" w:hAnsi="宋体"/>
          <w:b/>
          <w:sz w:val="24"/>
        </w:rPr>
      </w:pPr>
      <w:bookmarkStart w:id="2" w:name="_Toc416681035"/>
      <w:bookmarkEnd w:id="2"/>
      <w:r>
        <w:rPr>
          <w:rFonts w:hint="eastAsia" w:ascii="宋体" w:hAnsi="宋体"/>
          <w:b/>
          <w:sz w:val="24"/>
        </w:rPr>
        <w:t>其他要求：</w:t>
      </w:r>
    </w:p>
    <w:p>
      <w:pPr>
        <w:numPr>
          <w:ilvl w:val="0"/>
          <w:numId w:val="4"/>
        </w:numPr>
        <w:spacing w:line="400" w:lineRule="exact"/>
        <w:rPr>
          <w:rFonts w:hint="default" w:ascii="宋体" w:hAnsi="宋体" w:eastAsia="宋体"/>
          <w:b/>
          <w:bCs/>
          <w:sz w:val="24"/>
          <w:lang w:val="en-US" w:eastAsia="zh-CN"/>
        </w:rPr>
      </w:pPr>
      <w:r>
        <w:rPr>
          <w:rFonts w:ascii="宋体" w:hAnsi="宋体" w:cs="宋体"/>
          <w:sz w:val="24"/>
        </w:rPr>
        <w:t>供应商须根据采购人要求时间完成供货，同时根据学院安排进行现场</w:t>
      </w:r>
      <w:r>
        <w:rPr>
          <w:rFonts w:hint="eastAsia" w:ascii="宋体" w:hAnsi="宋体" w:cs="宋体"/>
          <w:sz w:val="24"/>
        </w:rPr>
        <w:t>验</w:t>
      </w:r>
      <w:r>
        <w:rPr>
          <w:rFonts w:ascii="宋体" w:hAnsi="宋体" w:cs="宋体"/>
          <w:sz w:val="24"/>
        </w:rPr>
        <w:t>货。</w:t>
      </w:r>
      <w:r>
        <w:rPr>
          <w:rFonts w:ascii="宋体" w:hAnsi="宋体" w:cs="宋体"/>
          <w:sz w:val="24"/>
        </w:rPr>
        <w:br w:type="textWrapping"/>
      </w:r>
      <w:r>
        <w:rPr>
          <w:rFonts w:hint="eastAsia" w:ascii="宋体" w:hAnsi="宋体" w:cs="宋体"/>
          <w:sz w:val="24"/>
        </w:rPr>
        <w:t>2</w:t>
      </w:r>
      <w:r>
        <w:rPr>
          <w:rFonts w:ascii="宋体" w:hAnsi="宋体" w:cs="宋体"/>
          <w:sz w:val="24"/>
        </w:rPr>
        <w:t>、技术资料：供应商必须保证响应文件所提供的全部技术资料（包括：投标货物原厂原版彩印技术样本、使用保养说明书、图纸、各种试验报告和鉴定证书、货物获奖证书等）真实可靠，不得用虚假材料进行响应，并接受评标委员会对其中任何资料进一步审查和采购人认可的第3方测试机构对货物进行测试的要求。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ascii="宋体" w:hAnsi="宋体" w:cs="宋体"/>
          <w:sz w:val="24"/>
        </w:rPr>
        <w:t>1．合同签订后，供应商应在接到采购人通知</w:t>
      </w:r>
      <w:r>
        <w:rPr>
          <w:rFonts w:hint="eastAsia" w:ascii="宋体" w:hAnsi="宋体" w:cs="宋体"/>
          <w:sz w:val="24"/>
          <w:lang w:val="en-US" w:eastAsia="zh-CN"/>
        </w:rPr>
        <w:t>7</w:t>
      </w:r>
      <w:r>
        <w:rPr>
          <w:rFonts w:ascii="宋体" w:hAnsi="宋体" w:cs="宋体"/>
          <w:sz w:val="24"/>
        </w:rPr>
        <w:t>天内完成项目的所需货物的供货、发放、调配，如不能按期按投标要求供货，供应商按中标报价的3倍进行赔偿。</w:t>
      </w:r>
    </w:p>
    <w:p>
      <w:pPr>
        <w:spacing w:line="360" w:lineRule="auto"/>
        <w:ind w:firstLine="480" w:firstLineChars="200"/>
        <w:rPr>
          <w:rFonts w:ascii="宋体" w:hAnsi="宋体"/>
          <w:sz w:val="24"/>
        </w:rPr>
      </w:pPr>
      <w:r>
        <w:rPr>
          <w:rFonts w:hint="eastAsia" w:ascii="宋体" w:hAnsi="宋体"/>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65109445"/>
      <w:bookmarkStart w:id="10" w:name="_Toc294609003"/>
      <w:bookmarkStart w:id="11" w:name="_Toc327371177"/>
      <w:bookmarkStart w:id="12" w:name="_Toc238276242"/>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5"/>
        </w:numPr>
        <w:rPr>
          <w:rFonts w:ascii="宋体" w:hAnsi="宋体"/>
          <w:sz w:val="24"/>
          <w:szCs w:val="24"/>
        </w:rPr>
      </w:pPr>
      <w:r>
        <w:rPr>
          <w:rFonts w:hint="eastAsia" w:ascii="宋体" w:hAnsi="宋体"/>
          <w:sz w:val="24"/>
          <w:szCs w:val="24"/>
        </w:rPr>
        <w:t>所有价格均用人民币表示，单位为元。</w:t>
      </w:r>
    </w:p>
    <w:p>
      <w:pPr>
        <w:pStyle w:val="5"/>
        <w:numPr>
          <w:ilvl w:val="0"/>
          <w:numId w:val="5"/>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5"/>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rPr>
          <w:color w:val="auto"/>
        </w:rPr>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sz w:val="24"/>
        </w:rPr>
      </w:pPr>
      <w:r>
        <w:rPr>
          <w:rFonts w:hint="eastAsia" w:ascii="宋体" w:hAnsi="宋体"/>
          <w:b w:val="0"/>
          <w:bCs w:val="0"/>
        </w:rPr>
        <w:t>附件七：</w:t>
      </w:r>
    </w:p>
    <w:p>
      <w:pPr>
        <w:spacing w:line="440" w:lineRule="exact"/>
        <w:ind w:firstLine="560" w:firstLineChars="200"/>
        <w:rPr>
          <w:rFonts w:ascii="宋体" w:hAnsi="宋体"/>
          <w:sz w:val="28"/>
          <w:szCs w:val="28"/>
        </w:rPr>
      </w:pPr>
      <w:r>
        <w:rPr>
          <w:rFonts w:hint="eastAsia" w:ascii="宋体" w:hAnsi="宋体"/>
          <w:sz w:val="28"/>
          <w:szCs w:val="28"/>
        </w:rPr>
        <w:t>4、类似项目业绩证明</w:t>
      </w:r>
    </w:p>
    <w:p>
      <w:pPr>
        <w:spacing w:line="440" w:lineRule="exact"/>
        <w:ind w:firstLine="560" w:firstLineChars="200"/>
        <w:rPr>
          <w:rFonts w:ascii="宋体" w:hAnsi="宋体"/>
          <w:sz w:val="28"/>
          <w:szCs w:val="28"/>
        </w:rPr>
      </w:pPr>
      <w:r>
        <w:rPr>
          <w:rFonts w:hint="eastAsia" w:ascii="宋体" w:hAnsi="宋体"/>
          <w:sz w:val="28"/>
          <w:szCs w:val="28"/>
        </w:rPr>
        <w:t>5、技术参数证明文件</w:t>
      </w:r>
    </w:p>
    <w:p>
      <w:pPr>
        <w:spacing w:line="440" w:lineRule="exact"/>
        <w:ind w:firstLine="560" w:firstLineChars="200"/>
        <w:rPr>
          <w:rFonts w:ascii="宋体" w:hAnsi="宋体"/>
          <w:sz w:val="28"/>
          <w:szCs w:val="28"/>
        </w:rPr>
      </w:pPr>
      <w:r>
        <w:rPr>
          <w:rFonts w:hint="eastAsia" w:ascii="宋体" w:hAnsi="宋体"/>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C6ECF4F6"/>
    <w:multiLevelType w:val="singleLevel"/>
    <w:tmpl w:val="C6ECF4F6"/>
    <w:lvl w:ilvl="0" w:tentative="0">
      <w:start w:val="1"/>
      <w:numFmt w:val="decimal"/>
      <w:suff w:val="nothing"/>
      <w:lvlText w:val="%1、"/>
      <w:lvlJc w:val="left"/>
    </w:lvl>
  </w:abstractNum>
  <w:abstractNum w:abstractNumId="2">
    <w:nsid w:val="01097AEB"/>
    <w:multiLevelType w:val="singleLevel"/>
    <w:tmpl w:val="01097AEB"/>
    <w:lvl w:ilvl="0" w:tentative="0">
      <w:start w:val="8"/>
      <w:numFmt w:val="decimal"/>
      <w:suff w:val="space"/>
      <w:lvlText w:val="%1."/>
      <w:lvlJc w:val="left"/>
    </w:lvl>
  </w:abstractNum>
  <w:abstractNum w:abstractNumId="3">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7AF4"/>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E2BB5"/>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5C13"/>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359F"/>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031EA"/>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3091"/>
    <w:rsid w:val="00396A8C"/>
    <w:rsid w:val="003A316E"/>
    <w:rsid w:val="003A3457"/>
    <w:rsid w:val="003A5661"/>
    <w:rsid w:val="003A62F7"/>
    <w:rsid w:val="003B25C7"/>
    <w:rsid w:val="003B46FB"/>
    <w:rsid w:val="003B7EFD"/>
    <w:rsid w:val="003C2900"/>
    <w:rsid w:val="003E0467"/>
    <w:rsid w:val="003E046E"/>
    <w:rsid w:val="003E0A97"/>
    <w:rsid w:val="003E1269"/>
    <w:rsid w:val="003F09C0"/>
    <w:rsid w:val="003F50D5"/>
    <w:rsid w:val="003F5C5F"/>
    <w:rsid w:val="00401203"/>
    <w:rsid w:val="00401FF9"/>
    <w:rsid w:val="004037E1"/>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32B6"/>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6FA7"/>
    <w:rsid w:val="00557CBB"/>
    <w:rsid w:val="00560F40"/>
    <w:rsid w:val="00563EC0"/>
    <w:rsid w:val="005674AD"/>
    <w:rsid w:val="0057076B"/>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A6A7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68F"/>
    <w:rsid w:val="007B3F28"/>
    <w:rsid w:val="007B7701"/>
    <w:rsid w:val="007C33B5"/>
    <w:rsid w:val="007C7264"/>
    <w:rsid w:val="007E0616"/>
    <w:rsid w:val="007E0AAC"/>
    <w:rsid w:val="007E104C"/>
    <w:rsid w:val="007E33C1"/>
    <w:rsid w:val="007E3A36"/>
    <w:rsid w:val="007E6205"/>
    <w:rsid w:val="007E6439"/>
    <w:rsid w:val="007E7A29"/>
    <w:rsid w:val="007F0EFD"/>
    <w:rsid w:val="007F344D"/>
    <w:rsid w:val="00801175"/>
    <w:rsid w:val="008019AC"/>
    <w:rsid w:val="008034D4"/>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94D66"/>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353"/>
    <w:rsid w:val="00A728D5"/>
    <w:rsid w:val="00A72BBA"/>
    <w:rsid w:val="00A73BCA"/>
    <w:rsid w:val="00A73C74"/>
    <w:rsid w:val="00A76929"/>
    <w:rsid w:val="00A807D8"/>
    <w:rsid w:val="00A84E40"/>
    <w:rsid w:val="00A85F5F"/>
    <w:rsid w:val="00A872DB"/>
    <w:rsid w:val="00A9198C"/>
    <w:rsid w:val="00A91AC1"/>
    <w:rsid w:val="00A946B3"/>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38D2"/>
    <w:rsid w:val="00B75F8F"/>
    <w:rsid w:val="00B80004"/>
    <w:rsid w:val="00B85EEB"/>
    <w:rsid w:val="00B910B1"/>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E587C"/>
    <w:rsid w:val="00BF2A49"/>
    <w:rsid w:val="00C068B0"/>
    <w:rsid w:val="00C07F84"/>
    <w:rsid w:val="00C108C8"/>
    <w:rsid w:val="00C1677F"/>
    <w:rsid w:val="00C2260F"/>
    <w:rsid w:val="00C26DC8"/>
    <w:rsid w:val="00C31C75"/>
    <w:rsid w:val="00C32451"/>
    <w:rsid w:val="00C3347C"/>
    <w:rsid w:val="00C34B2D"/>
    <w:rsid w:val="00C37FEA"/>
    <w:rsid w:val="00C41A54"/>
    <w:rsid w:val="00C42736"/>
    <w:rsid w:val="00C4379C"/>
    <w:rsid w:val="00C47890"/>
    <w:rsid w:val="00C52A71"/>
    <w:rsid w:val="00C53B3D"/>
    <w:rsid w:val="00C60D1F"/>
    <w:rsid w:val="00C611C2"/>
    <w:rsid w:val="00C637A3"/>
    <w:rsid w:val="00C70172"/>
    <w:rsid w:val="00C80130"/>
    <w:rsid w:val="00C8050F"/>
    <w:rsid w:val="00C80C5F"/>
    <w:rsid w:val="00C81619"/>
    <w:rsid w:val="00C82CE0"/>
    <w:rsid w:val="00C84CA3"/>
    <w:rsid w:val="00C94FB0"/>
    <w:rsid w:val="00C95ACB"/>
    <w:rsid w:val="00CA20F7"/>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41FB"/>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348"/>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D2685"/>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1D77"/>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98C501E"/>
    <w:rsid w:val="0A412F0D"/>
    <w:rsid w:val="0B1B470A"/>
    <w:rsid w:val="0C8D0B1C"/>
    <w:rsid w:val="0DB2633E"/>
    <w:rsid w:val="0E170F1D"/>
    <w:rsid w:val="1096558D"/>
    <w:rsid w:val="167C7678"/>
    <w:rsid w:val="16CE0DE2"/>
    <w:rsid w:val="180C163C"/>
    <w:rsid w:val="18C232E9"/>
    <w:rsid w:val="191D7AD3"/>
    <w:rsid w:val="1F446F4C"/>
    <w:rsid w:val="22E13702"/>
    <w:rsid w:val="29175E93"/>
    <w:rsid w:val="29C651C2"/>
    <w:rsid w:val="2BD831ED"/>
    <w:rsid w:val="30ED3773"/>
    <w:rsid w:val="30F454E0"/>
    <w:rsid w:val="32082D80"/>
    <w:rsid w:val="358623DF"/>
    <w:rsid w:val="3A7D7082"/>
    <w:rsid w:val="3B0418F4"/>
    <w:rsid w:val="3C800FC9"/>
    <w:rsid w:val="3E842D9E"/>
    <w:rsid w:val="3F0F11D1"/>
    <w:rsid w:val="41E83D03"/>
    <w:rsid w:val="42497455"/>
    <w:rsid w:val="43B31F7B"/>
    <w:rsid w:val="44082729"/>
    <w:rsid w:val="469902C4"/>
    <w:rsid w:val="4BF27BEA"/>
    <w:rsid w:val="4E0C62F3"/>
    <w:rsid w:val="531410DD"/>
    <w:rsid w:val="5398783B"/>
    <w:rsid w:val="553E2EC3"/>
    <w:rsid w:val="56666A83"/>
    <w:rsid w:val="59575F32"/>
    <w:rsid w:val="59A565CA"/>
    <w:rsid w:val="59C72F60"/>
    <w:rsid w:val="59F903C5"/>
    <w:rsid w:val="5B0A7487"/>
    <w:rsid w:val="5CA2370E"/>
    <w:rsid w:val="62472877"/>
    <w:rsid w:val="650B258F"/>
    <w:rsid w:val="65B03214"/>
    <w:rsid w:val="6959727F"/>
    <w:rsid w:val="6C8C05FD"/>
    <w:rsid w:val="6FA636AF"/>
    <w:rsid w:val="711D51DE"/>
    <w:rsid w:val="72AF7128"/>
    <w:rsid w:val="775B5A8B"/>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1545</Words>
  <Characters>8809</Characters>
  <Lines>73</Lines>
  <Paragraphs>20</Paragraphs>
  <TotalTime>0</TotalTime>
  <ScaleCrop>false</ScaleCrop>
  <LinksUpToDate>false</LinksUpToDate>
  <CharactersWithSpaces>10334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2020-11-19T05:09:00Z</dcterms:created>
  <dc:creator>微软用户</dc:creator>
  <cp:lastModifiedBy>Administrator</cp:lastModifiedBy>
  <cp:lastPrinted>2019-03-28T00:30:00Z</cp:lastPrinted>
  <dcterms:modified xsi:type="dcterms:W3CDTF">2021-02-18T14:09:11Z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