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3"/>
        <w:keepNext w:val="0"/>
        <w:keepLines w:val="0"/>
        <w:widowControl/>
        <w:spacing w:before="0" w:after="0" w:line="360" w:lineRule="auto"/>
        <w:ind w:firstLine="560" w:firstLineChars="200"/>
        <w:rPr>
          <w:b w:val="0"/>
          <w:bCs w:val="0"/>
          <w:kern w:val="2"/>
          <w:sz w:val="24"/>
          <w:szCs w:val="24"/>
        </w:rPr>
      </w:pPr>
      <w:r>
        <w:rPr>
          <w:rFonts w:hint="eastAsia"/>
          <w:b w:val="0"/>
          <w:bCs w:val="0"/>
          <w:kern w:val="2"/>
          <w:sz w:val="28"/>
          <w:szCs w:val="28"/>
        </w:rPr>
        <w:t>项目名称：</w:t>
      </w:r>
      <w:bookmarkStart w:id="0" w:name="_Hlk181174043"/>
      <w:r>
        <w:rPr>
          <w:rFonts w:hint="eastAsia"/>
          <w:b w:val="0"/>
          <w:bCs w:val="0"/>
          <w:kern w:val="2"/>
          <w:sz w:val="28"/>
          <w:szCs w:val="28"/>
        </w:rPr>
        <w:t>经济管理学院电商直播实训室建设项目</w:t>
      </w:r>
    </w:p>
    <w:bookmarkEnd w:id="0"/>
    <w:p>
      <w:pPr>
        <w:ind w:firstLine="560" w:firstLineChars="200"/>
        <w:jc w:val="left"/>
        <w:rPr>
          <w:rFonts w:hint="eastAsia" w:eastAsia="宋体"/>
          <w:sz w:val="28"/>
          <w:szCs w:val="28"/>
          <w:lang w:eastAsia="zh-CN"/>
        </w:rPr>
      </w:pPr>
      <w:r>
        <w:rPr>
          <w:rFonts w:hint="eastAsia"/>
          <w:sz w:val="28"/>
          <w:szCs w:val="28"/>
        </w:rPr>
        <w:t>项目编号：LZXJ--202</w:t>
      </w:r>
      <w:r>
        <w:rPr>
          <w:sz w:val="28"/>
          <w:szCs w:val="28"/>
        </w:rPr>
        <w:t>4</w:t>
      </w:r>
      <w:r>
        <w:rPr>
          <w:rFonts w:hint="eastAsia"/>
          <w:sz w:val="28"/>
          <w:szCs w:val="28"/>
        </w:rPr>
        <w:t>0</w:t>
      </w:r>
      <w:r>
        <w:rPr>
          <w:sz w:val="28"/>
          <w:szCs w:val="28"/>
        </w:rPr>
        <w:t>0</w:t>
      </w:r>
      <w:r>
        <w:rPr>
          <w:rFonts w:hint="eastAsia"/>
          <w:sz w:val="28"/>
          <w:szCs w:val="28"/>
          <w:lang w:val="en-US" w:eastAsia="zh-CN"/>
        </w:rPr>
        <w:t>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sz w:val="28"/>
          <w:szCs w:val="28"/>
        </w:rPr>
        <w:t>4</w:t>
      </w:r>
      <w:r>
        <w:rPr>
          <w:rFonts w:hint="eastAsia"/>
          <w:sz w:val="28"/>
          <w:szCs w:val="28"/>
        </w:rPr>
        <w:t>年</w:t>
      </w:r>
      <w:r>
        <w:rPr>
          <w:sz w:val="28"/>
          <w:szCs w:val="28"/>
        </w:rPr>
        <w:t>11</w:t>
      </w:r>
      <w:r>
        <w:rPr>
          <w:rFonts w:hint="eastAsia"/>
          <w:sz w:val="28"/>
          <w:szCs w:val="28"/>
        </w:rPr>
        <w:t>月</w:t>
      </w:r>
      <w:r>
        <w:rPr>
          <w:sz w:val="28"/>
          <w:szCs w:val="28"/>
        </w:rPr>
        <w:t>1</w:t>
      </w:r>
      <w:r>
        <w:rPr>
          <w:rFonts w:hint="eastAsia"/>
          <w:sz w:val="28"/>
          <w:szCs w:val="28"/>
          <w:lang w:val="en-US" w:eastAsia="zh-CN"/>
        </w:rPr>
        <w:t>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ascii="宋体" w:hAnsi="宋体"/>
          <w:sz w:val="28"/>
          <w:szCs w:val="28"/>
        </w:rPr>
        <w:t>4</w:t>
      </w:r>
      <w:r>
        <w:rPr>
          <w:rFonts w:hint="eastAsia" w:ascii="宋体" w:hAnsi="宋体"/>
          <w:sz w:val="28"/>
          <w:szCs w:val="28"/>
        </w:rPr>
        <w:t xml:space="preserve">年 </w:t>
      </w:r>
      <w:r>
        <w:rPr>
          <w:rFonts w:ascii="宋体" w:hAnsi="宋体"/>
          <w:sz w:val="28"/>
          <w:szCs w:val="28"/>
        </w:rPr>
        <w:t>11</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pStyle w:val="5"/>
        <w:keepNext w:val="0"/>
        <w:keepLines w:val="0"/>
        <w:widowControl/>
        <w:spacing w:before="0" w:after="0" w:line="525" w:lineRule="atLeast"/>
        <w:ind w:firstLine="480" w:firstLineChars="200"/>
        <w:rPr>
          <w:b w:val="0"/>
          <w:bCs w:val="0"/>
          <w:sz w:val="24"/>
          <w:szCs w:val="24"/>
        </w:rPr>
      </w:pPr>
      <w:r>
        <w:rPr>
          <w:rFonts w:hint="eastAsia"/>
          <w:b w:val="0"/>
          <w:bCs w:val="0"/>
          <w:sz w:val="24"/>
          <w:szCs w:val="24"/>
        </w:rPr>
        <w:t>根据兰州职业技术学院</w:t>
      </w:r>
      <w:r>
        <w:rPr>
          <w:rFonts w:hint="eastAsia"/>
          <w:b w:val="0"/>
          <w:bCs w:val="0"/>
          <w:sz w:val="24"/>
          <w:szCs w:val="24"/>
          <w:lang w:val="en-US" w:eastAsia="zh-CN"/>
        </w:rPr>
        <w:t>经济管理学院</w:t>
      </w:r>
      <w:r>
        <w:rPr>
          <w:rFonts w:hint="eastAsia"/>
          <w:b w:val="0"/>
          <w:bCs w:val="0"/>
          <w:sz w:val="24"/>
          <w:szCs w:val="24"/>
        </w:rPr>
        <w:t>教学需要，现拟对2024年兰州职业技术学院经济管理学院电商直播实训室建设项目进行（二次）询价采购。欢迎满足资格要求的供应商前来参加，具体事宜公告如下：</w:t>
      </w:r>
    </w:p>
    <w:p>
      <w:pPr>
        <w:spacing w:line="360" w:lineRule="auto"/>
        <w:rPr>
          <w:rFonts w:hint="eastAsia" w:ascii="宋体" w:hAnsi="宋体" w:eastAsia="宋体"/>
          <w:sz w:val="24"/>
          <w:lang w:eastAsia="zh-CN"/>
        </w:rPr>
      </w:pPr>
      <w:r>
        <w:rPr>
          <w:rFonts w:hint="eastAsia" w:ascii="宋体" w:hAnsi="宋体"/>
          <w:sz w:val="24"/>
        </w:rPr>
        <w:t>一、采购项目编号：LZXJ--202</w:t>
      </w:r>
      <w:r>
        <w:rPr>
          <w:rFonts w:ascii="宋体" w:hAnsi="宋体"/>
          <w:sz w:val="24"/>
        </w:rPr>
        <w:t>400</w:t>
      </w:r>
      <w:r>
        <w:rPr>
          <w:rFonts w:hint="eastAsia" w:ascii="宋体" w:hAnsi="宋体"/>
          <w:sz w:val="24"/>
          <w:lang w:val="en-US" w:eastAsia="zh-CN"/>
        </w:rPr>
        <w:t>8</w:t>
      </w:r>
    </w:p>
    <w:p>
      <w:pPr>
        <w:spacing w:line="360" w:lineRule="auto"/>
        <w:rPr>
          <w:sz w:val="24"/>
        </w:rPr>
      </w:pPr>
      <w:r>
        <w:rPr>
          <w:rFonts w:hint="eastAsia" w:ascii="宋体" w:hAnsi="宋体"/>
          <w:sz w:val="24"/>
        </w:rPr>
        <w:t>二、采购项目名称：</w:t>
      </w:r>
      <w:r>
        <w:rPr>
          <w:rFonts w:hint="eastAsia"/>
          <w:sz w:val="24"/>
        </w:rPr>
        <w:t>经济管理学院电商直播实训室建设项目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1、采购内容：</w:t>
      </w:r>
      <w:r>
        <w:rPr>
          <w:rFonts w:hint="eastAsia"/>
          <w:sz w:val="24"/>
        </w:rPr>
        <w:t>经济管理学院电商直播实训室建设</w:t>
      </w:r>
    </w:p>
    <w:p>
      <w:pPr>
        <w:spacing w:line="360" w:lineRule="auto"/>
        <w:ind w:firstLine="240" w:firstLineChars="100"/>
        <w:rPr>
          <w:rFonts w:ascii="宋体" w:hAnsi="宋体"/>
          <w:sz w:val="24"/>
        </w:rPr>
      </w:pPr>
      <w:r>
        <w:rPr>
          <w:rFonts w:hint="eastAsia" w:ascii="宋体" w:hAnsi="宋体"/>
          <w:sz w:val="24"/>
        </w:rPr>
        <w:t>2、预算金额：</w:t>
      </w:r>
      <w:r>
        <w:rPr>
          <w:rFonts w:hint="eastAsia" w:ascii="宋体" w:hAnsi="宋体"/>
          <w:sz w:val="24"/>
          <w:lang w:val="en-US" w:eastAsia="zh-CN"/>
        </w:rPr>
        <w:t>7.53</w:t>
      </w:r>
      <w:r>
        <w:rPr>
          <w:rFonts w:hint="eastAsia" w:ascii="宋体" w:hAnsi="宋体"/>
          <w:sz w:val="24"/>
        </w:rPr>
        <w:t>万元</w:t>
      </w:r>
    </w:p>
    <w:p>
      <w:pPr>
        <w:spacing w:line="360" w:lineRule="auto"/>
        <w:rPr>
          <w:rFonts w:ascii="宋体" w:hAnsi="宋体"/>
          <w:sz w:val="24"/>
        </w:rPr>
      </w:pPr>
      <w:r>
        <w:rPr>
          <w:rFonts w:hint="eastAsia" w:ascii="宋体" w:hAnsi="宋体"/>
          <w:sz w:val="24"/>
        </w:rPr>
        <w:t>五、资质要求（商务部分）：</w:t>
      </w:r>
    </w:p>
    <w:p>
      <w:pPr>
        <w:spacing w:line="360" w:lineRule="auto"/>
        <w:ind w:firstLine="480" w:firstLineChars="200"/>
        <w:rPr>
          <w:rFonts w:ascii="宋体" w:hAnsi="宋体"/>
          <w:sz w:val="24"/>
        </w:rPr>
      </w:pPr>
      <w:r>
        <w:rPr>
          <w:rFonts w:hint="eastAsia" w:ascii="宋体" w:hAnsi="宋体"/>
          <w:sz w:val="24"/>
        </w:rPr>
        <w:t>1.供应商必须符合《中华人民共和国政府采购法》第二十二条要求；</w:t>
      </w:r>
    </w:p>
    <w:p>
      <w:pPr>
        <w:spacing w:line="360" w:lineRule="auto"/>
        <w:ind w:firstLine="480" w:firstLineChars="200"/>
        <w:rPr>
          <w:rFonts w:ascii="宋体" w:hAnsi="宋体"/>
          <w:sz w:val="24"/>
        </w:rPr>
      </w:pPr>
      <w:r>
        <w:rPr>
          <w:rFonts w:hint="eastAsia" w:ascii="宋体" w:hAnsi="宋体"/>
          <w:sz w:val="24"/>
        </w:rPr>
        <w:t>2.供应商应是在中华人民共和国境内注册取得营业执照的独立法人或其他组织，具有相应经营范围；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rPr>
        <w:t>6.资格承诺函</w:t>
      </w:r>
    </w:p>
    <w:p>
      <w:pPr>
        <w:spacing w:line="360" w:lineRule="auto"/>
        <w:ind w:firstLine="480" w:firstLineChars="200"/>
        <w:rPr>
          <w:rFonts w:ascii="宋体" w:hAnsi="宋体"/>
          <w:sz w:val="24"/>
        </w:rPr>
      </w:pPr>
      <w:r>
        <w:rPr>
          <w:rFonts w:hint="eastAsia" w:ascii="宋体" w:hAnsi="宋体"/>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pStyle w:val="2"/>
        <w:ind w:firstLine="240" w:firstLineChars="100"/>
      </w:pPr>
      <w:r>
        <w:rPr>
          <w:rFonts w:hint="eastAsia" w:ascii="宋体" w:hAnsi="宋体"/>
          <w:sz w:val="24"/>
        </w:rPr>
        <w:t>8.本项目报价须为3项分项报价，报价不得高于预算价，否则将视为无效投标。</w:t>
      </w:r>
    </w:p>
    <w:p>
      <w:pPr>
        <w:spacing w:line="360" w:lineRule="auto"/>
        <w:ind w:firstLine="480" w:firstLineChars="200"/>
        <w:rPr>
          <w:rFonts w:ascii="宋体" w:hAnsi="宋体"/>
          <w:sz w:val="24"/>
        </w:rPr>
      </w:pPr>
      <w:r>
        <w:rPr>
          <w:rFonts w:hint="eastAsia" w:ascii="宋体" w:hAnsi="宋体"/>
          <w:sz w:val="24"/>
        </w:rPr>
        <w:t>9.本项目不接受联合体竞价。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ascii="宋体" w:hAnsi="宋体"/>
          <w:sz w:val="24"/>
        </w:rPr>
        <w:t>4</w:t>
      </w:r>
      <w:r>
        <w:rPr>
          <w:rFonts w:hint="eastAsia" w:ascii="宋体" w:hAnsi="宋体"/>
          <w:sz w:val="24"/>
        </w:rPr>
        <w:t>年</w:t>
      </w:r>
      <w:r>
        <w:rPr>
          <w:rFonts w:ascii="宋体" w:hAnsi="宋体"/>
          <w:sz w:val="24"/>
        </w:rPr>
        <w:t>11</w:t>
      </w:r>
      <w:r>
        <w:rPr>
          <w:rFonts w:hint="eastAsia" w:ascii="宋体" w:hAnsi="宋体"/>
          <w:sz w:val="24"/>
        </w:rPr>
        <w:t>月</w:t>
      </w:r>
      <w:r>
        <w:rPr>
          <w:rFonts w:hint="eastAsia" w:ascii="宋体" w:hAnsi="宋体"/>
          <w:sz w:val="24"/>
          <w:lang w:val="en-US" w:eastAsia="zh-CN"/>
        </w:rPr>
        <w:t>21</w:t>
      </w:r>
      <w:r>
        <w:rPr>
          <w:rFonts w:hint="eastAsia" w:ascii="宋体" w:hAnsi="宋体"/>
          <w:sz w:val="24"/>
        </w:rPr>
        <w:t>日10</w:t>
      </w:r>
      <w:r>
        <w:rPr>
          <w:rFonts w:ascii="宋体" w:hAnsi="宋体"/>
          <w:sz w:val="24"/>
        </w:rPr>
        <w:t>:30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ascii="宋体" w:hAnsi="宋体"/>
          <w:sz w:val="24"/>
        </w:rPr>
        <w:t>4年11月1</w:t>
      </w:r>
      <w:r>
        <w:rPr>
          <w:rFonts w:hint="eastAsia" w:ascii="宋体" w:hAnsi="宋体"/>
          <w:sz w:val="24"/>
          <w:lang w:val="en-US" w:eastAsia="zh-CN"/>
        </w:rPr>
        <w:t>3</w:t>
      </w:r>
      <w:r>
        <w:rPr>
          <w:rFonts w:ascii="宋体" w:hAnsi="宋体"/>
          <w:sz w:val="24"/>
        </w:rPr>
        <w:t>日</w:t>
      </w:r>
    </w:p>
    <w:p>
      <w:pPr>
        <w:pStyle w:val="3"/>
        <w:spacing w:before="0"/>
        <w:jc w:val="center"/>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
      <w:pPr>
        <w:pStyle w:val="2"/>
      </w:pPr>
    </w:p>
    <w:p/>
    <w:p>
      <w:pPr>
        <w:pStyle w:val="2"/>
      </w:pPr>
    </w:p>
    <w:p/>
    <w:p>
      <w:pPr>
        <w:pStyle w:val="2"/>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 xml:space="preserve">第二章 </w:t>
      </w:r>
      <w:bookmarkStart w:id="1" w:name="_Toc229456846"/>
      <w:r>
        <w:rPr>
          <w:rFonts w:hint="eastAsia" w:ascii="宋体" w:hAnsi="宋体"/>
        </w:rPr>
        <w:t>采购内容及技术要求</w:t>
      </w:r>
    </w:p>
    <w:bookmarkEnd w:id="1"/>
    <w:p>
      <w:pPr>
        <w:numPr>
          <w:ilvl w:val="0"/>
          <w:numId w:val="1"/>
        </w:numPr>
        <w:spacing w:line="360" w:lineRule="auto"/>
        <w:jc w:val="left"/>
        <w:rPr>
          <w:rFonts w:ascii="宋体" w:hAnsi="宋体"/>
          <w:b/>
          <w:sz w:val="24"/>
        </w:rPr>
      </w:pPr>
      <w:bookmarkStart w:id="2" w:name="_Toc175733110"/>
      <w:r>
        <w:rPr>
          <w:rFonts w:hint="eastAsia" w:ascii="宋体" w:hAnsi="宋体"/>
          <w:b/>
          <w:sz w:val="24"/>
        </w:rPr>
        <w:t>采购内容及要求</w:t>
      </w:r>
    </w:p>
    <w:tbl>
      <w:tblPr>
        <w:tblW w:w="179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50"/>
        <w:gridCol w:w="1137"/>
        <w:gridCol w:w="6855"/>
        <w:gridCol w:w="1140"/>
        <w:gridCol w:w="1035"/>
        <w:gridCol w:w="1035"/>
        <w:gridCol w:w="1290"/>
        <w:gridCol w:w="46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750" w:type="dxa"/>
            <w:tcBorders>
              <w:top w:val="single" w:color="000000" w:sz="4" w:space="0"/>
              <w:left w:val="single" w:color="000000" w:sz="4" w:space="0"/>
              <w:bottom w:val="single" w:color="000000" w:sz="4" w:space="0"/>
              <w:right w:val="single" w:color="000000" w:sz="4" w:space="0"/>
            </w:tcBorders>
            <w:shd w:val="clear" w:color="auto" w:fill="DEEAF6"/>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序号</w:t>
            </w:r>
          </w:p>
        </w:tc>
        <w:tc>
          <w:tcPr>
            <w:tcW w:w="1137" w:type="dxa"/>
            <w:tcBorders>
              <w:top w:val="single" w:color="000000" w:sz="4" w:space="0"/>
              <w:left w:val="single" w:color="000000" w:sz="4" w:space="0"/>
              <w:bottom w:val="single" w:color="000000" w:sz="4" w:space="0"/>
              <w:right w:val="single" w:color="000000" w:sz="4" w:space="0"/>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设备名称</w:t>
            </w:r>
          </w:p>
        </w:tc>
        <w:tc>
          <w:tcPr>
            <w:tcW w:w="6855" w:type="dxa"/>
            <w:tcBorders>
              <w:top w:val="single" w:color="000000" w:sz="4" w:space="0"/>
              <w:left w:val="single" w:color="000000" w:sz="4" w:space="0"/>
              <w:bottom w:val="single" w:color="000000" w:sz="4" w:space="0"/>
              <w:right w:val="single" w:color="000000" w:sz="4" w:space="0"/>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主要功能/技术参数</w:t>
            </w:r>
          </w:p>
        </w:tc>
        <w:tc>
          <w:tcPr>
            <w:tcW w:w="1140" w:type="dxa"/>
            <w:tcBorders>
              <w:top w:val="single" w:color="000000" w:sz="4" w:space="0"/>
              <w:left w:val="single" w:color="000000" w:sz="4" w:space="0"/>
              <w:bottom w:val="single" w:color="000000" w:sz="4" w:space="0"/>
              <w:right w:val="single" w:color="000000" w:sz="4" w:space="0"/>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数量</w:t>
            </w:r>
          </w:p>
        </w:tc>
        <w:tc>
          <w:tcPr>
            <w:tcW w:w="1035" w:type="dxa"/>
            <w:tcBorders>
              <w:top w:val="single" w:color="000000" w:sz="4" w:space="0"/>
              <w:left w:val="single" w:color="000000" w:sz="4" w:space="0"/>
              <w:bottom w:val="nil"/>
              <w:right w:val="single" w:color="000000" w:sz="4" w:space="0"/>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品牌</w:t>
            </w:r>
          </w:p>
        </w:tc>
        <w:tc>
          <w:tcPr>
            <w:tcW w:w="1290" w:type="dxa"/>
            <w:tcBorders>
              <w:top w:val="single" w:color="000000" w:sz="4" w:space="0"/>
              <w:left w:val="single" w:color="000000" w:sz="4" w:space="0"/>
              <w:bottom w:val="nil"/>
              <w:right w:val="nil"/>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型号</w:t>
            </w:r>
          </w:p>
        </w:tc>
        <w:tc>
          <w:tcPr>
            <w:tcW w:w="4668" w:type="dxa"/>
            <w:tcBorders>
              <w:top w:val="single" w:color="000000" w:sz="4" w:space="0"/>
              <w:left w:val="single" w:color="000000" w:sz="4" w:space="0"/>
              <w:bottom w:val="nil"/>
              <w:right w:val="nil"/>
            </w:tcBorders>
            <w:shd w:val="clear" w:color="auto" w:fill="DEEAF6"/>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bdr w:val="none" w:color="auto" w:sz="0" w:space="0"/>
                <w:lang w:val="en-US" w:eastAsia="zh-CN" w:bidi="ar"/>
              </w:rPr>
              <w:t>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11" w:hRule="atLeast"/>
        </w:trPr>
        <w:tc>
          <w:tcPr>
            <w:tcW w:w="7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便携式直播一体机</w:t>
            </w:r>
          </w:p>
        </w:tc>
        <w:tc>
          <w:tcPr>
            <w:tcW w:w="6855" w:type="dxa"/>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1.HDMI输入：≥1路，≥1080P 60fps；</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2.音频接口：3.5mm音频输入接口≥2,3.5mm音频输出接口≥1；</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3.USB HOST接口：USB 3.0≥2：支持USB摄像头/采集卡/支持鼠标/键盘；</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4.SIM卡槽：支持NanoSIM卡，4G无线通信，4G全网通；</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5.TYPEC接口：支持程序更新，三方设备供电，支持摄像头画面采集；</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6.CPU：≥高通骁龙8代8核处理器；</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7.屏幕：尺寸≥13.3吋，分辨率≥1920*1080，液晶电容触屏，色彩≥1650万，NTSC色域≥71%，亮度≥340nit；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8.存储：RAM≥4GB，ROM≥64GB；</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9.功耗：≤40W；</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10.WIFI：支持2.4G/5G双频段；</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11.以太网：支持百兆网口；</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12.内置麦克风：功率≥2W；</w:t>
            </w:r>
            <w:bookmarkStart w:id="14" w:name="_GoBack"/>
            <w:bookmarkEnd w:id="14"/>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13.内置扬声器：≥3路Mic阵列；</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14.集成式摄像头传感器：≥1/2.8英寸，≥800万像素；</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15.集成式摄像头画质输出：≥1080P 60FPS；</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16.集成式摄像头对焦方式：需支持TOF激光对焦；</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17.集成式摄像头视场角：≥77°；</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18.集成式摄像头变焦：≥8倍光学变焦，6倍数字变焦，可变焦距4.34~35.17mm；</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19.集成式摄像头可调角度：向下≥8°，向上≥20°；</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20.集成式摄像头可变光圈：f/1.85~2.63。</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21.带直播导播系统 直播伴侣APP</w:t>
            </w:r>
          </w:p>
        </w:tc>
        <w:tc>
          <w:tcPr>
            <w:tcW w:w="1140"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35" w:type="dxa"/>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云犀</w:t>
            </w:r>
          </w:p>
        </w:tc>
        <w:tc>
          <w:tcPr>
            <w:tcW w:w="1290" w:type="dxa"/>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云犀MIX Pro</w:t>
            </w:r>
          </w:p>
        </w:tc>
        <w:tc>
          <w:tcPr>
            <w:tcW w:w="4668"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550545</wp:posOffset>
                  </wp:positionV>
                  <wp:extent cx="2319020" cy="3595370"/>
                  <wp:effectExtent l="0" t="0" r="5080" b="5080"/>
                  <wp:wrapNone/>
                  <wp:docPr id="20" name="图片_8"/>
                  <wp:cNvGraphicFramePr/>
                  <a:graphic xmlns:a="http://schemas.openxmlformats.org/drawingml/2006/main">
                    <a:graphicData uri="http://schemas.openxmlformats.org/drawingml/2006/picture">
                      <pic:pic xmlns:pic="http://schemas.openxmlformats.org/drawingml/2006/picture">
                        <pic:nvPicPr>
                          <pic:cNvPr id="20" name="图片_8"/>
                          <pic:cNvPicPr/>
                        </pic:nvPicPr>
                        <pic:blipFill>
                          <a:blip r:embed="rId4"/>
                          <a:stretch>
                            <a:fillRect/>
                          </a:stretch>
                        </pic:blipFill>
                        <pic:spPr>
                          <a:xfrm>
                            <a:off x="0" y="0"/>
                            <a:ext cx="2319020" cy="359537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直播一体机</w:t>
            </w:r>
          </w:p>
        </w:tc>
        <w:tc>
          <w:tcPr>
            <w:tcW w:w="68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直播一体机：  1、内置导播台、编码器、音控台、电脑、提词器等； 2、屏幕尺寸不低于43英寸； 3、不低于高通八核64位核心处理器；不低于内置高通Adreno 512GPU； 4、分辨率：1920*1080；1003.6*591*19mm 5、操作系统不低于Android 10.0； 6、不低于8GB RAM和64GB ROM存储容量； 7、支持4G全网通\WiFi\以太网；电源接口AC220V； 带轮支架设备； 8、支持有源麦克风输入； 支持无源麦克风输入； 9、支持音频降噪； 支持2个USB3.0接口； 支持NanoSIM卡；10、支持绿幕安全区功能。11、2个HDMI IN 支持1080p60fps音视频输入。</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监听耳机：1、传输距离：无障碍传输距离约10米.2、续 航：约8小时。传输技术：5.8G音 频：HiFi级音质；充 电：Type-C充电；无线监听耳机电池容量：630mAh；无线发射机电池容量：1250mAh；</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一拖二无线麦克：指向类型:全指向性；频率范围:2.4G；频响范围:20Hz-20KHz；传输距离:20-30米；信噪比:&gt;90DB；电池容量:TX:400毫安；RX:300毫安；充电接口:Type-c充电接口；额定输入:DC5V；充电时间:约1小时；工作时长:5-6小时；外形尺寸(主机):46x42x13mm</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w:t>
            </w:r>
          </w:p>
        </w:tc>
        <w:tc>
          <w:tcPr>
            <w:tcW w:w="1140"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rFonts w:hint="eastAsia" w:ascii="微软雅黑" w:hAnsi="微软雅黑" w:eastAsia="微软雅黑" w:cs="微软雅黑"/>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云犀</w:t>
            </w:r>
          </w:p>
        </w:tc>
        <w:tc>
          <w:tcPr>
            <w:tcW w:w="1290" w:type="dxa"/>
            <w:tcBorders>
              <w:top w:val="single" w:color="000000" w:sz="4" w:space="0"/>
              <w:left w:val="single" w:color="000000" w:sz="4" w:space="0"/>
              <w:bottom w:val="single" w:color="000000" w:sz="4" w:space="0"/>
              <w:right w:val="nil"/>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云犀MAX PRO</w:t>
            </w:r>
          </w:p>
        </w:tc>
        <w:tc>
          <w:tcPr>
            <w:tcW w:w="4668"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9525</wp:posOffset>
                  </wp:positionV>
                  <wp:extent cx="1189355" cy="1115695"/>
                  <wp:effectExtent l="0" t="0" r="10795" b="8255"/>
                  <wp:wrapNone/>
                  <wp:docPr id="21" name="图片_10"/>
                  <wp:cNvGraphicFramePr/>
                  <a:graphic xmlns:a="http://schemas.openxmlformats.org/drawingml/2006/main">
                    <a:graphicData uri="http://schemas.openxmlformats.org/drawingml/2006/picture">
                      <pic:pic xmlns:pic="http://schemas.openxmlformats.org/drawingml/2006/picture">
                        <pic:nvPicPr>
                          <pic:cNvPr id="21" name="图片_10"/>
                          <pic:cNvPicPr/>
                        </pic:nvPicPr>
                        <pic:blipFill>
                          <a:blip r:embed="rId5"/>
                          <a:stretch>
                            <a:fillRect/>
                          </a:stretch>
                        </pic:blipFill>
                        <pic:spPr>
                          <a:xfrm>
                            <a:off x="0" y="0"/>
                            <a:ext cx="1189355" cy="1115695"/>
                          </a:xfrm>
                          <a:prstGeom prst="rect">
                            <a:avLst/>
                          </a:prstGeom>
                          <a:noFill/>
                          <a:ln>
                            <a:noFill/>
                          </a:ln>
                        </pic:spPr>
                      </pic:pic>
                    </a:graphicData>
                  </a:graphic>
                </wp:anchor>
              </w:drawing>
            </w: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1151255</wp:posOffset>
                  </wp:positionV>
                  <wp:extent cx="1144270" cy="1294765"/>
                  <wp:effectExtent l="0" t="0" r="17780" b="635"/>
                  <wp:wrapNone/>
                  <wp:docPr id="22" name="图片_12"/>
                  <wp:cNvGraphicFramePr/>
                  <a:graphic xmlns:a="http://schemas.openxmlformats.org/drawingml/2006/main">
                    <a:graphicData uri="http://schemas.openxmlformats.org/drawingml/2006/picture">
                      <pic:pic xmlns:pic="http://schemas.openxmlformats.org/drawingml/2006/picture">
                        <pic:nvPicPr>
                          <pic:cNvPr id="22" name="图片_12"/>
                          <pic:cNvPicPr/>
                        </pic:nvPicPr>
                        <pic:blipFill>
                          <a:blip r:embed="rId6"/>
                          <a:stretch>
                            <a:fillRect/>
                          </a:stretch>
                        </pic:blipFill>
                        <pic:spPr>
                          <a:xfrm>
                            <a:off x="0" y="0"/>
                            <a:ext cx="1144270" cy="1294765"/>
                          </a:xfrm>
                          <a:prstGeom prst="rect">
                            <a:avLst/>
                          </a:prstGeom>
                          <a:noFill/>
                          <a:ln>
                            <a:noFill/>
                          </a:ln>
                        </pic:spPr>
                      </pic:pic>
                    </a:graphicData>
                  </a:graphic>
                </wp:anchor>
              </w:drawing>
            </w: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1238885</wp:posOffset>
                  </wp:positionH>
                  <wp:positionV relativeFrom="paragraph">
                    <wp:posOffset>1141095</wp:posOffset>
                  </wp:positionV>
                  <wp:extent cx="1246505" cy="1292225"/>
                  <wp:effectExtent l="0" t="0" r="10795" b="3175"/>
                  <wp:wrapNone/>
                  <wp:docPr id="23" name="图片_5"/>
                  <wp:cNvGraphicFramePr/>
                  <a:graphic xmlns:a="http://schemas.openxmlformats.org/drawingml/2006/main">
                    <a:graphicData uri="http://schemas.openxmlformats.org/drawingml/2006/picture">
                      <pic:pic xmlns:pic="http://schemas.openxmlformats.org/drawingml/2006/picture">
                        <pic:nvPicPr>
                          <pic:cNvPr id="23" name="图片_5"/>
                          <pic:cNvPicPr/>
                        </pic:nvPicPr>
                        <pic:blipFill>
                          <a:blip r:embed="rId7"/>
                          <a:stretch>
                            <a:fillRect/>
                          </a:stretch>
                        </pic:blipFill>
                        <pic:spPr>
                          <a:xfrm>
                            <a:off x="0" y="0"/>
                            <a:ext cx="1246505" cy="1292225"/>
                          </a:xfrm>
                          <a:prstGeom prst="rect">
                            <a:avLst/>
                          </a:prstGeom>
                          <a:noFill/>
                          <a:ln>
                            <a:noFill/>
                          </a:ln>
                        </pic:spPr>
                      </pic:pic>
                    </a:graphicData>
                  </a:graphic>
                </wp:anchor>
              </w:drawing>
            </w: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1248410</wp:posOffset>
                  </wp:positionH>
                  <wp:positionV relativeFrom="paragraph">
                    <wp:posOffset>19050</wp:posOffset>
                  </wp:positionV>
                  <wp:extent cx="1244600" cy="1111885"/>
                  <wp:effectExtent l="0" t="0" r="12700" b="12065"/>
                  <wp:wrapNone/>
                  <wp:docPr id="24" name="图片_1"/>
                  <wp:cNvGraphicFramePr/>
                  <a:graphic xmlns:a="http://schemas.openxmlformats.org/drawingml/2006/main">
                    <a:graphicData uri="http://schemas.openxmlformats.org/drawingml/2006/picture">
                      <pic:pic xmlns:pic="http://schemas.openxmlformats.org/drawingml/2006/picture">
                        <pic:nvPicPr>
                          <pic:cNvPr id="24" name="图片_1"/>
                          <pic:cNvPicPr/>
                        </pic:nvPicPr>
                        <pic:blipFill>
                          <a:blip r:embed="rId8"/>
                          <a:stretch>
                            <a:fillRect/>
                          </a:stretch>
                        </pic:blipFill>
                        <pic:spPr>
                          <a:xfrm>
                            <a:off x="0" y="0"/>
                            <a:ext cx="1244600" cy="111188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25" w:hRule="atLeast"/>
        </w:trPr>
        <w:tc>
          <w:tcPr>
            <w:tcW w:w="7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3</w:t>
            </w:r>
          </w:p>
        </w:tc>
        <w:tc>
          <w:tcPr>
            <w:tcW w:w="1137"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直播摄像头</w:t>
            </w:r>
          </w:p>
        </w:tc>
        <w:tc>
          <w:tcPr>
            <w:tcW w:w="68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 1080P/60视频分辨率；</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2. 数字变焦支持16x； </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4. 最低照度支持0.5Lux@(F1.8, AGC ON)； 白平衡支持自动、室内、室外、一键式、手动、指定色温模式； </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3. 支持背光补偿； 支持2D\3D数字降噪； 传感器：1/2.8英寸,CMOS,有效像素:207万；扫描方式：逐行；镜头：12x,f=3.5mm~42.3mm,F1.8~F2.8；最低照度：0.5 Lux @ (F1.8, AGC ON)；快门：1/30s~1/10000s；水平转动范围：±170°；垂直转动范围：-25°~+30°；水平转动速度范围：1.61°~75.56°/s；垂直转动速度范围：0.44°~15°/s；水平/垂直翻转：支持；图像冻结：支持；预置位数量：255；预置位精度：0.1°；麦克风拾音距离：6米；</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4. 配直播三脚架、高清视屏线</w:t>
            </w:r>
          </w:p>
        </w:tc>
        <w:tc>
          <w:tcPr>
            <w:tcW w:w="1140"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DDEBF7"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8"/>
                <w:szCs w:val="28"/>
                <w:u w:val="none"/>
              </w:rPr>
            </w:pPr>
            <w:r>
              <w:rPr>
                <w:rFonts w:hint="eastAsia" w:ascii="微软雅黑" w:hAnsi="微软雅黑" w:eastAsia="微软雅黑" w:cs="微软雅黑"/>
                <w:i w:val="0"/>
                <w:iCs w:val="0"/>
                <w:color w:val="000000"/>
                <w:kern w:val="0"/>
                <w:sz w:val="28"/>
                <w:szCs w:val="28"/>
                <w:u w:val="none"/>
                <w:bdr w:val="none" w:color="auto" w:sz="0" w:space="0"/>
                <w:lang w:val="en-US" w:eastAsia="zh-CN" w:bidi="ar"/>
              </w:rPr>
              <w:t>云犀</w:t>
            </w:r>
          </w:p>
        </w:tc>
        <w:tc>
          <w:tcPr>
            <w:tcW w:w="1290" w:type="dxa"/>
            <w:tcBorders>
              <w:top w:val="single" w:color="000000" w:sz="4" w:space="0"/>
              <w:left w:val="single" w:color="000000" w:sz="4" w:space="0"/>
              <w:bottom w:val="single" w:color="000000" w:sz="4" w:space="0"/>
              <w:right w:val="nil"/>
            </w:tcBorders>
            <w:shd w:val="clear" w:color="DDEBF7"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8"/>
                <w:szCs w:val="28"/>
                <w:u w:val="none"/>
              </w:rPr>
            </w:pPr>
            <w:r>
              <w:rPr>
                <w:rFonts w:hint="eastAsia" w:ascii="微软雅黑" w:hAnsi="微软雅黑" w:eastAsia="微软雅黑" w:cs="微软雅黑"/>
                <w:i w:val="0"/>
                <w:iCs w:val="0"/>
                <w:color w:val="000000"/>
                <w:kern w:val="0"/>
                <w:sz w:val="28"/>
                <w:szCs w:val="28"/>
                <w:u w:val="none"/>
                <w:bdr w:val="none" w:color="auto" w:sz="0" w:space="0"/>
                <w:lang w:val="en-US" w:eastAsia="zh-CN" w:bidi="ar"/>
              </w:rPr>
              <w:t>云犀智瞳</w:t>
            </w:r>
          </w:p>
        </w:tc>
        <w:tc>
          <w:tcPr>
            <w:tcW w:w="4668"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37465</wp:posOffset>
                  </wp:positionH>
                  <wp:positionV relativeFrom="paragraph">
                    <wp:posOffset>161925</wp:posOffset>
                  </wp:positionV>
                  <wp:extent cx="2416810" cy="2657475"/>
                  <wp:effectExtent l="0" t="0" r="2540" b="9525"/>
                  <wp:wrapNone/>
                  <wp:docPr id="19" name="图片_2"/>
                  <wp:cNvGraphicFramePr/>
                  <a:graphic xmlns:a="http://schemas.openxmlformats.org/drawingml/2006/main">
                    <a:graphicData uri="http://schemas.openxmlformats.org/drawingml/2006/picture">
                      <pic:pic xmlns:pic="http://schemas.openxmlformats.org/drawingml/2006/picture">
                        <pic:nvPicPr>
                          <pic:cNvPr id="19" name="图片_2"/>
                          <pic:cNvPicPr/>
                        </pic:nvPicPr>
                        <pic:blipFill>
                          <a:blip r:embed="rId9"/>
                          <a:stretch>
                            <a:fillRect/>
                          </a:stretch>
                        </pic:blipFill>
                        <pic:spPr>
                          <a:xfrm>
                            <a:off x="0" y="0"/>
                            <a:ext cx="2416810" cy="265747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bdr w:val="none" w:color="auto" w:sz="0" w:space="0"/>
                <w:lang w:val="en-US" w:eastAsia="zh-CN" w:bidi="ar"/>
              </w:rPr>
              <w:t>直播绿幕</w:t>
            </w:r>
          </w:p>
        </w:tc>
        <w:tc>
          <w:tcPr>
            <w:tcW w:w="68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铝合金支架+背景布</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尺寸：3*3米</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支架尺寸：2.8*3米 伸缩</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产品密度：120克</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无反光。</w:t>
            </w:r>
          </w:p>
        </w:tc>
        <w:tc>
          <w:tcPr>
            <w:tcW w:w="1140"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nil"/>
              <w:left w:val="single" w:color="000000" w:sz="4" w:space="0"/>
              <w:bottom w:val="single" w:color="000000" w:sz="4" w:space="0"/>
              <w:right w:val="single" w:color="000000" w:sz="4" w:space="0"/>
            </w:tcBorders>
            <w:shd w:val="clear" w:color="auto" w:fill="D9D9D9"/>
            <w:vAlign w:val="center"/>
          </w:tcPr>
          <w:p>
            <w:pPr>
              <w:jc w:val="center"/>
              <w:rPr>
                <w:rFonts w:hint="eastAsia" w:ascii="微软雅黑" w:hAnsi="微软雅黑" w:eastAsia="微软雅黑" w:cs="微软雅黑"/>
                <w:i w:val="0"/>
                <w:iCs w:val="0"/>
                <w:color w:val="000000"/>
                <w:sz w:val="20"/>
                <w:szCs w:val="20"/>
                <w:u w:val="none"/>
              </w:rPr>
            </w:pPr>
          </w:p>
        </w:tc>
        <w:tc>
          <w:tcPr>
            <w:tcW w:w="1290" w:type="dxa"/>
            <w:tcBorders>
              <w:top w:val="nil"/>
              <w:left w:val="single" w:color="000000" w:sz="4" w:space="0"/>
              <w:bottom w:val="single" w:color="000000" w:sz="4" w:space="0"/>
              <w:right w:val="nil"/>
            </w:tcBorders>
            <w:shd w:val="clear" w:color="auto" w:fill="D9D9D9"/>
            <w:vAlign w:val="center"/>
          </w:tcPr>
          <w:p>
            <w:pPr>
              <w:jc w:val="center"/>
              <w:rPr>
                <w:rFonts w:hint="eastAsia" w:ascii="微软雅黑" w:hAnsi="微软雅黑" w:eastAsia="微软雅黑" w:cs="微软雅黑"/>
                <w:i w:val="0"/>
                <w:iCs w:val="0"/>
                <w:color w:val="000000"/>
                <w:sz w:val="20"/>
                <w:szCs w:val="20"/>
                <w:u w:val="none"/>
              </w:rPr>
            </w:pPr>
          </w:p>
        </w:tc>
        <w:tc>
          <w:tcPr>
            <w:tcW w:w="4668"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bdr w:val="single" w:color="000000" w:sz="4" w:space="0"/>
                <w:shd w:val="clear" w:fill="D9D9D9"/>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66675</wp:posOffset>
                  </wp:positionV>
                  <wp:extent cx="2073275" cy="2077085"/>
                  <wp:effectExtent l="0" t="0" r="3175" b="18415"/>
                  <wp:wrapNone/>
                  <wp:docPr id="16" name="图片_1_SpCnt_1"/>
                  <wp:cNvGraphicFramePr/>
                  <a:graphic xmlns:a="http://schemas.openxmlformats.org/drawingml/2006/main">
                    <a:graphicData uri="http://schemas.openxmlformats.org/drawingml/2006/picture">
                      <pic:pic xmlns:pic="http://schemas.openxmlformats.org/drawingml/2006/picture">
                        <pic:nvPicPr>
                          <pic:cNvPr id="16" name="图片_1_SpCnt_1"/>
                          <pic:cNvPicPr/>
                        </pic:nvPicPr>
                        <pic:blipFill>
                          <a:blip r:embed="rId10"/>
                          <a:stretch>
                            <a:fillRect/>
                          </a:stretch>
                        </pic:blipFill>
                        <pic:spPr>
                          <a:xfrm>
                            <a:off x="0" y="0"/>
                            <a:ext cx="2073275" cy="207708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6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5</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直播大屏</w:t>
            </w:r>
          </w:p>
        </w:tc>
        <w:tc>
          <w:tcPr>
            <w:tcW w:w="68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55英寸，超窄边设计，直播批注：任意界面可批注；多点触控，投屏反控：有线、无线反向控制安卓手机；5G无线投屏：支持安卓/苹果手机投屏；屏幕自由旋转，横竖屏重力感应画面自动旋转；可直播题词；白板书写：多点书写 手势擦除；防眩光；集投影仪、白板、音频设备等功能于一体；1920*1080高清分辨率；支持多设备同时投屏，支持四台手机同时投屏，亮度：350cd/m；处理器：CM6125-8核；内存8+128G；响应时间：≤7ms；接口：DC12V、BOT-NanoSIM TOP-Micro SD、USB-A2.0*2、HDMIINDebug、MICIN、耳机；铝合金推车支架。</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互视达</w:t>
            </w:r>
          </w:p>
        </w:tc>
        <w:tc>
          <w:tcPr>
            <w:tcW w:w="1290" w:type="dxa"/>
            <w:tcBorders>
              <w:top w:val="nil"/>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AIZB-55GDF</w:t>
            </w: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103505</wp:posOffset>
                  </wp:positionV>
                  <wp:extent cx="1743075" cy="2813050"/>
                  <wp:effectExtent l="0" t="0" r="9525" b="6350"/>
                  <wp:wrapNone/>
                  <wp:docPr id="18" name="图片_11"/>
                  <wp:cNvGraphicFramePr/>
                  <a:graphic xmlns:a="http://schemas.openxmlformats.org/drawingml/2006/main">
                    <a:graphicData uri="http://schemas.openxmlformats.org/drawingml/2006/picture">
                      <pic:pic xmlns:pic="http://schemas.openxmlformats.org/drawingml/2006/picture">
                        <pic:nvPicPr>
                          <pic:cNvPr id="18" name="图片_11"/>
                          <pic:cNvPicPr/>
                        </pic:nvPicPr>
                        <pic:blipFill>
                          <a:blip r:embed="rId11"/>
                          <a:stretch>
                            <a:fillRect/>
                          </a:stretch>
                        </pic:blipFill>
                        <pic:spPr>
                          <a:xfrm>
                            <a:off x="0" y="0"/>
                            <a:ext cx="1743075" cy="281305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8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6</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无线路由器</w:t>
            </w:r>
          </w:p>
        </w:tc>
        <w:tc>
          <w:tcPr>
            <w:tcW w:w="685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散热方式：自然散热，防火墙：支持防火墙，是否支持Mesh：支持MeshLAN，输出口：千兆网口，独立FEM数量：4个，天线：外置天线，管理方式：APP管理，频段：双频，WAN口类型：电口，LAN口类型：电口，总带机量：101-150终端，适用面积：≤90㎡，WAN接入口：单2.5G网口，支持APP控制，无线速率：3600M，无线协议：Wi-Fi 7，LAN口数量：3个。</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35"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华为</w:t>
            </w:r>
          </w:p>
        </w:tc>
        <w:tc>
          <w:tcPr>
            <w:tcW w:w="1290" w:type="dxa"/>
            <w:tcBorders>
              <w:top w:val="nil"/>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DAYUA-BE32</w:t>
            </w: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7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7</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摄像头三脚架</w:t>
            </w:r>
          </w:p>
        </w:tc>
        <w:tc>
          <w:tcPr>
            <w:tcW w:w="68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节数:3节；最大管径:28.5*16MM；收缩高度:66CM；最大高度：170CM；重量:1.2KG；承重:3KG；云台类型:三维云台；材质:铝合金</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伟峰</w:t>
            </w:r>
          </w:p>
        </w:tc>
        <w:tc>
          <w:tcPr>
            <w:tcW w:w="129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WT-3560</w:t>
            </w: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65"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8</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相机镜头</w:t>
            </w:r>
          </w:p>
        </w:tc>
        <w:tc>
          <w:tcPr>
            <w:tcW w:w="68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EF 100mm f/2.8L IS USM ；</w:t>
            </w:r>
            <w:r>
              <w:rPr>
                <w:rFonts w:hint="eastAsia" w:ascii="微软雅黑" w:hAnsi="微软雅黑" w:eastAsia="微软雅黑" w:cs="微软雅黑"/>
                <w:i w:val="0"/>
                <w:iCs w:val="0"/>
                <w:color w:val="000000"/>
                <w:kern w:val="0"/>
                <w:sz w:val="18"/>
                <w:szCs w:val="18"/>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8"/>
                <w:szCs w:val="18"/>
                <w:u w:val="none"/>
                <w:bdr w:val="none" w:color="auto" w:sz="0" w:space="0"/>
                <w:lang w:val="en-US" w:eastAsia="zh-CN" w:bidi="ar"/>
              </w:rPr>
              <w:t>镜头焦距：100mm；APS-C画幅下的35mm规格换算视角*1：约160mm；镜头结构：12组15片；光圈叶片：9片；最小光圈*2：32；最近对焦距离：约0.3米；最大放大倍率*3：约1倍；驱动系统：环形USM超声波马达；手抖动补偿效果：约2-4级“4；滤镜直径：67毫米；最大直径及长度：约Ф77.7x123毫米；重量：约625克；配适合镜头的耐司MC UV</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组</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佳能</w:t>
            </w:r>
          </w:p>
        </w:tc>
        <w:tc>
          <w:tcPr>
            <w:tcW w:w="129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EF 100 2.8</w:t>
            </w: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2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9</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手机云台稳定器</w:t>
            </w:r>
          </w:p>
        </w:tc>
        <w:tc>
          <w:tcPr>
            <w:tcW w:w="68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暗岩灰，可折叠，可伸缩（内置 215mm 延长杆），三轴增稳防抖，三档亮度调节，智能跟随，磁吸设计，一键切换横竖拍，状态显示面板，四种云台模式，侧面拨轮(可实现变焦和对焦功能 )，3×3 全景，240° 全景和分身全景，兼容小米、华为、荣耀、OPPO、vivo、三星、苹果等主流手机</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大疆 </w:t>
            </w:r>
          </w:p>
        </w:tc>
        <w:tc>
          <w:tcPr>
            <w:tcW w:w="129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DJI Osmo Mobile 6 </w:t>
            </w: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5"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10</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转接器</w:t>
            </w:r>
          </w:p>
        </w:tc>
        <w:tc>
          <w:tcPr>
            <w:tcW w:w="68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bdr w:val="none" w:color="auto" w:sz="0" w:space="0"/>
                <w:lang w:val="en-US" w:eastAsia="zh-CN" w:bidi="ar"/>
              </w:rPr>
              <w:t>Mini HDMI转HDMI（4K款，1米（3个），2米、5米各1个），HDMI线（4K数字高清铝壳线1米、2米，3米，5米各1个），USB3.0高速拓展坞4口（2米2个）；HDMI延长线（1米5个），Type-C转HDMI（4K60，1米2个）</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批</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绿联</w:t>
            </w:r>
          </w:p>
        </w:tc>
        <w:tc>
          <w:tcPr>
            <w:tcW w:w="1290" w:type="dxa"/>
            <w:tcBorders>
              <w:top w:val="single" w:color="000000" w:sz="4" w:space="0"/>
              <w:left w:val="single" w:color="000000" w:sz="4" w:space="0"/>
              <w:bottom w:val="single" w:color="000000" w:sz="4" w:space="0"/>
              <w:right w:val="nil"/>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11</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直播台（含桌凳*2）</w:t>
            </w:r>
          </w:p>
        </w:tc>
        <w:tc>
          <w:tcPr>
            <w:tcW w:w="68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直播台（1800*600*750），桌面为人造板，镀铬钢脚， 含圆凳2条.</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1290" w:type="dxa"/>
            <w:tcBorders>
              <w:top w:val="single" w:color="000000" w:sz="4" w:space="0"/>
              <w:left w:val="single" w:color="000000" w:sz="4" w:space="0"/>
              <w:bottom w:val="single" w:color="000000" w:sz="4" w:space="0"/>
              <w:right w:val="nil"/>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8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12</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窗帘</w:t>
            </w:r>
          </w:p>
        </w:tc>
        <w:tc>
          <w:tcPr>
            <w:tcW w:w="685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微软雅黑" w:hAnsi="微软雅黑" w:eastAsia="微软雅黑" w:cs="微软雅黑"/>
                <w:i w:val="0"/>
                <w:iCs w:val="0"/>
                <w:color w:val="000000"/>
                <w:sz w:val="20"/>
                <w:szCs w:val="20"/>
                <w:u w:val="none"/>
              </w:rPr>
            </w:pP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材质</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：100%聚酯纤维，具有较好的耐用性和抗老化性能。</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色牢度</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：耐水色牢度变色≥4级，沾色≥4级，保证颜色持久不褪色。</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燃烧性能</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：氧指数≥35%，续燃时间0S，阴燃时间0S，确保安全。</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加工要求</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平整性</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：布料加工不易飘线、毛边，保证帷幔布料的平整性。</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熨烫</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：方便清洁、维护或更换，颜色及图案由甲方选择。</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轨道要求</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材质</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：铝合金，表面电泳漆处理，抗扭曲设计，承重不变形。</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规格</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：厚度≥1.2mm，固定点间距不大于600mm，膨胀丝长度不小于60mm。</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制作和安装尺寸要求</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窗帘上挂满墙</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，窗帘底边垂下窗台不小于500mm，保证悬垂自然。</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窗帘加工比例</w:t>
            </w:r>
            <w:r>
              <w:rPr>
                <w:rFonts w:ascii="MS Gothic" w:hAnsi="MS Gothic" w:eastAsia="MS Gothic" w:cs="MS Gothic"/>
                <w:i w:val="0"/>
                <w:iCs w:val="0"/>
                <w:color w:val="000000"/>
                <w:kern w:val="0"/>
                <w:sz w:val="20"/>
                <w:szCs w:val="20"/>
                <w:u w:val="none"/>
                <w:bdr w:val="none" w:color="auto" w:sz="0" w:space="0"/>
                <w:lang w:val="en-US" w:eastAsia="zh-CN" w:bidi="ar"/>
              </w:rPr>
              <w:t>‌</w:t>
            </w:r>
            <w:r>
              <w:rPr>
                <w:rFonts w:hint="eastAsia" w:ascii="微软雅黑" w:hAnsi="微软雅黑" w:eastAsia="微软雅黑" w:cs="微软雅黑"/>
                <w:i w:val="0"/>
                <w:iCs w:val="0"/>
                <w:color w:val="000000"/>
                <w:kern w:val="0"/>
                <w:sz w:val="20"/>
                <w:szCs w:val="20"/>
                <w:u w:val="none"/>
                <w:bdr w:val="none" w:color="auto" w:sz="0" w:space="0"/>
                <w:lang w:val="en-US" w:eastAsia="zh-CN" w:bidi="ar"/>
              </w:rPr>
              <w:t>：通常为1:1.8。包安装。</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米</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1290" w:type="dxa"/>
            <w:tcBorders>
              <w:top w:val="single" w:color="000000" w:sz="4" w:space="0"/>
              <w:left w:val="single" w:color="000000" w:sz="4" w:space="0"/>
              <w:bottom w:val="single" w:color="000000" w:sz="4" w:space="0"/>
              <w:right w:val="nil"/>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等线" w:hAnsi="等线" w:eastAsia="等线" w:cs="等线"/>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70" w:hRule="atLeast"/>
        </w:trPr>
        <w:tc>
          <w:tcPr>
            <w:tcW w:w="7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13</w:t>
            </w:r>
          </w:p>
        </w:tc>
        <w:tc>
          <w:tcPr>
            <w:tcW w:w="11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商品货架及样品</w:t>
            </w:r>
          </w:p>
        </w:tc>
        <w:tc>
          <w:tcPr>
            <w:tcW w:w="6855"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根据实际场景定制；</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尺寸：木结构货架高度：≥2000mm、深度：≥450mm；整体不小于10 ㎡。</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材质：木材使用环保E1级实木板板。</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工艺：表面采用≥0.6mm厚实木木皮饰面，四周同色实木封边，油漆采用环保优质油漆。</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安全性和环保性：</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安全性：货架的设计和制造必须符合国家技术标准，确保使用安全</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环保性：所有材料必须符合环保标准，木材的甲醛释放量必须≤5.0mg/100g，油漆必须采用环保优质油漆。</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设计要求：货架的设计必须符合最新的国际或行业标准，确保其稳定性和耐用性。</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组</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1290" w:type="dxa"/>
            <w:tcBorders>
              <w:top w:val="single" w:color="000000" w:sz="4" w:space="0"/>
              <w:left w:val="single" w:color="000000" w:sz="4" w:space="0"/>
              <w:bottom w:val="single" w:color="000000" w:sz="4" w:space="0"/>
              <w:right w:val="nil"/>
            </w:tcBorders>
            <w:shd w:val="clear"/>
            <w:vAlign w:val="center"/>
          </w:tcPr>
          <w:p>
            <w:pPr>
              <w:jc w:val="center"/>
              <w:rPr>
                <w:rFonts w:hint="eastAsia" w:ascii="微软雅黑" w:hAnsi="微软雅黑" w:eastAsia="微软雅黑" w:cs="微软雅黑"/>
                <w:i w:val="0"/>
                <w:iCs w:val="0"/>
                <w:color w:val="000000"/>
                <w:sz w:val="20"/>
                <w:szCs w:val="20"/>
                <w:u w:val="none"/>
              </w:rPr>
            </w:pPr>
          </w:p>
        </w:tc>
        <w:tc>
          <w:tcPr>
            <w:tcW w:w="466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wp:posOffset>
                  </wp:positionH>
                  <wp:positionV relativeFrom="paragraph">
                    <wp:posOffset>714375</wp:posOffset>
                  </wp:positionV>
                  <wp:extent cx="2033270" cy="1648460"/>
                  <wp:effectExtent l="0" t="0" r="5080" b="8890"/>
                  <wp:wrapNone/>
                  <wp:docPr id="17" name="图片_2_SpCnt_1"/>
                  <wp:cNvGraphicFramePr/>
                  <a:graphic xmlns:a="http://schemas.openxmlformats.org/drawingml/2006/main">
                    <a:graphicData uri="http://schemas.openxmlformats.org/drawingml/2006/picture">
                      <pic:pic xmlns:pic="http://schemas.openxmlformats.org/drawingml/2006/picture">
                        <pic:nvPicPr>
                          <pic:cNvPr id="17" name="图片_2_SpCnt_1"/>
                          <pic:cNvPicPr/>
                        </pic:nvPicPr>
                        <pic:blipFill>
                          <a:blip r:embed="rId12"/>
                          <a:stretch>
                            <a:fillRect/>
                          </a:stretch>
                        </pic:blipFill>
                        <pic:spPr>
                          <a:xfrm>
                            <a:off x="0" y="0"/>
                            <a:ext cx="2033270" cy="1648460"/>
                          </a:xfrm>
                          <a:prstGeom prst="rect">
                            <a:avLst/>
                          </a:prstGeom>
                          <a:noFill/>
                          <a:ln>
                            <a:noFill/>
                          </a:ln>
                        </pic:spPr>
                      </pic:pic>
                    </a:graphicData>
                  </a:graphic>
                </wp:anchor>
              </w:drawing>
            </w:r>
          </w:p>
        </w:tc>
      </w:tr>
    </w:tbl>
    <w:p>
      <w:pPr>
        <w:pStyle w:val="2"/>
      </w:pPr>
    </w:p>
    <w:p>
      <w:pPr>
        <w:spacing w:line="360" w:lineRule="auto"/>
        <w:ind w:left="301"/>
        <w:contextualSpacing/>
        <w:rPr>
          <w:rFonts w:ascii="宋体" w:hAnsi="宋体"/>
          <w:b/>
          <w:sz w:val="24"/>
        </w:rPr>
      </w:pPr>
      <w:r>
        <w:rPr>
          <w:rFonts w:hint="eastAsia" w:ascii="宋体" w:hAnsi="宋体"/>
          <w:b/>
          <w:sz w:val="24"/>
        </w:rPr>
        <w:t>二、其他要求：</w:t>
      </w:r>
    </w:p>
    <w:p>
      <w:pPr>
        <w:spacing w:line="400" w:lineRule="exact"/>
        <w:ind w:firstLine="482" w:firstLineChars="200"/>
        <w:rPr>
          <w:b/>
        </w:rPr>
      </w:pPr>
      <w:r>
        <w:rPr>
          <w:rFonts w:hint="eastAsia"/>
          <w:b/>
          <w:color w:val="000000"/>
          <w:sz w:val="24"/>
        </w:rPr>
        <w:t>1、供应商须按参数要求提供样品一套，中标单位样品将进行留存并在实际交货时需对照，如出现样品跟实际供货不一样将取消中标资格。</w:t>
      </w:r>
    </w:p>
    <w:bookmarkEnd w:id="2"/>
    <w:p>
      <w:pPr>
        <w:spacing w:line="400" w:lineRule="exact"/>
        <w:ind w:firstLine="480" w:firstLineChars="200"/>
        <w:rPr>
          <w:color w:val="000000"/>
          <w:sz w:val="24"/>
        </w:rPr>
        <w:sectPr>
          <w:pgSz w:w="16840" w:h="11907" w:orient="landscape"/>
          <w:pgMar w:top="1418" w:right="1418" w:bottom="1247" w:left="1247" w:header="851" w:footer="992" w:gutter="0"/>
          <w:pgNumType w:start="1"/>
          <w:cols w:space="720" w:num="1"/>
          <w:docGrid w:type="lines" w:linePitch="312" w:charSpace="0"/>
        </w:sectPr>
      </w:pPr>
      <w:r>
        <w:rPr>
          <w:color w:val="000000"/>
          <w:sz w:val="24"/>
        </w:rPr>
        <w:t>2</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w:t>
      </w:r>
    </w:p>
    <w:p>
      <w:pPr>
        <w:spacing w:line="360" w:lineRule="auto"/>
        <w:rPr>
          <w:rFonts w:hint="eastAsia" w:ascii="宋体" w:hAnsi="宋体"/>
          <w:b w:val="0"/>
          <w:bCs/>
          <w:sz w:val="24"/>
        </w:rPr>
      </w:pPr>
      <w:r>
        <w:rPr>
          <w:rFonts w:hint="eastAsia" w:ascii="宋体" w:hAnsi="宋体"/>
          <w:b w:val="0"/>
          <w:bCs/>
          <w:sz w:val="24"/>
        </w:rPr>
        <w:t>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三、完成时间及付款方式</w:t>
      </w:r>
    </w:p>
    <w:p>
      <w:pPr>
        <w:spacing w:line="360" w:lineRule="auto"/>
        <w:ind w:firstLine="482" w:firstLineChars="200"/>
        <w:rPr>
          <w:rFonts w:ascii="宋体" w:hAnsi="宋体"/>
          <w:b/>
          <w:sz w:val="24"/>
        </w:rPr>
      </w:pPr>
      <w:r>
        <w:rPr>
          <w:rFonts w:hint="eastAsia" w:ascii="宋体" w:hAnsi="宋体"/>
          <w:b/>
          <w:sz w:val="24"/>
        </w:rPr>
        <w:t>1、合同签订后，供应商在一周时间内完成供货，如出现质量等问题，需在48小时之内完成调换。</w:t>
      </w:r>
    </w:p>
    <w:p>
      <w:pPr>
        <w:spacing w:line="360" w:lineRule="auto"/>
        <w:ind w:firstLine="480" w:firstLineChars="200"/>
        <w:rPr>
          <w:rFonts w:ascii="宋体" w:hAnsi="宋体"/>
          <w:sz w:val="24"/>
        </w:rPr>
      </w:pPr>
      <w:r>
        <w:rPr>
          <w:rFonts w:hint="eastAsia" w:ascii="宋体" w:hAnsi="宋体"/>
          <w:sz w:val="24"/>
        </w:rPr>
        <w:t>2、供应商按采购人要求完成供货，并经采购人验收合格后付合同金额。成交金额即为合同金额，除非采购货物的数量发生变更，否则不允许变更合同金额。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Start w:id="9" w:name="_Toc265109445"/>
      <w:bookmarkStart w:id="10" w:name="_Toc238276242"/>
      <w:bookmarkStart w:id="11" w:name="_Toc327371177"/>
      <w:bookmarkStart w:id="12" w:name="_Toc294609003"/>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2"/>
        </w:numPr>
        <w:rPr>
          <w:rFonts w:ascii="宋体" w:hAnsi="宋体"/>
          <w:sz w:val="24"/>
          <w:szCs w:val="24"/>
        </w:rPr>
      </w:pPr>
      <w:r>
        <w:rPr>
          <w:rFonts w:hint="eastAsia" w:ascii="宋体" w:hAnsi="宋体"/>
          <w:sz w:val="24"/>
          <w:szCs w:val="24"/>
        </w:rPr>
        <w:t>所有价格均用人民币表示，单位为元。</w:t>
      </w:r>
    </w:p>
    <w:p>
      <w:pPr>
        <w:pStyle w:val="6"/>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4"/>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ed9b9266-f063-462f-88be-e4e0c2b83801"/>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87747"/>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1635"/>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4E7"/>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A8"/>
    <w:rsid w:val="003A4FBB"/>
    <w:rsid w:val="003A5661"/>
    <w:rsid w:val="003A62F7"/>
    <w:rsid w:val="003B46FB"/>
    <w:rsid w:val="003B7EFD"/>
    <w:rsid w:val="003C2900"/>
    <w:rsid w:val="003C504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9EF"/>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2238"/>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292"/>
    <w:rsid w:val="006C533F"/>
    <w:rsid w:val="006D025D"/>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47C1D"/>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D56"/>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253A"/>
    <w:rsid w:val="008D648D"/>
    <w:rsid w:val="008E4945"/>
    <w:rsid w:val="008E78E4"/>
    <w:rsid w:val="008F0A09"/>
    <w:rsid w:val="008F28B6"/>
    <w:rsid w:val="008F2F6F"/>
    <w:rsid w:val="008F564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333A"/>
    <w:rsid w:val="009944B3"/>
    <w:rsid w:val="009A3E4E"/>
    <w:rsid w:val="009A709A"/>
    <w:rsid w:val="009B1EFE"/>
    <w:rsid w:val="009C7B24"/>
    <w:rsid w:val="009E1A03"/>
    <w:rsid w:val="009E1C84"/>
    <w:rsid w:val="009E3577"/>
    <w:rsid w:val="009E5F7B"/>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5C46"/>
    <w:rsid w:val="00CD7040"/>
    <w:rsid w:val="00CE1CA0"/>
    <w:rsid w:val="00CE22F0"/>
    <w:rsid w:val="00CE3A60"/>
    <w:rsid w:val="00CE56CF"/>
    <w:rsid w:val="00CF0087"/>
    <w:rsid w:val="00CF3457"/>
    <w:rsid w:val="00CF3F6C"/>
    <w:rsid w:val="00CF7E68"/>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65791"/>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A37"/>
    <w:rsid w:val="00E21B91"/>
    <w:rsid w:val="00E2353F"/>
    <w:rsid w:val="00E23F48"/>
    <w:rsid w:val="00E23F89"/>
    <w:rsid w:val="00E246A5"/>
    <w:rsid w:val="00E25BE0"/>
    <w:rsid w:val="00E27448"/>
    <w:rsid w:val="00E31499"/>
    <w:rsid w:val="00E31968"/>
    <w:rsid w:val="00E32522"/>
    <w:rsid w:val="00E33354"/>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37AB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1466"/>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4250875"/>
    <w:rsid w:val="26AA2005"/>
    <w:rsid w:val="29175E93"/>
    <w:rsid w:val="29C651C2"/>
    <w:rsid w:val="2BD831ED"/>
    <w:rsid w:val="2F470442"/>
    <w:rsid w:val="30ED3773"/>
    <w:rsid w:val="30F454E0"/>
    <w:rsid w:val="35A05E08"/>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2">
    <w:name w:val="TOC2"/>
    <w:basedOn w:val="1"/>
    <w:next w:val="1"/>
    <w:qFormat/>
    <w:uiPriority w:val="0"/>
    <w:pPr>
      <w:ind w:left="210"/>
      <w:jc w:val="left"/>
      <w:textAlignment w:val="baseline"/>
    </w:pPr>
    <w:rPr>
      <w:rFonts w:ascii="Calibri" w:hAnsi="Calibri"/>
      <w:smallCaps/>
      <w:sz w:val="20"/>
      <w:szCs w:val="20"/>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line="480" w:lineRule="auto"/>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1"/>
    <w:qFormat/>
    <w:uiPriority w:val="0"/>
    <w:rPr>
      <w:rFonts w:ascii="宋体" w:hAnsi="Courier New" w:eastAsia="宋体" w:cs="Courier New"/>
      <w:kern w:val="2"/>
      <w:sz w:val="21"/>
      <w:szCs w:val="21"/>
      <w:lang w:val="en-US" w:eastAsia="zh-CN" w:bidi="ar-SA"/>
    </w:rPr>
  </w:style>
  <w:style w:type="character" w:customStyle="1" w:styleId="39">
    <w:name w:val="正文缩进 字符"/>
    <w:link w:val="6"/>
    <w:qFormat/>
    <w:uiPriority w:val="0"/>
    <w:rPr>
      <w:rFonts w:eastAsia="宋体"/>
      <w:kern w:val="2"/>
      <w:sz w:val="21"/>
      <w:lang w:val="en-US" w:eastAsia="zh-CN" w:bidi="ar-SA"/>
    </w:rPr>
  </w:style>
  <w:style w:type="character" w:customStyle="1" w:styleId="40">
    <w:name w:val="页眉 字符"/>
    <w:link w:val="14"/>
    <w:qFormat/>
    <w:uiPriority w:val="0"/>
    <w:rPr>
      <w:rFonts w:eastAsia="宋体"/>
      <w:kern w:val="2"/>
      <w:sz w:val="18"/>
      <w:szCs w:val="18"/>
      <w:lang w:val="en-US" w:eastAsia="zh-CN" w:bidi="ar-SA"/>
    </w:rPr>
  </w:style>
  <w:style w:type="character" w:customStyle="1" w:styleId="41">
    <w:name w:val="标题 3 字符"/>
    <w:basedOn w:val="22"/>
    <w:link w:val="5"/>
    <w:semiHidden/>
    <w:qFormat/>
    <w:uiPriority w:val="0"/>
    <w:rPr>
      <w:b/>
      <w:bCs/>
      <w:kern w:val="2"/>
      <w:sz w:val="32"/>
      <w:szCs w:val="32"/>
    </w:rPr>
  </w:style>
  <w:style w:type="character" w:customStyle="1" w:styleId="42">
    <w:name w:val="font01"/>
    <w:basedOn w:val="22"/>
    <w:qFormat/>
    <w:uiPriority w:val="0"/>
    <w:rPr>
      <w:rFonts w:hint="eastAsia" w:ascii="宋体" w:hAnsi="宋体" w:eastAsia="宋体" w:cs="宋体"/>
      <w:color w:val="000000"/>
      <w:sz w:val="21"/>
      <w:szCs w:val="21"/>
      <w:u w:val="none"/>
    </w:rPr>
  </w:style>
  <w:style w:type="character" w:customStyle="1" w:styleId="43">
    <w:name w:val="font21"/>
    <w:basedOn w:val="22"/>
    <w:qFormat/>
    <w:uiPriority w:val="0"/>
    <w:rPr>
      <w:rFonts w:hint="eastAsia" w:ascii="宋体" w:hAnsi="宋体" w:eastAsia="宋体" w:cs="宋体"/>
      <w:color w:val="000000"/>
      <w:sz w:val="21"/>
      <w:szCs w:val="21"/>
      <w:u w:val="none"/>
    </w:rPr>
  </w:style>
  <w:style w:type="character" w:customStyle="1" w:styleId="44">
    <w:name w:val="font41"/>
    <w:basedOn w:val="22"/>
    <w:qFormat/>
    <w:uiPriority w:val="0"/>
    <w:rPr>
      <w:rFonts w:hint="eastAsia" w:ascii="微软雅黑" w:hAnsi="微软雅黑" w:eastAsia="微软雅黑" w:cs="微软雅黑"/>
      <w:color w:val="FF0000"/>
      <w:sz w:val="20"/>
      <w:szCs w:val="20"/>
      <w:u w:val="none"/>
    </w:rPr>
  </w:style>
  <w:style w:type="character" w:customStyle="1" w:styleId="45">
    <w:name w:val="NormalCharacter"/>
    <w:semiHidden/>
    <w:qFormat/>
    <w:uiPriority w:val="0"/>
  </w:style>
  <w:style w:type="character" w:customStyle="1" w:styleId="46">
    <w:name w:val="font91"/>
    <w:basedOn w:val="22"/>
    <w:uiPriority w:val="0"/>
    <w:rPr>
      <w:rFonts w:ascii="MS Gothic" w:hAnsi="MS Gothic" w:eastAsia="MS Gothic" w:cs="MS Gothic"/>
      <w:color w:val="000000"/>
      <w:sz w:val="20"/>
      <w:szCs w:val="20"/>
      <w:u w:val="none"/>
    </w:rPr>
  </w:style>
  <w:style w:type="character" w:customStyle="1" w:styleId="47">
    <w:name w:val="font61"/>
    <w:basedOn w:val="22"/>
    <w:uiPriority w:val="0"/>
    <w:rPr>
      <w:rFonts w:hint="eastAsia" w:ascii="微软雅黑" w:hAnsi="微软雅黑" w:eastAsia="微软雅黑" w:cs="微软雅黑"/>
      <w:color w:val="000000"/>
      <w:sz w:val="20"/>
      <w:szCs w:val="20"/>
      <w:u w:val="none"/>
    </w:rPr>
  </w:style>
  <w:style w:type="character" w:customStyle="1" w:styleId="48">
    <w:name w:val="font71"/>
    <w:basedOn w:val="22"/>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24</Pages>
  <Words>8321</Words>
  <Characters>9347</Characters>
  <Lines>53</Lines>
  <Paragraphs>14</Paragraphs>
  <TotalTime>619</TotalTime>
  <ScaleCrop>false</ScaleCrop>
  <LinksUpToDate>false</LinksUpToDate>
  <CharactersWithSpaces>10080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2024-10-30T02:36:00Z</dcterms:created>
  <dc:creator>微软用户</dc:creator>
  <cp:lastModifiedBy>hp</cp:lastModifiedBy>
  <cp:lastPrinted>2019-03-28T00:30:00Z</cp:lastPrinted>
  <dcterms:modified xsi:type="dcterms:W3CDTF">2024-11-13T07:01:53Z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EA1A63627B1941078F9F921B3C082B19</vt:lpwstr>
  </property>
</Properties>
</file>