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01883">
      <w:pPr>
        <w:bidi w:val="0"/>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2025年甘肃省职业院校技能大赛闭赛仪式宣传物料及媒体服务项目清单及视频制作技术参数</w:t>
      </w:r>
    </w:p>
    <w:p w14:paraId="1379BDB8">
      <w:pPr>
        <w:rPr>
          <w:rFonts w:hint="eastAsia"/>
          <w:b w:val="0"/>
          <w:bCs/>
          <w:sz w:val="30"/>
          <w:szCs w:val="30"/>
          <w:lang w:val="en-US" w:eastAsia="zh-CN"/>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70"/>
        <w:gridCol w:w="1831"/>
        <w:gridCol w:w="2910"/>
        <w:gridCol w:w="2910"/>
      </w:tblGrid>
      <w:tr w14:paraId="76C0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01AFA04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序号</w:t>
            </w:r>
          </w:p>
        </w:tc>
        <w:tc>
          <w:tcPr>
            <w:tcW w:w="1831" w:type="dxa"/>
            <w:vAlign w:val="center"/>
          </w:tcPr>
          <w:p w14:paraId="556395E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类别</w:t>
            </w:r>
          </w:p>
        </w:tc>
        <w:tc>
          <w:tcPr>
            <w:tcW w:w="2910" w:type="dxa"/>
            <w:vAlign w:val="center"/>
          </w:tcPr>
          <w:p w14:paraId="202BB2F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项目</w:t>
            </w:r>
          </w:p>
        </w:tc>
        <w:tc>
          <w:tcPr>
            <w:tcW w:w="2910" w:type="dxa"/>
            <w:vAlign w:val="center"/>
          </w:tcPr>
          <w:p w14:paraId="4DF136A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b w:val="0"/>
                <w:bCs/>
                <w:sz w:val="28"/>
                <w:szCs w:val="28"/>
                <w:vertAlign w:val="baseline"/>
                <w:lang w:val="en-US" w:eastAsia="zh-CN"/>
              </w:rPr>
            </w:pPr>
            <w:r>
              <w:rPr>
                <w:rFonts w:hint="eastAsia" w:ascii="黑体" w:hAnsi="黑体" w:eastAsia="黑体" w:cs="黑体"/>
                <w:b w:val="0"/>
                <w:bCs/>
                <w:sz w:val="28"/>
                <w:szCs w:val="28"/>
                <w:vertAlign w:val="baseline"/>
                <w:lang w:val="en-US" w:eastAsia="zh-CN"/>
              </w:rPr>
              <w:t>明细</w:t>
            </w:r>
          </w:p>
        </w:tc>
      </w:tr>
      <w:tr w14:paraId="5EC8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0D9DD08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w:t>
            </w:r>
          </w:p>
        </w:tc>
        <w:tc>
          <w:tcPr>
            <w:tcW w:w="1831" w:type="dxa"/>
            <w:vMerge w:val="restart"/>
            <w:vAlign w:val="center"/>
          </w:tcPr>
          <w:p w14:paraId="3032CF0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default"/>
                <w:b w:val="0"/>
                <w:bCs/>
                <w:sz w:val="28"/>
                <w:szCs w:val="28"/>
                <w:vertAlign w:val="baseline"/>
                <w:lang w:val="en-US" w:eastAsia="zh-CN"/>
              </w:rPr>
              <w:t>宣传视频类制作</w:t>
            </w:r>
          </w:p>
        </w:tc>
        <w:tc>
          <w:tcPr>
            <w:tcW w:w="2910" w:type="dxa"/>
            <w:vMerge w:val="restart"/>
            <w:vAlign w:val="center"/>
          </w:tcPr>
          <w:p w14:paraId="3EDE179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default"/>
                <w:b w:val="0"/>
                <w:bCs/>
                <w:sz w:val="28"/>
                <w:szCs w:val="28"/>
                <w:vertAlign w:val="baseline"/>
                <w:lang w:val="en-US" w:eastAsia="zh-CN"/>
              </w:rPr>
              <w:t>闭赛仪式连线视频</w:t>
            </w:r>
          </w:p>
        </w:tc>
        <w:tc>
          <w:tcPr>
            <w:tcW w:w="2910" w:type="dxa"/>
            <w:vAlign w:val="center"/>
          </w:tcPr>
          <w:p w14:paraId="24E06D4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视频资料整理剪辑</w:t>
            </w:r>
          </w:p>
        </w:tc>
      </w:tr>
      <w:tr w14:paraId="7148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5EB8CC9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2</w:t>
            </w:r>
          </w:p>
        </w:tc>
        <w:tc>
          <w:tcPr>
            <w:tcW w:w="1831" w:type="dxa"/>
            <w:vMerge w:val="continue"/>
            <w:tcBorders/>
            <w:vAlign w:val="center"/>
          </w:tcPr>
          <w:p w14:paraId="13AC93F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continue"/>
            <w:tcBorders/>
            <w:vAlign w:val="center"/>
          </w:tcPr>
          <w:p w14:paraId="388A918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06433A6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美化包装</w:t>
            </w:r>
          </w:p>
        </w:tc>
      </w:tr>
      <w:tr w14:paraId="7F65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0EB5082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3</w:t>
            </w:r>
          </w:p>
        </w:tc>
        <w:tc>
          <w:tcPr>
            <w:tcW w:w="1831" w:type="dxa"/>
            <w:vMerge w:val="continue"/>
            <w:tcBorders/>
            <w:vAlign w:val="center"/>
          </w:tcPr>
          <w:p w14:paraId="3AF1323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continue"/>
            <w:tcBorders/>
            <w:vAlign w:val="center"/>
          </w:tcPr>
          <w:p w14:paraId="5426839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69A993D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调音调色</w:t>
            </w:r>
          </w:p>
        </w:tc>
      </w:tr>
      <w:tr w14:paraId="261B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72557F0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4</w:t>
            </w:r>
          </w:p>
        </w:tc>
        <w:tc>
          <w:tcPr>
            <w:tcW w:w="1831" w:type="dxa"/>
            <w:vMerge w:val="continue"/>
            <w:tcBorders/>
            <w:vAlign w:val="center"/>
          </w:tcPr>
          <w:p w14:paraId="2D28F44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restart"/>
            <w:vAlign w:val="center"/>
          </w:tcPr>
          <w:p w14:paraId="5D4E20D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default"/>
                <w:b w:val="0"/>
                <w:bCs/>
                <w:sz w:val="28"/>
                <w:szCs w:val="28"/>
                <w:vertAlign w:val="baseline"/>
                <w:lang w:val="en-US" w:eastAsia="zh-CN"/>
              </w:rPr>
              <w:t>比赛期间精彩回顾视频</w:t>
            </w:r>
          </w:p>
        </w:tc>
        <w:tc>
          <w:tcPr>
            <w:tcW w:w="2910" w:type="dxa"/>
            <w:shd w:val="clear" w:color="auto" w:fill="auto"/>
            <w:vAlign w:val="center"/>
          </w:tcPr>
          <w:p w14:paraId="1C4B789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视频资料整理剪辑</w:t>
            </w:r>
          </w:p>
        </w:tc>
      </w:tr>
      <w:tr w14:paraId="1020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6F02571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5</w:t>
            </w:r>
          </w:p>
        </w:tc>
        <w:tc>
          <w:tcPr>
            <w:tcW w:w="1831" w:type="dxa"/>
            <w:vMerge w:val="continue"/>
            <w:tcBorders/>
            <w:vAlign w:val="center"/>
          </w:tcPr>
          <w:p w14:paraId="2FDA081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continue"/>
            <w:tcBorders/>
            <w:vAlign w:val="center"/>
          </w:tcPr>
          <w:p w14:paraId="3066DED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shd w:val="clear" w:color="auto" w:fill="auto"/>
            <w:vAlign w:val="center"/>
          </w:tcPr>
          <w:p w14:paraId="26B472D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美化包装</w:t>
            </w:r>
          </w:p>
        </w:tc>
      </w:tr>
      <w:tr w14:paraId="68C5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488439F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6</w:t>
            </w:r>
          </w:p>
        </w:tc>
        <w:tc>
          <w:tcPr>
            <w:tcW w:w="1831" w:type="dxa"/>
            <w:vMerge w:val="continue"/>
            <w:tcBorders/>
            <w:vAlign w:val="center"/>
          </w:tcPr>
          <w:p w14:paraId="3F3A767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continue"/>
            <w:tcBorders/>
            <w:vAlign w:val="center"/>
          </w:tcPr>
          <w:p w14:paraId="79DC5E1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shd w:val="clear" w:color="auto" w:fill="auto"/>
            <w:vAlign w:val="center"/>
          </w:tcPr>
          <w:p w14:paraId="55610F0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配音</w:t>
            </w:r>
          </w:p>
        </w:tc>
      </w:tr>
      <w:tr w14:paraId="715E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1DD1889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7</w:t>
            </w:r>
          </w:p>
        </w:tc>
        <w:tc>
          <w:tcPr>
            <w:tcW w:w="1831" w:type="dxa"/>
            <w:vMerge w:val="continue"/>
            <w:tcBorders/>
            <w:vAlign w:val="center"/>
          </w:tcPr>
          <w:p w14:paraId="25ED42C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Merge w:val="continue"/>
            <w:tcBorders/>
            <w:vAlign w:val="center"/>
          </w:tcPr>
          <w:p w14:paraId="015BF64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shd w:val="clear" w:color="auto" w:fill="auto"/>
            <w:vAlign w:val="center"/>
          </w:tcPr>
          <w:p w14:paraId="0D73B1D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调音调色</w:t>
            </w:r>
          </w:p>
        </w:tc>
      </w:tr>
      <w:tr w14:paraId="348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22C9CFF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8</w:t>
            </w:r>
          </w:p>
        </w:tc>
        <w:tc>
          <w:tcPr>
            <w:tcW w:w="1831" w:type="dxa"/>
            <w:vMerge w:val="restart"/>
            <w:vAlign w:val="center"/>
          </w:tcPr>
          <w:p w14:paraId="1C2D852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default"/>
                <w:b w:val="0"/>
                <w:bCs/>
                <w:sz w:val="28"/>
                <w:szCs w:val="28"/>
                <w:vertAlign w:val="baseline"/>
                <w:lang w:val="en-US" w:eastAsia="zh-CN"/>
              </w:rPr>
              <w:t>媒体现场直播（微信端）</w:t>
            </w:r>
          </w:p>
        </w:tc>
        <w:tc>
          <w:tcPr>
            <w:tcW w:w="2910" w:type="dxa"/>
            <w:vAlign w:val="center"/>
          </w:tcPr>
          <w:p w14:paraId="60A357E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摄像机</w:t>
            </w:r>
          </w:p>
        </w:tc>
        <w:tc>
          <w:tcPr>
            <w:tcW w:w="2910" w:type="dxa"/>
            <w:shd w:val="clear" w:color="auto" w:fill="auto"/>
            <w:vAlign w:val="center"/>
          </w:tcPr>
          <w:p w14:paraId="5868B31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≥3台</w:t>
            </w:r>
          </w:p>
        </w:tc>
      </w:tr>
      <w:tr w14:paraId="7437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2CB962E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9</w:t>
            </w:r>
          </w:p>
        </w:tc>
        <w:tc>
          <w:tcPr>
            <w:tcW w:w="1831" w:type="dxa"/>
            <w:vMerge w:val="continue"/>
            <w:tcBorders/>
            <w:vAlign w:val="center"/>
          </w:tcPr>
          <w:p w14:paraId="3D7A56A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68C80B9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包装机</w:t>
            </w:r>
          </w:p>
        </w:tc>
        <w:tc>
          <w:tcPr>
            <w:tcW w:w="2910" w:type="dxa"/>
            <w:shd w:val="clear" w:color="auto" w:fill="auto"/>
            <w:vAlign w:val="center"/>
          </w:tcPr>
          <w:p w14:paraId="0A94E60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1台</w:t>
            </w:r>
          </w:p>
        </w:tc>
      </w:tr>
      <w:tr w14:paraId="1274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29B993A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10</w:t>
            </w:r>
          </w:p>
        </w:tc>
        <w:tc>
          <w:tcPr>
            <w:tcW w:w="1831" w:type="dxa"/>
            <w:vMerge w:val="continue"/>
            <w:tcBorders/>
            <w:vAlign w:val="center"/>
          </w:tcPr>
          <w:p w14:paraId="02AD714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26C92F1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推流器</w:t>
            </w:r>
          </w:p>
        </w:tc>
        <w:tc>
          <w:tcPr>
            <w:tcW w:w="2910" w:type="dxa"/>
            <w:shd w:val="clear" w:color="auto" w:fill="auto"/>
            <w:vAlign w:val="center"/>
          </w:tcPr>
          <w:p w14:paraId="7873028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1台</w:t>
            </w:r>
          </w:p>
        </w:tc>
      </w:tr>
      <w:tr w14:paraId="7F59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4724949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11</w:t>
            </w:r>
          </w:p>
        </w:tc>
        <w:tc>
          <w:tcPr>
            <w:tcW w:w="1831" w:type="dxa"/>
            <w:vMerge w:val="continue"/>
            <w:tcBorders/>
            <w:vAlign w:val="center"/>
          </w:tcPr>
          <w:p w14:paraId="5385F84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031F970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导播台</w:t>
            </w:r>
          </w:p>
        </w:tc>
        <w:tc>
          <w:tcPr>
            <w:tcW w:w="2910" w:type="dxa"/>
            <w:shd w:val="clear" w:color="auto" w:fill="auto"/>
            <w:vAlign w:val="center"/>
          </w:tcPr>
          <w:p w14:paraId="408D25B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1台</w:t>
            </w:r>
          </w:p>
        </w:tc>
      </w:tr>
      <w:tr w14:paraId="590E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4F5BC42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12</w:t>
            </w:r>
          </w:p>
        </w:tc>
        <w:tc>
          <w:tcPr>
            <w:tcW w:w="1831" w:type="dxa"/>
            <w:vMerge w:val="continue"/>
            <w:tcBorders/>
            <w:vAlign w:val="center"/>
          </w:tcPr>
          <w:p w14:paraId="7B7140C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7928C86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导播</w:t>
            </w:r>
          </w:p>
        </w:tc>
        <w:tc>
          <w:tcPr>
            <w:tcW w:w="2910" w:type="dxa"/>
            <w:shd w:val="clear" w:color="auto" w:fill="auto"/>
            <w:vAlign w:val="center"/>
          </w:tcPr>
          <w:p w14:paraId="21ACE78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1人</w:t>
            </w:r>
          </w:p>
        </w:tc>
      </w:tr>
      <w:tr w14:paraId="71506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779BB04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13</w:t>
            </w:r>
          </w:p>
        </w:tc>
        <w:tc>
          <w:tcPr>
            <w:tcW w:w="1831" w:type="dxa"/>
            <w:vMerge w:val="continue"/>
            <w:tcBorders/>
            <w:vAlign w:val="center"/>
          </w:tcPr>
          <w:p w14:paraId="221A84D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779F714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摄影师</w:t>
            </w:r>
          </w:p>
        </w:tc>
        <w:tc>
          <w:tcPr>
            <w:tcW w:w="2910" w:type="dxa"/>
            <w:shd w:val="clear" w:color="auto" w:fill="auto"/>
            <w:vAlign w:val="center"/>
          </w:tcPr>
          <w:p w14:paraId="5A46FEA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3人</w:t>
            </w:r>
          </w:p>
        </w:tc>
      </w:tr>
      <w:tr w14:paraId="4E56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7A1E9D3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14</w:t>
            </w:r>
          </w:p>
        </w:tc>
        <w:tc>
          <w:tcPr>
            <w:tcW w:w="1831" w:type="dxa"/>
            <w:vMerge w:val="continue"/>
            <w:tcBorders/>
            <w:vAlign w:val="center"/>
          </w:tcPr>
          <w:p w14:paraId="72E234D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76C88C8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调音师</w:t>
            </w:r>
          </w:p>
        </w:tc>
        <w:tc>
          <w:tcPr>
            <w:tcW w:w="2910" w:type="dxa"/>
            <w:shd w:val="clear" w:color="auto" w:fill="auto"/>
            <w:vAlign w:val="center"/>
          </w:tcPr>
          <w:p w14:paraId="4F0E86C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1人</w:t>
            </w:r>
          </w:p>
        </w:tc>
      </w:tr>
      <w:tr w14:paraId="102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68FFF92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15</w:t>
            </w:r>
          </w:p>
        </w:tc>
        <w:tc>
          <w:tcPr>
            <w:tcW w:w="1831" w:type="dxa"/>
            <w:vMerge w:val="continue"/>
            <w:tcBorders/>
            <w:vAlign w:val="center"/>
          </w:tcPr>
          <w:p w14:paraId="698C9B2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0E3BB64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场务</w:t>
            </w:r>
          </w:p>
        </w:tc>
        <w:tc>
          <w:tcPr>
            <w:tcW w:w="2910" w:type="dxa"/>
            <w:shd w:val="clear" w:color="auto" w:fill="auto"/>
            <w:vAlign w:val="center"/>
          </w:tcPr>
          <w:p w14:paraId="5E5E67A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2人</w:t>
            </w:r>
          </w:p>
        </w:tc>
      </w:tr>
      <w:tr w14:paraId="0DF6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67" w:hRule="exact"/>
          <w:jc w:val="center"/>
        </w:trPr>
        <w:tc>
          <w:tcPr>
            <w:tcW w:w="870" w:type="dxa"/>
            <w:vAlign w:val="center"/>
          </w:tcPr>
          <w:p w14:paraId="339829A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16</w:t>
            </w:r>
          </w:p>
        </w:tc>
        <w:tc>
          <w:tcPr>
            <w:tcW w:w="1831" w:type="dxa"/>
            <w:vMerge w:val="continue"/>
            <w:tcBorders/>
            <w:vAlign w:val="center"/>
          </w:tcPr>
          <w:p w14:paraId="7C4A4E0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p>
        </w:tc>
        <w:tc>
          <w:tcPr>
            <w:tcW w:w="2910" w:type="dxa"/>
            <w:vAlign w:val="center"/>
          </w:tcPr>
          <w:p w14:paraId="5104C58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媒体推流</w:t>
            </w:r>
          </w:p>
        </w:tc>
        <w:tc>
          <w:tcPr>
            <w:tcW w:w="2910" w:type="dxa"/>
            <w:shd w:val="clear" w:color="auto" w:fill="auto"/>
            <w:vAlign w:val="center"/>
          </w:tcPr>
          <w:p w14:paraId="7BE0D76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w:t>
            </w:r>
            <w:r>
              <w:rPr>
                <w:rFonts w:hint="eastAsia"/>
                <w:b w:val="0"/>
                <w:bCs/>
                <w:sz w:val="28"/>
                <w:szCs w:val="28"/>
                <w:vertAlign w:val="baseline"/>
                <w:lang w:val="en-US" w:eastAsia="zh-CN"/>
              </w:rPr>
              <w:t>1人</w:t>
            </w:r>
          </w:p>
        </w:tc>
      </w:tr>
      <w:tr w14:paraId="7A39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007" w:hRule="exact"/>
          <w:jc w:val="center"/>
        </w:trPr>
        <w:tc>
          <w:tcPr>
            <w:tcW w:w="870" w:type="dxa"/>
            <w:vAlign w:val="center"/>
          </w:tcPr>
          <w:p w14:paraId="07C5AF4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17</w:t>
            </w:r>
          </w:p>
        </w:tc>
        <w:tc>
          <w:tcPr>
            <w:tcW w:w="1831" w:type="dxa"/>
            <w:tcBorders/>
            <w:vAlign w:val="center"/>
          </w:tcPr>
          <w:p w14:paraId="08AC0B3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驻场服务</w:t>
            </w:r>
          </w:p>
        </w:tc>
        <w:tc>
          <w:tcPr>
            <w:tcW w:w="2910" w:type="dxa"/>
            <w:vAlign w:val="center"/>
          </w:tcPr>
          <w:p w14:paraId="5A3E981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提供不少于3天共72小时驻场服务</w:t>
            </w:r>
            <w:bookmarkStart w:id="0" w:name="_GoBack"/>
            <w:bookmarkEnd w:id="0"/>
          </w:p>
        </w:tc>
        <w:tc>
          <w:tcPr>
            <w:tcW w:w="2910" w:type="dxa"/>
            <w:shd w:val="clear" w:color="auto" w:fill="auto"/>
            <w:vAlign w:val="center"/>
          </w:tcPr>
          <w:p w14:paraId="4309B4B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default"/>
                <w:b w:val="0"/>
                <w:bCs/>
                <w:sz w:val="28"/>
                <w:szCs w:val="28"/>
                <w:vertAlign w:val="baseline"/>
                <w:lang w:val="en-US" w:eastAsia="zh-CN"/>
              </w:rPr>
            </w:pPr>
            <w:r>
              <w:rPr>
                <w:rFonts w:hint="eastAsia"/>
                <w:b w:val="0"/>
                <w:bCs/>
                <w:sz w:val="28"/>
                <w:szCs w:val="28"/>
                <w:vertAlign w:val="baseline"/>
                <w:lang w:val="en-US" w:eastAsia="zh-CN"/>
              </w:rPr>
              <w:t>技术人员≥3人</w:t>
            </w:r>
          </w:p>
        </w:tc>
      </w:tr>
    </w:tbl>
    <w:p w14:paraId="17A0DF29">
      <w:pPr>
        <w:ind w:left="0" w:leftChars="0" w:firstLine="0" w:firstLineChars="0"/>
        <w:rPr>
          <w:rFonts w:hint="default"/>
          <w:b w:val="0"/>
          <w:bCs/>
          <w:sz w:val="30"/>
          <w:szCs w:val="30"/>
          <w:lang w:val="en-US" w:eastAsia="zh-CN"/>
        </w:rPr>
      </w:pPr>
    </w:p>
    <w:p w14:paraId="380C0510">
      <w:pPr>
        <w:rPr>
          <w:rFonts w:hint="eastAsia"/>
          <w:b w:val="0"/>
          <w:bCs/>
          <w:sz w:val="30"/>
          <w:szCs w:val="30"/>
          <w:lang w:val="en-US" w:eastAsia="zh-CN"/>
        </w:rPr>
      </w:pPr>
      <w:r>
        <w:rPr>
          <w:rFonts w:hint="eastAsia"/>
          <w:b w:val="0"/>
          <w:bCs/>
          <w:sz w:val="30"/>
          <w:szCs w:val="30"/>
          <w:lang w:val="en-US" w:eastAsia="zh-CN"/>
        </w:rPr>
        <w:br w:type="page"/>
      </w:r>
    </w:p>
    <w:p w14:paraId="6D38F43A">
      <w:pPr>
        <w:pStyle w:val="3"/>
        <w:bidi w:val="0"/>
        <w:ind w:left="0" w:leftChars="0" w:firstLine="0" w:firstLineChars="0"/>
        <w:jc w:val="center"/>
        <w:rPr>
          <w:rFonts w:hint="eastAsia"/>
          <w:b w:val="0"/>
          <w:bCs/>
          <w:lang w:val="en-US" w:eastAsia="zh-CN"/>
        </w:rPr>
      </w:pPr>
      <w:r>
        <w:rPr>
          <w:rFonts w:hint="eastAsia" w:ascii="方正小标宋简体" w:hAnsi="方正小标宋简体" w:eastAsia="方正小标宋简体" w:cs="方正小标宋简体"/>
          <w:b w:val="0"/>
          <w:bCs/>
          <w:sz w:val="36"/>
          <w:szCs w:val="36"/>
          <w:lang w:val="en-US" w:eastAsia="zh-CN"/>
        </w:rPr>
        <w:t>视频制作技术参数</w:t>
      </w:r>
    </w:p>
    <w:p w14:paraId="1F71640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1.分辨率：视频的清晰度不低于1080p（1920x1080），确保视频在不同设备和平台上播放时都能保持良好的画质；</w:t>
      </w:r>
    </w:p>
    <w:p w14:paraId="3B4B646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2.帧速率：每秒播放的画面传输帧数为30帧/秒，高帧率可以使视频播放更加流畅，尤其是在快速动作的场景中；</w:t>
      </w:r>
    </w:p>
    <w:p w14:paraId="2E60437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3.编码格式：视频文件的压缩方式为h.264，高帧率可以使视频播放更加流畅，尤其是在快速动作的场景中；</w:t>
      </w:r>
    </w:p>
    <w:p w14:paraId="5999146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4.比特率：不低于5Mbps，高比特率能提供更好的图像质量；</w:t>
      </w:r>
    </w:p>
    <w:p w14:paraId="05C55FB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val="0"/>
          <w:bCs/>
          <w:lang w:val="en-US" w:eastAsia="zh-CN"/>
        </w:rPr>
      </w:pPr>
      <w:r>
        <w:rPr>
          <w:rFonts w:hint="eastAsia"/>
          <w:b w:val="0"/>
          <w:bCs/>
          <w:lang w:val="en-US" w:eastAsia="zh-CN"/>
        </w:rPr>
        <w:t>5.音频参数：采样率至少为48kHz，位深至少为24-bit，声道数根据需要选择单声道、立体声或环绕声，高采样率和位深能提供更好的音频质量，而适当的声道数则能增强音频的空间感；</w:t>
      </w:r>
    </w:p>
    <w:p w14:paraId="593797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4.色彩空间：视频颜色范围和分布为rec.709，Rec.709是标准的色彩空间，适用于大多数显示设备；</w:t>
      </w:r>
    </w:p>
    <w:p w14:paraId="37D9738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5.输出格式：视频文件格式为mp4，MP4具有良好的兼容性，是一种广泛支持的格式，适合在线分享和存储；</w:t>
      </w:r>
    </w:p>
    <w:p w14:paraId="431974B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b w:val="0"/>
          <w:bCs/>
          <w:lang w:val="en-US" w:eastAsia="zh-CN"/>
        </w:rPr>
      </w:pPr>
      <w:r>
        <w:rPr>
          <w:rFonts w:hint="eastAsia"/>
          <w:b w:val="0"/>
          <w:bCs/>
          <w:lang w:val="en-US" w:eastAsia="zh-CN"/>
        </w:rPr>
        <w:t>6.画面比例：画面的宽度和高度比例为16:9，16:9是大多数现代显示器和电视的标准比例。</w:t>
      </w:r>
    </w:p>
    <w:p w14:paraId="30DF967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val="0"/>
          <w:bCs/>
          <w:lang w:val="en-US" w:eastAsia="zh-CN"/>
        </w:rPr>
      </w:pPr>
      <w:r>
        <w:rPr>
          <w:rFonts w:hint="eastAsia"/>
          <w:b w:val="0"/>
          <w:bCs/>
          <w:lang w:val="en-US" w:eastAsia="zh-CN"/>
        </w:rPr>
        <w:t>7.</w:t>
      </w:r>
      <w:r>
        <w:rPr>
          <w:rFonts w:hint="default"/>
          <w:b w:val="0"/>
          <w:bCs/>
          <w:lang w:val="en-US" w:eastAsia="zh-CN"/>
        </w:rPr>
        <w:t>后期制作软件</w:t>
      </w:r>
      <w:r>
        <w:rPr>
          <w:rFonts w:hint="eastAsia"/>
          <w:b w:val="0"/>
          <w:bCs/>
          <w:lang w:val="en-US" w:eastAsia="zh-CN"/>
        </w:rPr>
        <w:t>：Adobe Premiere Pro和DaVinci Resolve进行专业的后期制作软件进行编辑和调色，专业的后期制作软件提供更多的功能和更好的效果控制。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75B65D-39AF-4AFC-9629-5899CD8917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86FBD4E-8BAE-4225-B3C0-AE5021869887}"/>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578B23C4-710E-4DBE-BA1D-B9AEBA9D60F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542C4"/>
    <w:rsid w:val="271D2BCE"/>
    <w:rsid w:val="37E34C40"/>
    <w:rsid w:val="5C205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00" w:firstLineChars="200"/>
      <w:jc w:val="both"/>
    </w:pPr>
    <w:rPr>
      <w:rFonts w:ascii="仿宋" w:hAnsi="仿宋" w:eastAsia="仿宋"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Grid Table 4 Accent 5"/>
    <w:basedOn w:val="4"/>
    <w:qFormat/>
    <w:uiPriority w:val="49"/>
    <w:tblPr>
      <w:tblBorders>
        <w:top w:val="single" w:color="7DDED6" w:themeColor="accent5" w:themeTint="99" w:sz="4" w:space="0"/>
        <w:left w:val="single" w:color="7DDED6" w:themeColor="accent5" w:themeTint="99" w:sz="4" w:space="0"/>
        <w:bottom w:val="single" w:color="7DDED6" w:themeColor="accent5" w:themeTint="99" w:sz="4" w:space="0"/>
        <w:right w:val="single" w:color="7DDED6" w:themeColor="accent5" w:themeTint="99" w:sz="4" w:space="0"/>
        <w:insideH w:val="single" w:color="7DDED6" w:themeColor="accent5" w:themeTint="99" w:sz="4" w:space="0"/>
        <w:insideV w:val="single" w:color="7DDED6" w:themeColor="accent5" w:themeTint="99" w:sz="4" w:space="0"/>
      </w:tblBorders>
    </w:tblPr>
    <w:tblStylePr w:type="firstRow">
      <w:rPr>
        <w:b/>
        <w:bCs/>
        <w:color w:val="FFFFFF" w:themeColor="background1"/>
        <w14:textFill>
          <w14:solidFill>
            <w14:schemeClr w14:val="bg1"/>
          </w14:solidFill>
        </w14:textFill>
      </w:rPr>
      <w:tcPr>
        <w:tcBorders>
          <w:top w:val="single" w:color="30C0B4" w:themeColor="accent5" w:sz="4" w:space="0"/>
          <w:left w:val="single" w:color="30C0B4" w:themeColor="accent5" w:sz="4" w:space="0"/>
          <w:bottom w:val="single" w:color="30C0B4" w:themeColor="accent5" w:sz="4" w:space="0"/>
          <w:right w:val="single" w:color="30C0B4" w:themeColor="accent5" w:sz="4" w:space="0"/>
          <w:insideH w:val="nil"/>
          <w:insideV w:val="nil"/>
        </w:tcBorders>
        <w:shd w:val="clear" w:color="auto" w:fill="30C0B4" w:themeFill="accent5"/>
      </w:tcPr>
    </w:tblStylePr>
    <w:tblStylePr w:type="lastRow">
      <w:rPr>
        <w:b/>
        <w:bCs/>
      </w:rPr>
      <w:tcPr>
        <w:tcBorders>
          <w:top w:val="double" w:color="30C0B4" w:themeColor="accent5" w:sz="4" w:space="0"/>
        </w:tcBorders>
      </w:tcPr>
    </w:tblStylePr>
    <w:tblStylePr w:type="firstCol">
      <w:rPr>
        <w:b/>
        <w:bCs/>
      </w:rPr>
    </w:tblStylePr>
    <w:tblStylePr w:type="lastCol">
      <w:rPr>
        <w:b/>
        <w:bCs/>
      </w:rPr>
    </w:tblStylePr>
    <w:tblStylePr w:type="band1Vert">
      <w:tcPr>
        <w:shd w:val="clear" w:color="auto" w:fill="D3F4F1" w:themeFill="accent5" w:themeFillTint="33"/>
      </w:tcPr>
    </w:tblStylePr>
    <w:tblStylePr w:type="band1Horz">
      <w:tcPr>
        <w:shd w:val="clear" w:color="auto" w:fill="D3F4F1" w:themeFill="accent5" w:themeFillTint="33"/>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436</Words>
  <Characters>522</Characters>
  <Lines>0</Lines>
  <Paragraphs>0</Paragraphs>
  <TotalTime>3</TotalTime>
  <ScaleCrop>false</ScaleCrop>
  <LinksUpToDate>false</LinksUpToDate>
  <CharactersWithSpaces>525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2024-12-19T03:52:00Z</dcterms:created>
  <dc:creator>李建洋</dc:creator>
  <cp:lastModifiedBy>邸韬</cp:lastModifiedBy>
  <dcterms:modified xsi:type="dcterms:W3CDTF">2025-01-06T04:09:11Z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D3BFC9D890D446C295A5C15ED5A1D096_13</vt:lpwstr>
  </property>
  <property fmtid="{D5CDD505-2E9C-101B-9397-08002B2CF9AE}" pid="4" name="KSOTemplateDocerSaveRecord">
    <vt:lpwstr>eyJoZGlkIjoiY2Y2MTU2NjFiODlmMDExNDkwNzAwYTAwOWE4ZGMyNzkiLCJ1c2VySWQiOiI1NDU2OTE0NjAifQ==</vt:lpwstr>
  </property>
</Properties>
</file>