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spacing w:line="360" w:lineRule="auto"/>
        <w:ind w:firstLine="551" w:firstLineChars="197"/>
        <w:rPr>
          <w:rFonts w:hint="eastAsia"/>
          <w:sz w:val="28"/>
          <w:szCs w:val="28"/>
          <w:lang w:val="en-US" w:eastAsia="zh-CN"/>
        </w:rPr>
      </w:pPr>
      <w:r>
        <w:rPr>
          <w:rFonts w:hint="eastAsia"/>
          <w:sz w:val="28"/>
          <w:szCs w:val="28"/>
        </w:rPr>
        <w:t>项目名称：兰州职业技术学院</w:t>
      </w:r>
      <w:r>
        <w:rPr>
          <w:rFonts w:hint="eastAsia"/>
          <w:sz w:val="28"/>
          <w:szCs w:val="28"/>
          <w:lang w:eastAsia="zh-CN"/>
        </w:rPr>
        <w:t>“</w:t>
      </w:r>
      <w:r>
        <w:rPr>
          <w:rFonts w:hint="eastAsia"/>
          <w:sz w:val="28"/>
          <w:szCs w:val="28"/>
          <w:lang w:val="en-US" w:eastAsia="zh-CN"/>
        </w:rPr>
        <w:t>双高</w:t>
      </w:r>
      <w:r>
        <w:rPr>
          <w:rFonts w:hint="eastAsia"/>
          <w:sz w:val="28"/>
          <w:szCs w:val="28"/>
          <w:lang w:eastAsia="zh-CN"/>
        </w:rPr>
        <w:t>”</w:t>
      </w:r>
      <w:r>
        <w:rPr>
          <w:rFonts w:hint="eastAsia"/>
          <w:sz w:val="28"/>
          <w:szCs w:val="28"/>
          <w:lang w:val="en-US" w:eastAsia="zh-CN"/>
        </w:rPr>
        <w:t>校文化中心配套设施项目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w:t>
      </w:r>
      <w:r>
        <w:rPr>
          <w:rFonts w:hint="eastAsia"/>
          <w:sz w:val="28"/>
          <w:szCs w:val="28"/>
          <w:lang w:val="en-US" w:eastAsia="zh-CN"/>
        </w:rPr>
        <w:t>20018</w:t>
      </w:r>
      <w:bookmarkStart w:id="14" w:name="_GoBack"/>
      <w:bookmarkEnd w:id="14"/>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2</w:t>
      </w:r>
      <w:r>
        <w:rPr>
          <w:rFonts w:hint="eastAsia"/>
          <w:sz w:val="28"/>
          <w:szCs w:val="28"/>
        </w:rPr>
        <w:t>年</w:t>
      </w:r>
      <w:r>
        <w:rPr>
          <w:rFonts w:hint="eastAsia"/>
          <w:sz w:val="28"/>
          <w:szCs w:val="28"/>
          <w:lang w:val="en-US" w:eastAsia="zh-CN"/>
        </w:rPr>
        <w:t>7</w:t>
      </w:r>
      <w:r>
        <w:rPr>
          <w:rFonts w:hint="eastAsia"/>
          <w:sz w:val="28"/>
          <w:szCs w:val="28"/>
        </w:rPr>
        <w:t>月</w:t>
      </w:r>
      <w:r>
        <w:rPr>
          <w:rFonts w:hint="eastAsia"/>
          <w:sz w:val="28"/>
          <w:szCs w:val="28"/>
          <w:lang w:val="en-US" w:eastAsia="zh-CN"/>
        </w:rPr>
        <w:t>7</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 xml:space="preserve">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根据兰州职业技术学院</w:t>
      </w:r>
      <w:r>
        <w:rPr>
          <w:rFonts w:hint="eastAsia" w:ascii="宋体" w:hAnsi="宋体"/>
          <w:sz w:val="24"/>
          <w:lang w:val="en-US" w:eastAsia="zh-CN"/>
        </w:rPr>
        <w:t>双高</w:t>
      </w:r>
      <w:r>
        <w:rPr>
          <w:rFonts w:hint="eastAsia" w:ascii="宋体" w:hAnsi="宋体"/>
          <w:sz w:val="24"/>
          <w:lang w:eastAsia="zh-CN"/>
        </w:rPr>
        <w:t>”</w:t>
      </w:r>
      <w:r>
        <w:rPr>
          <w:rFonts w:hint="eastAsia" w:ascii="宋体" w:hAnsi="宋体"/>
          <w:sz w:val="24"/>
          <w:lang w:val="en-US" w:eastAsia="zh-CN"/>
        </w:rPr>
        <w:t>校文化中心建设</w:t>
      </w:r>
      <w:r>
        <w:rPr>
          <w:rFonts w:hint="eastAsia" w:ascii="宋体" w:hAnsi="宋体"/>
          <w:sz w:val="24"/>
        </w:rPr>
        <w:t>需要，现拟对兰州职业技术学院</w:t>
      </w:r>
      <w:r>
        <w:rPr>
          <w:rFonts w:hint="eastAsia" w:ascii="宋体" w:hAnsi="宋体"/>
          <w:sz w:val="24"/>
          <w:lang w:val="en-US" w:eastAsia="zh-CN"/>
        </w:rPr>
        <w:t>双高</w:t>
      </w:r>
      <w:r>
        <w:rPr>
          <w:rFonts w:hint="eastAsia" w:ascii="宋体" w:hAnsi="宋体"/>
          <w:sz w:val="24"/>
          <w:lang w:eastAsia="zh-CN"/>
        </w:rPr>
        <w:t>”</w:t>
      </w:r>
      <w:r>
        <w:rPr>
          <w:rFonts w:hint="eastAsia" w:ascii="宋体" w:hAnsi="宋体"/>
          <w:sz w:val="24"/>
          <w:lang w:val="en-US" w:eastAsia="zh-CN"/>
        </w:rPr>
        <w:t>校文化中心配套设施项目</w:t>
      </w:r>
      <w:r>
        <w:rPr>
          <w:rFonts w:hint="eastAsia" w:ascii="宋体" w:hAnsi="宋体"/>
          <w:sz w:val="24"/>
        </w:rPr>
        <w:t>进行询价采购。欢迎满足资格要求的供应商前来参加，具体事宜公告如下：</w:t>
      </w:r>
    </w:p>
    <w:p>
      <w:pPr>
        <w:spacing w:line="360" w:lineRule="auto"/>
        <w:ind w:firstLine="472" w:firstLineChars="197"/>
        <w:rPr>
          <w:rFonts w:hint="default" w:ascii="宋体" w:hAnsi="宋体" w:eastAsia="宋体"/>
          <w:sz w:val="24"/>
          <w:lang w:val="en-US" w:eastAsia="zh-CN"/>
        </w:rPr>
      </w:pPr>
      <w:r>
        <w:rPr>
          <w:rFonts w:hint="eastAsia" w:ascii="宋体" w:hAnsi="宋体"/>
          <w:sz w:val="24"/>
        </w:rPr>
        <w:t>一、采购项目编号：LZXJ—202200</w:t>
      </w:r>
      <w:r>
        <w:rPr>
          <w:rFonts w:hint="eastAsia" w:ascii="宋体" w:hAnsi="宋体"/>
          <w:sz w:val="24"/>
          <w:lang w:val="en-US" w:eastAsia="zh-CN"/>
        </w:rPr>
        <w:t>18</w:t>
      </w:r>
    </w:p>
    <w:p>
      <w:pPr>
        <w:spacing w:line="360" w:lineRule="auto"/>
        <w:ind w:firstLine="472" w:firstLineChars="197"/>
        <w:rPr>
          <w:rFonts w:hint="default" w:ascii="宋体" w:hAnsi="宋体"/>
          <w:sz w:val="24"/>
          <w:lang w:val="en-US" w:eastAsia="zh-CN"/>
        </w:rPr>
      </w:pPr>
      <w:r>
        <w:rPr>
          <w:rFonts w:hint="eastAsia" w:ascii="宋体" w:hAnsi="宋体"/>
          <w:sz w:val="24"/>
        </w:rPr>
        <w:t>二、采购项目名称：兰州职业技术学院</w:t>
      </w:r>
      <w:r>
        <w:rPr>
          <w:rFonts w:hint="eastAsia" w:ascii="宋体" w:hAnsi="宋体"/>
          <w:sz w:val="24"/>
          <w:lang w:val="en-US" w:eastAsia="zh-CN"/>
        </w:rPr>
        <w:t>双高</w:t>
      </w:r>
      <w:r>
        <w:rPr>
          <w:rFonts w:hint="eastAsia" w:ascii="宋体" w:hAnsi="宋体"/>
          <w:sz w:val="24"/>
          <w:lang w:eastAsia="zh-CN"/>
        </w:rPr>
        <w:t>”</w:t>
      </w:r>
      <w:r>
        <w:rPr>
          <w:rFonts w:hint="eastAsia" w:ascii="宋体" w:hAnsi="宋体"/>
          <w:sz w:val="24"/>
          <w:lang w:val="en-US" w:eastAsia="zh-CN"/>
        </w:rPr>
        <w:t xml:space="preserve">校文化中心配套设施项目                  </w:t>
      </w:r>
    </w:p>
    <w:p>
      <w:pPr>
        <w:spacing w:line="360" w:lineRule="auto"/>
        <w:ind w:firstLine="480" w:firstLineChars="200"/>
        <w:rPr>
          <w:rFonts w:ascii="宋体" w:hAnsi="宋体"/>
          <w:sz w:val="24"/>
        </w:rPr>
      </w:pPr>
      <w:r>
        <w:rPr>
          <w:rFonts w:hint="eastAsia" w:ascii="宋体" w:hAnsi="宋体"/>
          <w:sz w:val="24"/>
        </w:rPr>
        <w:t>三、采购方式：询价采购</w:t>
      </w:r>
    </w:p>
    <w:p>
      <w:pPr>
        <w:spacing w:line="360" w:lineRule="auto"/>
        <w:ind w:firstLine="480" w:firstLineChars="200"/>
        <w:rPr>
          <w:rFonts w:hint="eastAsia" w:ascii="宋体" w:hAnsi="宋体"/>
          <w:sz w:val="24"/>
        </w:rPr>
      </w:pPr>
      <w:r>
        <w:rPr>
          <w:rFonts w:hint="eastAsia" w:ascii="宋体" w:hAnsi="宋体"/>
          <w:sz w:val="24"/>
        </w:rPr>
        <w:t>四、采购内容及预算金额：</w:t>
      </w:r>
    </w:p>
    <w:p>
      <w:pPr>
        <w:spacing w:line="360" w:lineRule="auto"/>
        <w:ind w:firstLine="480" w:firstLineChars="200"/>
        <w:rPr>
          <w:rFonts w:hint="default" w:ascii="宋体" w:hAnsi="宋体" w:eastAsia="宋体"/>
          <w:sz w:val="24"/>
          <w:lang w:val="en-US" w:eastAsia="zh-CN"/>
        </w:rPr>
      </w:pPr>
      <w:r>
        <w:rPr>
          <w:rFonts w:hint="eastAsia" w:ascii="宋体" w:hAnsi="宋体"/>
          <w:sz w:val="24"/>
          <w:lang w:val="en-US" w:eastAsia="zh-CN"/>
        </w:rPr>
        <w:t xml:space="preserve">     采购内容：</w:t>
      </w:r>
      <w:r>
        <w:rPr>
          <w:rFonts w:hint="eastAsia" w:ascii="宋体" w:hAnsi="宋体"/>
          <w:sz w:val="24"/>
        </w:rPr>
        <w:t>兰州职业技术学院</w:t>
      </w:r>
      <w:r>
        <w:rPr>
          <w:rFonts w:hint="eastAsia" w:ascii="宋体" w:hAnsi="宋体"/>
          <w:sz w:val="24"/>
          <w:lang w:val="en-US" w:eastAsia="zh-CN"/>
        </w:rPr>
        <w:t>双高</w:t>
      </w:r>
      <w:r>
        <w:rPr>
          <w:rFonts w:hint="eastAsia" w:ascii="宋体" w:hAnsi="宋体"/>
          <w:sz w:val="24"/>
          <w:lang w:eastAsia="zh-CN"/>
        </w:rPr>
        <w:t>”</w:t>
      </w:r>
      <w:r>
        <w:rPr>
          <w:rFonts w:hint="eastAsia" w:ascii="宋体" w:hAnsi="宋体"/>
          <w:sz w:val="24"/>
          <w:lang w:val="en-US" w:eastAsia="zh-CN"/>
        </w:rPr>
        <w:t>校文化中心配套设施</w:t>
      </w:r>
    </w:p>
    <w:p>
      <w:pPr>
        <w:spacing w:line="360" w:lineRule="auto"/>
        <w:ind w:firstLine="720" w:firstLineChars="300"/>
        <w:rPr>
          <w:rFonts w:hint="default" w:eastAsia="宋体"/>
          <w:sz w:val="24"/>
          <w:lang w:val="en-US" w:eastAsia="zh-CN"/>
        </w:rPr>
      </w:pPr>
      <w:r>
        <w:rPr>
          <w:rFonts w:hint="eastAsia" w:ascii="宋体" w:hAnsi="宋体"/>
          <w:sz w:val="24"/>
        </w:rPr>
        <w:t xml:space="preserve">  </w:t>
      </w:r>
      <w:r>
        <w:rPr>
          <w:rFonts w:hint="eastAsia" w:ascii="宋体" w:hAnsi="宋体"/>
          <w:sz w:val="24"/>
          <w:lang w:val="en-US" w:eastAsia="zh-CN"/>
        </w:rPr>
        <w:t>预算金额：200000元</w:t>
      </w:r>
    </w:p>
    <w:p>
      <w:pPr>
        <w:spacing w:line="360" w:lineRule="auto"/>
        <w:ind w:firstLine="480" w:firstLineChars="200"/>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w:t>
      </w:r>
      <w:r>
        <w:rPr>
          <w:rFonts w:hint="eastAsia" w:ascii="宋体" w:hAnsi="宋体" w:cs="宋体"/>
          <w:kern w:val="0"/>
          <w:sz w:val="24"/>
          <w:lang w:val="en-US" w:eastAsia="zh-CN"/>
        </w:rPr>
        <w:t>20</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w:t>
      </w:r>
      <w:r>
        <w:rPr>
          <w:rFonts w:hint="eastAsia" w:ascii="宋体" w:hAnsi="宋体" w:cs="宋体"/>
          <w:kern w:val="0"/>
          <w:sz w:val="24"/>
        </w:rPr>
        <w:t>。未按上述要求制作询价响应性文件的，将视为无效投标。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2</w:t>
      </w:r>
      <w:r>
        <w:rPr>
          <w:rFonts w:hint="eastAsia" w:ascii="宋体" w:hAnsi="宋体"/>
          <w:sz w:val="24"/>
        </w:rPr>
        <w:t>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14</w:t>
      </w:r>
      <w:r>
        <w:rPr>
          <w:rFonts w:hint="eastAsia" w:ascii="宋体" w:hAnsi="宋体"/>
          <w:sz w:val="24"/>
        </w:rPr>
        <w:t>日上午</w:t>
      </w:r>
      <w:r>
        <w:rPr>
          <w:rFonts w:hint="eastAsia" w:ascii="宋体" w:hAnsi="宋体"/>
          <w:sz w:val="24"/>
          <w:lang w:val="en-US" w:eastAsia="zh-CN"/>
        </w:rPr>
        <w:t>10</w:t>
      </w:r>
      <w:r>
        <w:rPr>
          <w:rFonts w:ascii="宋体" w:hAnsi="宋体"/>
          <w:sz w:val="24"/>
        </w:rPr>
        <w:t>:</w:t>
      </w:r>
      <w:r>
        <w:rPr>
          <w:rFonts w:hint="eastAsia" w:ascii="宋体" w:hAnsi="宋体"/>
          <w:sz w:val="24"/>
          <w:lang w:val="en-US" w:eastAsia="zh-CN"/>
        </w:rPr>
        <w:t>0</w:t>
      </w:r>
      <w:r>
        <w:rPr>
          <w:rFonts w:hint="eastAsia" w:ascii="宋体" w:hAnsi="宋体"/>
          <w:sz w:val="24"/>
        </w:rPr>
        <w:t>0分，逾期不予受理。</w:t>
      </w:r>
    </w:p>
    <w:p>
      <w:pPr>
        <w:spacing w:line="360" w:lineRule="auto"/>
        <w:ind w:firstLine="496" w:firstLineChars="207"/>
        <w:rPr>
          <w:rFonts w:ascii="宋体" w:hAnsi="宋体" w:cs="宋体"/>
          <w:sz w:val="24"/>
        </w:rPr>
      </w:pPr>
      <w:r>
        <w:rPr>
          <w:rFonts w:hint="eastAsia" w:ascii="宋体" w:hAnsi="宋体"/>
          <w:sz w:val="24"/>
        </w:rPr>
        <w:t>响应文件递交地点：</w:t>
      </w:r>
      <w:r>
        <w:rPr>
          <w:rFonts w:ascii="宋体" w:hAnsi="宋体" w:cs="宋体"/>
          <w:sz w:val="24"/>
        </w:rPr>
        <w:t>甘肃省兰州市城关区天水北路</w:t>
      </w:r>
      <w:r>
        <w:rPr>
          <w:rFonts w:hint="eastAsia" w:ascii="宋体" w:hAnsi="宋体" w:cs="宋体"/>
          <w:sz w:val="24"/>
        </w:rPr>
        <w:t>828号良志.兰州之窗1号楼（A座）11层</w:t>
      </w:r>
    </w:p>
    <w:p>
      <w:pPr>
        <w:spacing w:line="360" w:lineRule="auto"/>
        <w:rPr>
          <w:rFonts w:ascii="宋体" w:hAnsi="宋体" w:cs="宋体"/>
          <w:sz w:val="24"/>
        </w:rPr>
      </w:pPr>
      <w:r>
        <w:rPr>
          <w:rFonts w:hint="eastAsia" w:ascii="宋体" w:hAnsi="宋体" w:cs="宋体"/>
          <w:sz w:val="24"/>
          <w:lang w:val="en-US" w:eastAsia="zh-CN"/>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lang w:val="en-US"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val="en-US" w:eastAsia="zh-CN"/>
        </w:rPr>
        <w:t>吴</w:t>
      </w:r>
      <w:r>
        <w:rPr>
          <w:rFonts w:hint="eastAsia" w:ascii="宋体" w:hAnsi="宋体" w:cs="宋体"/>
          <w:sz w:val="24"/>
          <w:lang w:val="en-US" w:eastAsia="zh-CN"/>
        </w:rPr>
        <w:t>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numPr>
          <w:ilvl w:val="0"/>
          <w:numId w:val="0"/>
        </w:numPr>
        <w:spacing w:line="360" w:lineRule="auto"/>
        <w:ind w:firstLine="480"/>
        <w:rPr>
          <w:rFonts w:hint="default" w:ascii="宋体" w:hAnsi="宋体" w:cs="宋体"/>
          <w:sz w:val="24"/>
          <w:lang w:val="en-US" w:eastAsia="zh-CN"/>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2</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7</w:t>
      </w:r>
      <w:r>
        <w:rPr>
          <w:rFonts w:ascii="宋体" w:hAnsi="宋体"/>
          <w:sz w:val="24"/>
        </w:rPr>
        <w:t>日</w:t>
      </w:r>
    </w:p>
    <w:p>
      <w:pPr>
        <w:pStyle w:val="2"/>
        <w:spacing w:before="0"/>
        <w:jc w:val="cente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rPr>
          <w:rFonts w:ascii="宋体" w:hAnsi="宋体"/>
        </w:rPr>
        <w:br w:type="page"/>
      </w:r>
    </w:p>
    <w:p>
      <w:pP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tbl>
      <w:tblPr>
        <w:tblStyle w:val="19"/>
        <w:tblW w:w="910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0"/>
        <w:gridCol w:w="676"/>
        <w:gridCol w:w="4096"/>
        <w:gridCol w:w="727"/>
        <w:gridCol w:w="877"/>
        <w:gridCol w:w="22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物料名称</w:t>
            </w:r>
          </w:p>
        </w:tc>
        <w:tc>
          <w:tcPr>
            <w:tcW w:w="4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尺寸/型号</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接待沙发</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1020*800*920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1、采用优质品牌优质布艺饰面，耐磨，防褪色。                                        2、海棉：采用高密度裁切海绵，弹性好不易变形，软硬适中，座垫的密度45kg/m3 ,靠背的密度35kg/m3 ，回弹力60%。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框架：使用优质橡木脚架，质地坚硬，不易变形，经高温、高压、防蛀处理，含水率低于9%。                              3、曲木板材：依据人体工程学原理设计采用1.5MM夹板八层垫压成型，成型板材约12MM厚，板材承受压力≥300KG，经防潮、防腐、防虫化学处理。</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-17780</wp:posOffset>
                  </wp:positionH>
                  <wp:positionV relativeFrom="paragraph">
                    <wp:posOffset>565785</wp:posOffset>
                  </wp:positionV>
                  <wp:extent cx="1294765" cy="666115"/>
                  <wp:effectExtent l="0" t="0" r="635" b="635"/>
                  <wp:wrapNone/>
                  <wp:docPr id="8" name="图片_1"/>
                  <wp:cNvGraphicFramePr/>
                  <a:graphic xmlns:a="http://schemas.openxmlformats.org/drawingml/2006/main">
                    <a:graphicData uri="http://schemas.openxmlformats.org/drawingml/2006/picture">
                      <pic:pic xmlns:pic="http://schemas.openxmlformats.org/drawingml/2006/picture">
                        <pic:nvPicPr>
                          <pic:cNvPr id="8" name="图片_1"/>
                          <pic:cNvPicPr/>
                        </pic:nvPicPr>
                        <pic:blipFill>
                          <a:blip r:embed="rId4"/>
                          <a:stretch>
                            <a:fillRect/>
                          </a:stretch>
                        </pic:blipFill>
                        <pic:spPr>
                          <a:xfrm>
                            <a:off x="0" y="0"/>
                            <a:ext cx="1294765" cy="66611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茶几</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尺寸：480*680*550 基材：板材采用一级高密度中纤板，密度达标700KG/㎡以上，符合国际E1级标准，并经过防潮、防虫、防腐处理，抗弯力强，不易变形；油漆：胡桃色，采用A级油漆，经9道磨退工艺，油漆面无颗粒，颜色均匀，硬度高，油漆硬度≥2H，耐热性要求放100度开水无烫痕；胶水：国家一级环保胶水，粘合力强度大，产品甲醛释放的含量符合国家标准≤1.7mg/L；所有木质材料经过严格的杀菌，杀虫处理；</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组</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209550</wp:posOffset>
                  </wp:positionH>
                  <wp:positionV relativeFrom="paragraph">
                    <wp:posOffset>184150</wp:posOffset>
                  </wp:positionV>
                  <wp:extent cx="1043305" cy="832485"/>
                  <wp:effectExtent l="0" t="0" r="4445" b="5715"/>
                  <wp:wrapNone/>
                  <wp:docPr id="9" name="图片_12"/>
                  <wp:cNvGraphicFramePr/>
                  <a:graphic xmlns:a="http://schemas.openxmlformats.org/drawingml/2006/main">
                    <a:graphicData uri="http://schemas.openxmlformats.org/drawingml/2006/picture">
                      <pic:pic xmlns:pic="http://schemas.openxmlformats.org/drawingml/2006/picture">
                        <pic:nvPicPr>
                          <pic:cNvPr id="9" name="图片_12"/>
                          <pic:cNvPicPr/>
                        </pic:nvPicPr>
                        <pic:blipFill>
                          <a:blip r:embed="rId5"/>
                          <a:stretch>
                            <a:fillRect/>
                          </a:stretch>
                        </pic:blipFill>
                        <pic:spPr>
                          <a:xfrm>
                            <a:off x="0" y="0"/>
                            <a:ext cx="1043305" cy="83248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会议桌</w:t>
            </w:r>
          </w:p>
        </w:tc>
        <w:tc>
          <w:tcPr>
            <w:tcW w:w="4096"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尺寸：11000*2400</w:t>
            </w:r>
            <w:r>
              <w:rPr>
                <w:rFonts w:ascii="Calibri" w:hAnsi="Calibri" w:eastAsia="宋体" w:cs="Calibri"/>
                <w:i w:val="0"/>
                <w:iCs w:val="0"/>
                <w:color w:val="000000"/>
                <w:kern w:val="0"/>
                <w:sz w:val="15"/>
                <w:szCs w:val="15"/>
                <w:u w:val="none"/>
                <w:lang w:val="en-US" w:eastAsia="zh-CN" w:bidi="ar"/>
              </w:rPr>
              <w:t xml:space="preserve">*750mm </w:t>
            </w:r>
            <w:r>
              <w:rPr>
                <w:rFonts w:hint="eastAsia" w:ascii="宋体" w:hAnsi="宋体" w:eastAsia="宋体" w:cs="宋体"/>
                <w:i w:val="0"/>
                <w:iCs w:val="0"/>
                <w:color w:val="000000"/>
                <w:kern w:val="0"/>
                <w:sz w:val="15"/>
                <w:szCs w:val="15"/>
                <w:u w:val="none"/>
                <w:lang w:val="en-US" w:eastAsia="zh-CN" w:bidi="ar"/>
              </w:rPr>
              <w:t>基材：板材采用一级高密度中纤板，密度达标</w:t>
            </w:r>
            <w:r>
              <w:rPr>
                <w:rFonts w:ascii="Calibri" w:hAnsi="Calibri" w:eastAsia="宋体" w:cs="Calibri"/>
                <w:i w:val="0"/>
                <w:iCs w:val="0"/>
                <w:color w:val="000000"/>
                <w:kern w:val="0"/>
                <w:sz w:val="15"/>
                <w:szCs w:val="15"/>
                <w:u w:val="none"/>
                <w:lang w:val="en-US" w:eastAsia="zh-CN" w:bidi="ar"/>
              </w:rPr>
              <w:t>700KG/</w:t>
            </w:r>
            <w:r>
              <w:rPr>
                <w:rFonts w:hint="eastAsia" w:ascii="宋体" w:hAnsi="宋体" w:eastAsia="宋体" w:cs="宋体"/>
                <w:i w:val="0"/>
                <w:iCs w:val="0"/>
                <w:color w:val="000000"/>
                <w:kern w:val="0"/>
                <w:sz w:val="15"/>
                <w:szCs w:val="15"/>
                <w:u w:val="none"/>
                <w:lang w:val="en-US" w:eastAsia="zh-CN" w:bidi="ar"/>
              </w:rPr>
              <w:t>㎡以上，符合国际</w:t>
            </w:r>
            <w:r>
              <w:rPr>
                <w:rFonts w:ascii="Calibri" w:hAnsi="Calibri" w:eastAsia="宋体" w:cs="Calibri"/>
                <w:i w:val="0"/>
                <w:iCs w:val="0"/>
                <w:color w:val="000000"/>
                <w:kern w:val="0"/>
                <w:sz w:val="15"/>
                <w:szCs w:val="15"/>
                <w:u w:val="none"/>
                <w:lang w:val="en-US" w:eastAsia="zh-CN" w:bidi="ar"/>
              </w:rPr>
              <w:t>E1</w:t>
            </w:r>
            <w:r>
              <w:rPr>
                <w:rFonts w:hint="eastAsia" w:ascii="宋体" w:hAnsi="宋体" w:eastAsia="宋体" w:cs="宋体"/>
                <w:i w:val="0"/>
                <w:iCs w:val="0"/>
                <w:color w:val="000000"/>
                <w:kern w:val="0"/>
                <w:sz w:val="15"/>
                <w:szCs w:val="15"/>
                <w:u w:val="none"/>
                <w:lang w:val="en-US" w:eastAsia="zh-CN" w:bidi="ar"/>
              </w:rPr>
              <w:t>级标准，并经过防潮、防虫、防腐处理，抗弯力强，不易变形；油漆：胡桃色，采用</w:t>
            </w:r>
            <w:r>
              <w:rPr>
                <w:rFonts w:ascii="Calibri" w:hAnsi="Calibri" w:eastAsia="宋体" w:cs="Calibri"/>
                <w:i w:val="0"/>
                <w:iCs w:val="0"/>
                <w:color w:val="000000"/>
                <w:kern w:val="0"/>
                <w:sz w:val="15"/>
                <w:szCs w:val="15"/>
                <w:u w:val="none"/>
                <w:lang w:val="en-US" w:eastAsia="zh-CN" w:bidi="ar"/>
              </w:rPr>
              <w:t>A</w:t>
            </w:r>
            <w:r>
              <w:rPr>
                <w:rFonts w:hint="eastAsia" w:ascii="宋体" w:hAnsi="宋体" w:eastAsia="宋体" w:cs="宋体"/>
                <w:i w:val="0"/>
                <w:iCs w:val="0"/>
                <w:color w:val="000000"/>
                <w:kern w:val="0"/>
                <w:sz w:val="15"/>
                <w:szCs w:val="15"/>
                <w:u w:val="none"/>
                <w:lang w:val="en-US" w:eastAsia="zh-CN" w:bidi="ar"/>
              </w:rPr>
              <w:t>级油漆，经</w:t>
            </w:r>
            <w:r>
              <w:rPr>
                <w:rFonts w:ascii="Calibri" w:hAnsi="Calibri" w:eastAsia="宋体" w:cs="Calibri"/>
                <w:i w:val="0"/>
                <w:iCs w:val="0"/>
                <w:color w:val="000000"/>
                <w:kern w:val="0"/>
                <w:sz w:val="15"/>
                <w:szCs w:val="15"/>
                <w:u w:val="none"/>
                <w:lang w:val="en-US" w:eastAsia="zh-CN" w:bidi="ar"/>
              </w:rPr>
              <w:t>9</w:t>
            </w:r>
            <w:r>
              <w:rPr>
                <w:rFonts w:hint="eastAsia" w:ascii="宋体" w:hAnsi="宋体" w:eastAsia="宋体" w:cs="宋体"/>
                <w:i w:val="0"/>
                <w:iCs w:val="0"/>
                <w:color w:val="000000"/>
                <w:kern w:val="0"/>
                <w:sz w:val="15"/>
                <w:szCs w:val="15"/>
                <w:u w:val="none"/>
                <w:lang w:val="en-US" w:eastAsia="zh-CN" w:bidi="ar"/>
              </w:rPr>
              <w:t>道磨退工艺，油漆面无颗粒，颜色均匀，硬度高，油漆硬度</w:t>
            </w:r>
            <w:r>
              <w:rPr>
                <w:rFonts w:ascii="Calibri" w:hAnsi="Calibri" w:eastAsia="宋体" w:cs="Calibri"/>
                <w:i w:val="0"/>
                <w:iCs w:val="0"/>
                <w:color w:val="000000"/>
                <w:kern w:val="0"/>
                <w:sz w:val="15"/>
                <w:szCs w:val="15"/>
                <w:u w:val="none"/>
                <w:lang w:val="en-US" w:eastAsia="zh-CN" w:bidi="ar"/>
              </w:rPr>
              <w:t>≥2H</w:t>
            </w:r>
            <w:r>
              <w:rPr>
                <w:rFonts w:hint="eastAsia" w:ascii="宋体" w:hAnsi="宋体" w:eastAsia="宋体" w:cs="宋体"/>
                <w:i w:val="0"/>
                <w:iCs w:val="0"/>
                <w:color w:val="000000"/>
                <w:kern w:val="0"/>
                <w:sz w:val="15"/>
                <w:szCs w:val="15"/>
                <w:u w:val="none"/>
                <w:lang w:val="en-US" w:eastAsia="zh-CN" w:bidi="ar"/>
              </w:rPr>
              <w:t>，耐热性要求放</w:t>
            </w:r>
            <w:r>
              <w:rPr>
                <w:rFonts w:ascii="Calibri" w:hAnsi="Calibri" w:eastAsia="宋体" w:cs="Calibri"/>
                <w:i w:val="0"/>
                <w:iCs w:val="0"/>
                <w:color w:val="000000"/>
                <w:kern w:val="0"/>
                <w:sz w:val="15"/>
                <w:szCs w:val="15"/>
                <w:u w:val="none"/>
                <w:lang w:val="en-US" w:eastAsia="zh-CN" w:bidi="ar"/>
              </w:rPr>
              <w:t>100</w:t>
            </w:r>
            <w:r>
              <w:rPr>
                <w:rFonts w:hint="eastAsia" w:ascii="宋体" w:hAnsi="宋体" w:eastAsia="宋体" w:cs="宋体"/>
                <w:i w:val="0"/>
                <w:iCs w:val="0"/>
                <w:color w:val="000000"/>
                <w:kern w:val="0"/>
                <w:sz w:val="15"/>
                <w:szCs w:val="15"/>
                <w:u w:val="none"/>
                <w:lang w:val="en-US" w:eastAsia="zh-CN" w:bidi="ar"/>
              </w:rPr>
              <w:t>度开水无烫痕；胶水：国家一级环保胶水，粘合力强度大，产品甲醛释放的含量符合国家标准</w:t>
            </w:r>
            <w:r>
              <w:rPr>
                <w:rFonts w:ascii="Calibri" w:hAnsi="Calibri" w:eastAsia="宋体" w:cs="Calibri"/>
                <w:i w:val="0"/>
                <w:iCs w:val="0"/>
                <w:color w:val="000000"/>
                <w:kern w:val="0"/>
                <w:sz w:val="15"/>
                <w:szCs w:val="15"/>
                <w:u w:val="none"/>
                <w:lang w:val="en-US" w:eastAsia="zh-CN" w:bidi="ar"/>
              </w:rPr>
              <w:t>≤1.7mg/L</w:t>
            </w:r>
            <w:r>
              <w:rPr>
                <w:rFonts w:hint="eastAsia" w:ascii="宋体" w:hAnsi="宋体" w:eastAsia="宋体" w:cs="宋体"/>
                <w:i w:val="0"/>
                <w:iCs w:val="0"/>
                <w:color w:val="000000"/>
                <w:kern w:val="0"/>
                <w:sz w:val="15"/>
                <w:szCs w:val="15"/>
                <w:u w:val="none"/>
                <w:lang w:val="en-US" w:eastAsia="zh-CN" w:bidi="ar"/>
              </w:rPr>
              <w:t>；所有木质材料经过严格的杀菌，杀虫处理；</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238125</wp:posOffset>
                  </wp:positionH>
                  <wp:positionV relativeFrom="paragraph">
                    <wp:posOffset>116205</wp:posOffset>
                  </wp:positionV>
                  <wp:extent cx="852805" cy="909955"/>
                  <wp:effectExtent l="0" t="0" r="4445" b="4445"/>
                  <wp:wrapNone/>
                  <wp:docPr id="6" name="图片_2"/>
                  <wp:cNvGraphicFramePr/>
                  <a:graphic xmlns:a="http://schemas.openxmlformats.org/drawingml/2006/main">
                    <a:graphicData uri="http://schemas.openxmlformats.org/drawingml/2006/picture">
                      <pic:pic xmlns:pic="http://schemas.openxmlformats.org/drawingml/2006/picture">
                        <pic:nvPicPr>
                          <pic:cNvPr id="6" name="图片_2"/>
                          <pic:cNvPicPr/>
                        </pic:nvPicPr>
                        <pic:blipFill>
                          <a:blip r:embed="rId6"/>
                          <a:stretch>
                            <a:fillRect/>
                          </a:stretch>
                        </pic:blipFill>
                        <pic:spPr>
                          <a:xfrm>
                            <a:off x="0" y="0"/>
                            <a:ext cx="852805" cy="90995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会议椅</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670*1140mm，橡木框架，采用优质环保不助燃定型海绵，使用寿命长且不易变形；外包黑色优质西皮；坐背内采用热压成型多层弯曲木胶合板，厚度10-12mm；                                               力学性能：椅座静载荷大于1300N，椅背静荷载大于560N，椅座平衡大于1000N,扶手静荷载大于800N。固定脚，不可升降</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把</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26</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342900</wp:posOffset>
                  </wp:positionH>
                  <wp:positionV relativeFrom="paragraph">
                    <wp:posOffset>87630</wp:posOffset>
                  </wp:positionV>
                  <wp:extent cx="727075" cy="948690"/>
                  <wp:effectExtent l="0" t="0" r="15875" b="3810"/>
                  <wp:wrapNone/>
                  <wp:docPr id="10" name="Picture_446"/>
                  <wp:cNvGraphicFramePr/>
                  <a:graphic xmlns:a="http://schemas.openxmlformats.org/drawingml/2006/main">
                    <a:graphicData uri="http://schemas.openxmlformats.org/drawingml/2006/picture">
                      <pic:pic xmlns:pic="http://schemas.openxmlformats.org/drawingml/2006/picture">
                        <pic:nvPicPr>
                          <pic:cNvPr id="10" name="Picture_446"/>
                          <pic:cNvPicPr/>
                        </pic:nvPicPr>
                        <pic:blipFill>
                          <a:blip r:embed="rId7"/>
                          <a:stretch>
                            <a:fillRect/>
                          </a:stretch>
                        </pic:blipFill>
                        <pic:spPr>
                          <a:xfrm>
                            <a:off x="0" y="0"/>
                            <a:ext cx="727075" cy="94869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主席台</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1600*600*750mm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基材：板材采用一级高密度中纤板，密度达标700KG/㎡以上，符合国际E1级标准，并经过防潮、防虫、防腐处理，抗弯力强，不易变形；油漆：胡桃色，采用A级油漆，经9道磨退工艺，油漆面无颗粒，颜色均匀，硬度高，油漆硬度≥2H，耐热性要求放100度开水无烫痕；胶水：国家一级环保胶水，粘合力强度大</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45085</wp:posOffset>
                  </wp:positionH>
                  <wp:positionV relativeFrom="paragraph">
                    <wp:posOffset>313055</wp:posOffset>
                  </wp:positionV>
                  <wp:extent cx="1355725" cy="961390"/>
                  <wp:effectExtent l="0" t="0" r="15875" b="10160"/>
                  <wp:wrapNone/>
                  <wp:docPr id="7" name="图片_14"/>
                  <wp:cNvGraphicFramePr/>
                  <a:graphic xmlns:a="http://schemas.openxmlformats.org/drawingml/2006/main">
                    <a:graphicData uri="http://schemas.openxmlformats.org/drawingml/2006/picture">
                      <pic:pic xmlns:pic="http://schemas.openxmlformats.org/drawingml/2006/picture">
                        <pic:nvPicPr>
                          <pic:cNvPr id="7" name="图片_14"/>
                          <pic:cNvPicPr/>
                        </pic:nvPicPr>
                        <pic:blipFill>
                          <a:blip r:embed="rId8"/>
                          <a:stretch>
                            <a:fillRect/>
                          </a:stretch>
                        </pic:blipFill>
                        <pic:spPr>
                          <a:xfrm>
                            <a:off x="0" y="0"/>
                            <a:ext cx="1355725" cy="96139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主席台</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2400*600*750mm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基材：板材采用一级高密度中纤板，密度达标700KG/㎡以上，符合国际E1级标准，并经过防潮、防虫、防腐处理，抗弯力强，不易变形；油漆：胡桃色，采用A级油漆，经9道磨退工艺，油漆面无颗粒，颜色均匀，硬度高，油漆硬度≥2H，耐热性要求放100度开水无烫痕；胶水：国家一级环保胶水，粘合力强度大</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-38735</wp:posOffset>
                  </wp:positionH>
                  <wp:positionV relativeFrom="paragraph">
                    <wp:posOffset>348615</wp:posOffset>
                  </wp:positionV>
                  <wp:extent cx="1271905" cy="833755"/>
                  <wp:effectExtent l="0" t="0" r="4445" b="4445"/>
                  <wp:wrapNone/>
                  <wp:docPr id="11" name="图片_12_SpCnt_1"/>
                  <wp:cNvGraphicFramePr/>
                  <a:graphic xmlns:a="http://schemas.openxmlformats.org/drawingml/2006/main">
                    <a:graphicData uri="http://schemas.openxmlformats.org/drawingml/2006/picture">
                      <pic:pic xmlns:pic="http://schemas.openxmlformats.org/drawingml/2006/picture">
                        <pic:nvPicPr>
                          <pic:cNvPr id="11" name="图片_12_SpCnt_1"/>
                          <pic:cNvPicPr/>
                        </pic:nvPicPr>
                        <pic:blipFill>
                          <a:blip r:embed="rId9"/>
                          <a:stretch>
                            <a:fillRect/>
                          </a:stretch>
                        </pic:blipFill>
                        <pic:spPr>
                          <a:xfrm>
                            <a:off x="0" y="0"/>
                            <a:ext cx="1271905" cy="83375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主席椅</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670*1140mm，橡木框架，采用优质环保不助燃定型海绵，使用寿命长且不易变形；外包黑色优质西皮；坐背内采用热压成型多层弯曲木胶合板，厚度10-12mm；                                               力学性能：椅座静载荷大于1300N，椅背静荷载大于560N，椅座平衡大于1000N,扶手静荷载大于800N。固定脚，不可升降</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把</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347980</wp:posOffset>
                  </wp:positionH>
                  <wp:positionV relativeFrom="paragraph">
                    <wp:posOffset>177800</wp:posOffset>
                  </wp:positionV>
                  <wp:extent cx="815340" cy="1063625"/>
                  <wp:effectExtent l="0" t="0" r="3810" b="3175"/>
                  <wp:wrapNone/>
                  <wp:docPr id="14" name="Picture_446_SpCnt_1"/>
                  <wp:cNvGraphicFramePr/>
                  <a:graphic xmlns:a="http://schemas.openxmlformats.org/drawingml/2006/main">
                    <a:graphicData uri="http://schemas.openxmlformats.org/drawingml/2006/picture">
                      <pic:pic xmlns:pic="http://schemas.openxmlformats.org/drawingml/2006/picture">
                        <pic:nvPicPr>
                          <pic:cNvPr id="14" name="Picture_446_SpCnt_1"/>
                          <pic:cNvPicPr/>
                        </pic:nvPicPr>
                        <pic:blipFill>
                          <a:blip r:embed="rId10"/>
                          <a:stretch>
                            <a:fillRect/>
                          </a:stretch>
                        </pic:blipFill>
                        <pic:spPr>
                          <a:xfrm>
                            <a:off x="0" y="0"/>
                            <a:ext cx="815340" cy="106362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会议条桌</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1200*400*750mm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基材：板材采用一级高密度中纤板，密度达标700KG/㎡以上，符合国际E1级标准，并经过防潮、防虫、防腐处理，抗弯力强，不易变形；油漆：胡桃色，采用A级油漆，经9道磨退工艺，油漆面无颗粒，颜色均匀，硬度高，油漆硬度≥2H，耐热性要求放100度开水无烫痕；胶水：国家一级环保胶水，粘合力强度大</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产品甲醛释放的含量符合国家标准≤1.7mg/L；所有木质材料经过严格的杀菌，杀虫处理；</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张</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65</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189865</wp:posOffset>
                  </wp:positionH>
                  <wp:positionV relativeFrom="paragraph">
                    <wp:posOffset>753110</wp:posOffset>
                  </wp:positionV>
                  <wp:extent cx="1055370" cy="772160"/>
                  <wp:effectExtent l="0" t="0" r="11430" b="8890"/>
                  <wp:wrapNone/>
                  <wp:docPr id="13" name="图片_13"/>
                  <wp:cNvGraphicFramePr/>
                  <a:graphic xmlns:a="http://schemas.openxmlformats.org/drawingml/2006/main">
                    <a:graphicData uri="http://schemas.openxmlformats.org/drawingml/2006/picture">
                      <pic:pic xmlns:pic="http://schemas.openxmlformats.org/drawingml/2006/picture">
                        <pic:nvPicPr>
                          <pic:cNvPr id="13" name="图片_13"/>
                          <pic:cNvPicPr/>
                        </pic:nvPicPr>
                        <pic:blipFill>
                          <a:blip r:embed="rId11"/>
                          <a:stretch>
                            <a:fillRect/>
                          </a:stretch>
                        </pic:blipFill>
                        <pic:spPr>
                          <a:xfrm>
                            <a:off x="0" y="0"/>
                            <a:ext cx="1055370" cy="77216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茶水柜</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FF0000"/>
                <w:sz w:val="15"/>
                <w:szCs w:val="15"/>
                <w:u w:val="none"/>
              </w:rPr>
            </w:pPr>
            <w:r>
              <w:rPr>
                <w:rStyle w:val="47"/>
                <w:color w:val="auto"/>
                <w:sz w:val="15"/>
                <w:szCs w:val="15"/>
                <w:lang w:val="en-US" w:eastAsia="zh-CN" w:bidi="ar"/>
              </w:rPr>
              <w:t>1200*400*850mm</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基材：板材采用一级高密度中纤板，密度达标700KG/㎡以上，符合国际E1级标准，并经过防潮、防虫、防腐处理，抗弯力强，不易变形；油漆：胡桃色，采用A级油漆，经9道磨退工艺，油漆面无颗粒，颜色均匀，硬度高，油漆硬度≥2H，耐热性要求放100度开水无烫痕；胶水：国家一级环保胶水，粘合力强度大</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产品甲醛释放的含量符合国家标准≤1.7mg/L；所有木质材料经过严格的杀菌，杀虫处理；</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个</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292735</wp:posOffset>
                  </wp:positionH>
                  <wp:positionV relativeFrom="paragraph">
                    <wp:posOffset>292100</wp:posOffset>
                  </wp:positionV>
                  <wp:extent cx="1081405" cy="1443355"/>
                  <wp:effectExtent l="0" t="0" r="4445" b="4445"/>
                  <wp:wrapNone/>
                  <wp:docPr id="12" name="图片_5"/>
                  <wp:cNvGraphicFramePr/>
                  <a:graphic xmlns:a="http://schemas.openxmlformats.org/drawingml/2006/main">
                    <a:graphicData uri="http://schemas.openxmlformats.org/drawingml/2006/picture">
                      <pic:pic xmlns:pic="http://schemas.openxmlformats.org/drawingml/2006/picture">
                        <pic:nvPicPr>
                          <pic:cNvPr id="12" name="图片_5"/>
                          <pic:cNvPicPr/>
                        </pic:nvPicPr>
                        <pic:blipFill>
                          <a:blip r:embed="rId12"/>
                          <a:stretch>
                            <a:fillRect/>
                          </a:stretch>
                        </pic:blipFill>
                        <pic:spPr>
                          <a:xfrm>
                            <a:off x="0" y="0"/>
                            <a:ext cx="1081405" cy="144335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会议椅</w:t>
            </w:r>
          </w:p>
        </w:tc>
        <w:tc>
          <w:tcPr>
            <w:tcW w:w="40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橡木框架，采用优质环保不助燃定型海绵，使用寿命长且不易变形；外包黑色优质西皮；坐背内采用热压成型多层弯曲木胶合板，厚度10-12mm；                                               力学性能：椅座静载荷大于1300N，椅背静荷载大于560N，椅座平衡大于1000N,扶手静荷载大于800N。固定脚，不可升降</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列</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130</w:t>
            </w:r>
          </w:p>
        </w:tc>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180975</wp:posOffset>
                  </wp:positionV>
                  <wp:extent cx="766445" cy="874395"/>
                  <wp:effectExtent l="0" t="0" r="14605" b="1905"/>
                  <wp:wrapNone/>
                  <wp:docPr id="15" name="图片_54"/>
                  <wp:cNvGraphicFramePr/>
                  <a:graphic xmlns:a="http://schemas.openxmlformats.org/drawingml/2006/main">
                    <a:graphicData uri="http://schemas.openxmlformats.org/drawingml/2006/picture">
                      <pic:pic xmlns:pic="http://schemas.openxmlformats.org/drawingml/2006/picture">
                        <pic:nvPicPr>
                          <pic:cNvPr id="15" name="图片_54"/>
                          <pic:cNvPicPr/>
                        </pic:nvPicPr>
                        <pic:blipFill>
                          <a:blip r:embed="rId13"/>
                          <a:stretch>
                            <a:fillRect/>
                          </a:stretch>
                        </pic:blipFill>
                        <pic:spPr>
                          <a:xfrm>
                            <a:off x="0" y="0"/>
                            <a:ext cx="766445" cy="874395"/>
                          </a:xfrm>
                          <a:prstGeom prst="rect">
                            <a:avLst/>
                          </a:prstGeom>
                          <a:noFill/>
                          <a:ln>
                            <a:noFill/>
                          </a:ln>
                        </pic:spPr>
                      </pic:pic>
                    </a:graphicData>
                  </a:graphic>
                </wp:anchor>
              </w:drawing>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ascii="宋体" w:hAnsi="宋体"/>
          <w:b/>
          <w:sz w:val="24"/>
        </w:rPr>
      </w:pPr>
      <w:r>
        <w:rPr>
          <w:rFonts w:hint="eastAsia" w:ascii="宋体" w:hAnsi="宋体"/>
          <w:b/>
          <w:sz w:val="24"/>
          <w:lang w:val="en-US" w:eastAsia="zh-CN"/>
        </w:rPr>
        <w:t>二、</w:t>
      </w:r>
      <w:r>
        <w:rPr>
          <w:rFonts w:hint="eastAsia" w:ascii="宋体" w:hAnsi="宋体"/>
          <w:b/>
          <w:sz w:val="24"/>
        </w:rPr>
        <w:t>质保要求：</w:t>
      </w:r>
    </w:p>
    <w:p>
      <w:pPr>
        <w:autoSpaceDE w:val="0"/>
        <w:autoSpaceDN w:val="0"/>
        <w:adjustRightInd w:val="0"/>
        <w:snapToGrid w:val="0"/>
        <w:spacing w:line="400" w:lineRule="exact"/>
        <w:ind w:right="-178" w:rightChars="-85" w:firstLine="240" w:firstLineChars="100"/>
        <w:textAlignment w:val="bottom"/>
        <w:rPr>
          <w:rFonts w:hint="eastAsia" w:ascii="宋体" w:hAnsi="宋体" w:eastAsia="宋体" w:cs="Times New Roman"/>
          <w:sz w:val="24"/>
          <w:lang w:val="en-US" w:eastAsia="zh-CN"/>
        </w:rPr>
      </w:pPr>
      <w:r>
        <w:rPr>
          <w:rFonts w:hint="eastAsia" w:ascii="宋体" w:hAnsi="宋体"/>
          <w:sz w:val="24"/>
          <w:lang w:val="en-US" w:eastAsia="zh-CN"/>
        </w:rPr>
        <w:t>1、</w:t>
      </w:r>
      <w:r>
        <w:rPr>
          <w:rFonts w:hint="eastAsia" w:ascii="宋体" w:hAnsi="宋体"/>
          <w:sz w:val="24"/>
        </w:rPr>
        <w:t>供应商须按清单中的要求为本项目提供至少</w:t>
      </w:r>
      <w:r>
        <w:rPr>
          <w:rFonts w:hint="eastAsia" w:ascii="宋体" w:hAnsi="宋体"/>
          <w:sz w:val="24"/>
          <w:lang w:val="en-US" w:eastAsia="zh-CN"/>
        </w:rPr>
        <w:t>五</w:t>
      </w:r>
      <w:r>
        <w:rPr>
          <w:rFonts w:hint="eastAsia" w:ascii="宋体" w:hAnsi="宋体"/>
          <w:sz w:val="24"/>
        </w:rPr>
        <w:t>年的免费服务保证，终身免费技术咨询</w:t>
      </w:r>
      <w:r>
        <w:rPr>
          <w:rFonts w:hint="eastAsia" w:ascii="宋体" w:hAnsi="宋体"/>
          <w:sz w:val="24"/>
          <w:lang w:val="en-US" w:eastAsia="zh-CN"/>
        </w:rPr>
        <w:t>承诺书。服务</w:t>
      </w:r>
      <w:r>
        <w:rPr>
          <w:rFonts w:hint="eastAsia" w:ascii="宋体" w:hAnsi="宋体"/>
          <w:sz w:val="24"/>
        </w:rPr>
        <w:t>质量保</w:t>
      </w:r>
      <w:r>
        <w:rPr>
          <w:rFonts w:hint="eastAsia" w:ascii="宋体" w:hAnsi="宋体" w:eastAsia="宋体" w:cs="Times New Roman"/>
          <w:sz w:val="24"/>
          <w:lang w:val="en-US" w:eastAsia="zh-CN"/>
        </w:rPr>
        <w:t>证期时间自产品最终验收合格双方签字并交付使用之日算起。</w:t>
      </w:r>
    </w:p>
    <w:p>
      <w:pPr>
        <w:autoSpaceDE w:val="0"/>
        <w:autoSpaceDN w:val="0"/>
        <w:adjustRightInd w:val="0"/>
        <w:snapToGrid w:val="0"/>
        <w:spacing w:line="400" w:lineRule="exact"/>
        <w:ind w:right="-178" w:rightChars="-85" w:firstLine="240" w:firstLineChars="100"/>
        <w:textAlignment w:val="bottom"/>
        <w:rPr>
          <w:rFonts w:hint="eastAsia" w:ascii="宋体" w:hAnsi="宋体" w:eastAsia="宋体" w:cs="Times New Roman"/>
          <w:sz w:val="24"/>
          <w:lang w:val="en-US" w:eastAsia="zh-CN"/>
        </w:rPr>
      </w:pPr>
      <w:r>
        <w:rPr>
          <w:rFonts w:hint="eastAsia" w:ascii="宋体" w:hAnsi="宋体" w:eastAsia="宋体" w:cs="Times New Roman"/>
          <w:sz w:val="24"/>
          <w:lang w:val="en-US" w:eastAsia="zh-CN"/>
        </w:rPr>
        <w:t>2、投标商须提供在中标后二十天内完成供货及安装及本地化服务（在项目发生地有24小时快速售后服务机构）的承诺书及相关证明材料。</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lang w:val="en-US" w:eastAsia="zh-CN"/>
        </w:rPr>
        <w:t>三、</w:t>
      </w:r>
      <w:r>
        <w:rPr>
          <w:rFonts w:hint="eastAsia" w:ascii="宋体" w:hAnsi="宋体"/>
          <w:b/>
          <w:color w:val="000000"/>
          <w:sz w:val="24"/>
          <w:shd w:val="pct10" w:color="auto" w:fill="FFFFFF"/>
        </w:rPr>
        <w:t>其他要求：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r>
        <w:rPr>
          <w:rFonts w:hint="eastAsia" w:ascii="宋体" w:hAnsi="宋体" w:eastAsia="宋体" w:cs="Times New Roman"/>
          <w:sz w:val="24"/>
        </w:rPr>
        <w:t>投标人</w:t>
      </w:r>
      <w:r>
        <w:rPr>
          <w:rFonts w:hint="eastAsia" w:ascii="宋体" w:hAnsi="宋体" w:eastAsia="宋体" w:cs="Times New Roman"/>
          <w:sz w:val="24"/>
          <w:lang w:val="en-US" w:eastAsia="zh-CN"/>
        </w:rPr>
        <w:t>或生产厂家</w:t>
      </w:r>
      <w:r>
        <w:rPr>
          <w:rFonts w:hint="eastAsia" w:ascii="宋体" w:hAnsi="宋体" w:eastAsia="宋体" w:cs="Times New Roman"/>
          <w:sz w:val="24"/>
        </w:rPr>
        <w:t>须提供:① ISO9001 ：2015 质量管理体系认证证书、② ISO14001 ：2015 环境管理体系认证证书、③ISO45001：2018 职业健康安全管理体系认证证书(认证范围须具有</w:t>
      </w:r>
      <w:r>
        <w:rPr>
          <w:rFonts w:hint="eastAsia" w:ascii="宋体" w:hAnsi="宋体" w:eastAsia="宋体" w:cs="Times New Roman"/>
          <w:sz w:val="24"/>
          <w:lang w:val="en-US" w:eastAsia="zh-CN"/>
        </w:rPr>
        <w:t>办公家具）</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投标人须提供: ①CEC 中国环境标志产品认证证书 (十环)(钢木家具、人造板类家具认证单元，认证目录须具有</w:t>
      </w:r>
      <w:r>
        <w:rPr>
          <w:rFonts w:hint="eastAsia" w:ascii="宋体" w:hAnsi="宋体" w:eastAsia="宋体" w:cs="Times New Roman"/>
          <w:sz w:val="24"/>
          <w:lang w:val="en-US" w:eastAsia="zh-CN"/>
        </w:rPr>
        <w:t>办公桌、会议桌、茶几、办公椅</w:t>
      </w:r>
      <w:r>
        <w:rPr>
          <w:rFonts w:hint="eastAsia" w:ascii="宋体" w:hAnsi="宋体" w:eastAsia="宋体" w:cs="Times New Roman"/>
          <w:sz w:val="24"/>
        </w:rPr>
        <w:t xml:space="preserve">) </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lang w:eastAsia="zh-CN"/>
        </w:rPr>
      </w:pPr>
      <w:r>
        <w:rPr>
          <w:rFonts w:hint="eastAsia" w:ascii="宋体" w:hAnsi="宋体" w:eastAsia="宋体" w:cs="Times New Roman"/>
          <w:sz w:val="24"/>
          <w:lang w:val="en-US" w:eastAsia="zh-CN"/>
        </w:rPr>
        <w:t>3、</w:t>
      </w:r>
      <w:r>
        <w:rPr>
          <w:rFonts w:hint="eastAsia" w:ascii="宋体" w:hAnsi="宋体" w:eastAsia="宋体" w:cs="Times New Roman"/>
          <w:sz w:val="24"/>
        </w:rPr>
        <w:t>投标人须提供国家权威质量监督检验中心出具产品抽样检测报告</w:t>
      </w:r>
      <w:r>
        <w:rPr>
          <w:rFonts w:hint="eastAsia" w:ascii="宋体" w:hAnsi="宋体" w:eastAsia="宋体" w:cs="Times New Roman"/>
          <w:sz w:val="24"/>
          <w:lang w:eastAsia="zh-CN"/>
        </w:rPr>
        <w:t>：</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rPr>
      </w:pPr>
      <w:r>
        <w:rPr>
          <w:rFonts w:hint="eastAsia" w:ascii="宋体" w:hAnsi="宋体" w:eastAsia="宋体" w:cs="Times New Roman"/>
          <w:sz w:val="24"/>
        </w:rPr>
        <w:t>①</w:t>
      </w:r>
      <w:r>
        <w:rPr>
          <w:rFonts w:hint="eastAsia" w:ascii="宋体" w:hAnsi="宋体" w:eastAsia="宋体" w:cs="Times New Roman"/>
          <w:sz w:val="24"/>
          <w:lang w:val="en-US" w:eastAsia="zh-CN"/>
        </w:rPr>
        <w:t>沙发</w:t>
      </w:r>
      <w:r>
        <w:rPr>
          <w:rFonts w:hint="eastAsia" w:ascii="宋体" w:hAnsi="宋体" w:eastAsia="宋体" w:cs="Times New Roman"/>
          <w:sz w:val="24"/>
        </w:rPr>
        <w:t>：依据QB/T 1952.1-2012《软体家具 沙发》、GB/T 35607-2017《绿色产品评价家具》的检验报告。</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rPr>
      </w:pPr>
      <w:r>
        <w:rPr>
          <w:rFonts w:hint="eastAsia" w:ascii="宋体" w:hAnsi="宋体" w:eastAsia="宋体" w:cs="Times New Roman"/>
          <w:sz w:val="24"/>
          <w:lang w:val="en-US" w:eastAsia="zh-CN"/>
        </w:rPr>
        <w:t>②茶几</w:t>
      </w:r>
      <w:r>
        <w:rPr>
          <w:rFonts w:hint="eastAsia" w:ascii="宋体" w:hAnsi="宋体" w:eastAsia="宋体" w:cs="Times New Roman"/>
          <w:sz w:val="24"/>
        </w:rPr>
        <w:t>：依据 GB/T 3324-2017《木家具通用技术条件》、GB/T 35607-2017《绿色产品评价家具》的检验报告。</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rPr>
      </w:pPr>
      <w:r>
        <w:rPr>
          <w:rFonts w:hint="eastAsia" w:ascii="宋体" w:hAnsi="宋体" w:eastAsia="宋体" w:cs="Times New Roman"/>
          <w:sz w:val="24"/>
        </w:rPr>
        <w:t>③</w:t>
      </w:r>
      <w:r>
        <w:rPr>
          <w:rFonts w:hint="eastAsia" w:ascii="宋体" w:hAnsi="宋体" w:eastAsia="宋体" w:cs="Times New Roman"/>
          <w:sz w:val="24"/>
          <w:lang w:val="en-US" w:eastAsia="zh-CN"/>
        </w:rPr>
        <w:t>会议桌</w:t>
      </w:r>
      <w:r>
        <w:rPr>
          <w:rFonts w:hint="eastAsia" w:ascii="宋体" w:hAnsi="宋体" w:eastAsia="宋体" w:cs="Times New Roman"/>
          <w:sz w:val="24"/>
        </w:rPr>
        <w:t>：依据 GB/T 3324-2017《木家具通用技术条件》、GB/T 35607-2017《绿色产品评价家具》的检验报告。</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rPr>
      </w:pPr>
      <w:r>
        <w:rPr>
          <w:rFonts w:hint="eastAsia" w:ascii="宋体" w:hAnsi="宋体" w:eastAsia="宋体" w:cs="Times New Roman"/>
          <w:sz w:val="24"/>
        </w:rPr>
        <w:t>④</w:t>
      </w:r>
      <w:r>
        <w:rPr>
          <w:rFonts w:hint="eastAsia" w:ascii="宋体" w:hAnsi="宋体" w:eastAsia="宋体" w:cs="Times New Roman"/>
          <w:sz w:val="24"/>
          <w:lang w:val="en-US" w:eastAsia="zh-CN"/>
        </w:rPr>
        <w:t>会议椅</w:t>
      </w:r>
      <w:r>
        <w:rPr>
          <w:rFonts w:hint="eastAsia" w:ascii="宋体" w:hAnsi="宋体" w:eastAsia="宋体" w:cs="Times New Roman"/>
          <w:sz w:val="24"/>
        </w:rPr>
        <w:t>：GB/T 3324-2017《木家具通用技术条件》、GB/T 35607-2017《绿色产品评价 家具》的检验报告。</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rPr>
      </w:pPr>
      <w:r>
        <w:rPr>
          <w:rFonts w:hint="eastAsia" w:ascii="宋体" w:hAnsi="宋体" w:eastAsia="宋体" w:cs="Times New Roman"/>
          <w:sz w:val="24"/>
        </w:rPr>
        <w:t>⑤</w:t>
      </w:r>
      <w:r>
        <w:rPr>
          <w:rFonts w:hint="eastAsia" w:ascii="宋体" w:hAnsi="宋体" w:eastAsia="宋体" w:cs="Times New Roman"/>
          <w:sz w:val="24"/>
          <w:lang w:val="en-US" w:eastAsia="zh-CN"/>
        </w:rPr>
        <w:t>主席台桌</w:t>
      </w:r>
      <w:r>
        <w:rPr>
          <w:rFonts w:hint="eastAsia" w:ascii="宋体" w:hAnsi="宋体" w:eastAsia="宋体" w:cs="Times New Roman"/>
          <w:sz w:val="24"/>
        </w:rPr>
        <w:t>：依据 GB/T 3324-2017《木家具通用技术条件》、GB/T 35607-2017《绿色产品评价家具》的检验报告。</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lang w:eastAsia="zh-CN"/>
        </w:rPr>
      </w:pPr>
      <w:r>
        <w:rPr>
          <w:rFonts w:hint="eastAsia" w:ascii="宋体" w:hAnsi="宋体" w:eastAsia="宋体" w:cs="Times New Roman"/>
          <w:sz w:val="24"/>
        </w:rPr>
        <w:t>⑥</w:t>
      </w:r>
      <w:r>
        <w:rPr>
          <w:rFonts w:hint="eastAsia" w:ascii="宋体" w:hAnsi="宋体" w:eastAsia="宋体" w:cs="Times New Roman"/>
          <w:sz w:val="24"/>
          <w:lang w:val="en-US" w:eastAsia="zh-CN"/>
        </w:rPr>
        <w:t>条桌：</w:t>
      </w:r>
      <w:r>
        <w:rPr>
          <w:rFonts w:hint="eastAsia" w:ascii="宋体" w:hAnsi="宋体" w:eastAsia="宋体" w:cs="Times New Roman"/>
          <w:sz w:val="24"/>
        </w:rPr>
        <w:t>依据  GB/T 3324-2017《木家具通用技术条件》、GB/T 35607-2017《绿色产品评价 家具》的检验报告。</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lang w:val="en-US" w:eastAsia="zh-CN"/>
        </w:rPr>
      </w:pPr>
      <w:r>
        <w:rPr>
          <w:rFonts w:hint="eastAsia" w:ascii="宋体" w:hAnsi="宋体" w:eastAsia="宋体" w:cs="Times New Roman"/>
          <w:sz w:val="24"/>
          <w:lang w:val="en-US" w:eastAsia="zh-CN"/>
        </w:rPr>
        <w:t>4、</w:t>
      </w:r>
      <w:r>
        <w:rPr>
          <w:rFonts w:hint="eastAsia" w:ascii="宋体" w:hAnsi="宋体" w:eastAsia="宋体" w:cs="Times New Roman"/>
          <w:sz w:val="24"/>
        </w:rPr>
        <w:t>投标人</w:t>
      </w:r>
      <w:r>
        <w:rPr>
          <w:rFonts w:hint="eastAsia" w:ascii="宋体" w:hAnsi="宋体" w:eastAsia="宋体" w:cs="Times New Roman"/>
          <w:sz w:val="24"/>
          <w:lang w:val="en-US" w:eastAsia="zh-CN"/>
        </w:rPr>
        <w:t>提供本项目主要零部件省级及以上质检部门出具的检验报告</w:t>
      </w:r>
      <w:r>
        <w:rPr>
          <w:rFonts w:hint="eastAsia" w:ascii="宋体" w:hAnsi="宋体" w:eastAsia="宋体" w:cs="Times New Roman"/>
          <w:sz w:val="24"/>
          <w:lang w:eastAsia="zh-CN"/>
        </w:rPr>
        <w:t>：</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rPr>
      </w:pPr>
      <w:r>
        <w:rPr>
          <w:rFonts w:hint="eastAsia" w:ascii="宋体" w:hAnsi="宋体" w:eastAsia="宋体" w:cs="Times New Roman"/>
          <w:sz w:val="24"/>
        </w:rPr>
        <w:t>①</w:t>
      </w:r>
      <w:r>
        <w:rPr>
          <w:rFonts w:hint="eastAsia" w:ascii="宋体" w:hAnsi="宋体" w:eastAsia="宋体" w:cs="Times New Roman"/>
          <w:sz w:val="24"/>
          <w:lang w:val="en-US" w:eastAsia="zh-CN"/>
        </w:rPr>
        <w:t>桌面板：甲醛释放量单项检测报告，依据GB 18580-2017《室内装饰装修材料 人造板及其制品中甲醛释放限量》的检验报告，要求甲醛释放量≤0.124mg/m³。</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rPr>
      </w:pPr>
      <w:r>
        <w:rPr>
          <w:rFonts w:hint="eastAsia" w:ascii="宋体" w:hAnsi="宋体" w:eastAsia="宋体" w:cs="Times New Roman"/>
          <w:sz w:val="24"/>
          <w:lang w:val="en-US" w:eastAsia="zh-CN"/>
        </w:rPr>
        <w:t>②高密度纤维板</w:t>
      </w:r>
      <w:r>
        <w:rPr>
          <w:rFonts w:hint="eastAsia" w:ascii="宋体" w:hAnsi="宋体" w:eastAsia="宋体" w:cs="Times New Roman"/>
          <w:sz w:val="24"/>
        </w:rPr>
        <w:t>：依据GB/T15102-2017《浸渍胶膜纸饰面纤维板和刨花板》、GB 18580-2017 室内装饰装修材料人造板及其制品中甲醛释放限量的检验报告。</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lang w:val="en-US" w:eastAsia="zh-CN"/>
        </w:rPr>
      </w:pPr>
      <w:r>
        <w:rPr>
          <w:rFonts w:hint="eastAsia" w:ascii="宋体" w:hAnsi="宋体" w:eastAsia="宋体" w:cs="Times New Roman"/>
          <w:sz w:val="24"/>
          <w:lang w:val="en-US" w:eastAsia="zh-CN"/>
        </w:rPr>
        <w:t>③网布面料</w:t>
      </w:r>
      <w:r>
        <w:rPr>
          <w:rFonts w:hint="eastAsia" w:ascii="宋体" w:hAnsi="宋体" w:eastAsia="宋体" w:cs="Times New Roman"/>
          <w:sz w:val="24"/>
        </w:rPr>
        <w:t>：依据 GB18401-2010《国家纺织产品基本安全规范》的检验报告</w:t>
      </w:r>
      <w:r>
        <w:rPr>
          <w:rFonts w:hint="eastAsia" w:ascii="宋体" w:hAnsi="宋体" w:eastAsia="宋体" w:cs="Times New Roman"/>
          <w:sz w:val="24"/>
          <w:lang w:eastAsia="zh-CN"/>
        </w:rPr>
        <w:t>。</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eastAsia="宋体" w:cs="Times New Roman"/>
          <w:sz w:val="24"/>
        </w:rPr>
      </w:pPr>
      <w:r>
        <w:rPr>
          <w:rFonts w:hint="eastAsia" w:ascii="宋体" w:hAnsi="宋体" w:eastAsia="宋体" w:cs="Times New Roman"/>
          <w:sz w:val="24"/>
          <w:lang w:val="en-US" w:eastAsia="zh-CN"/>
        </w:rPr>
        <w:t>⑤坐垫海绵</w:t>
      </w:r>
      <w:r>
        <w:rPr>
          <w:rFonts w:hint="eastAsia" w:ascii="宋体" w:hAnsi="宋体" w:eastAsia="宋体" w:cs="Times New Roman"/>
          <w:sz w:val="24"/>
        </w:rPr>
        <w:t>：依据GB/T 10802-2006《通用软质聚醚型聚氨酯泡沫塑料》的检验报告。</w:t>
      </w:r>
    </w:p>
    <w:p>
      <w:pPr>
        <w:spacing w:line="400" w:lineRule="exact"/>
        <w:ind w:firstLine="480" w:firstLineChars="200"/>
        <w:rPr>
          <w:rFonts w:hint="default"/>
          <w:b w:val="0"/>
          <w:bCs w:val="0"/>
          <w:color w:val="auto"/>
          <w:lang w:val="en-US" w:eastAsia="zh-CN"/>
        </w:rPr>
      </w:pPr>
      <w:r>
        <w:rPr>
          <w:rFonts w:hint="eastAsia" w:ascii="宋体" w:hAnsi="宋体" w:eastAsia="宋体" w:cs="宋体"/>
          <w:b w:val="0"/>
          <w:bCs w:val="0"/>
          <w:color w:val="auto"/>
          <w:sz w:val="24"/>
          <w:szCs w:val="24"/>
          <w:lang w:val="en-US" w:eastAsia="zh-CN"/>
        </w:rPr>
        <w:t>5、投标商须提供针对该项目须有完善的售后服务计划：内容应当包括售后服务内容和流程、售后服务方式、售后服务机构和人员、在项目发生地提供的快速售后响应措施。</w:t>
      </w:r>
    </w:p>
    <w:p>
      <w:pPr>
        <w:spacing w:line="400" w:lineRule="exact"/>
        <w:ind w:firstLine="480" w:firstLineChars="200"/>
        <w:rPr>
          <w:rFonts w:hint="default" w:eastAsia="宋体"/>
          <w:color w:val="000000"/>
          <w:sz w:val="24"/>
          <w:lang w:val="en-US" w:eastAsia="zh-CN"/>
        </w:rPr>
      </w:pPr>
      <w:r>
        <w:rPr>
          <w:rFonts w:hint="eastAsia"/>
          <w:color w:val="000000"/>
          <w:sz w:val="24"/>
          <w:lang w:val="en-US" w:eastAsia="zh-CN"/>
        </w:rPr>
        <w:t>6</w:t>
      </w:r>
      <w:r>
        <w:rPr>
          <w:rFonts w:hint="eastAsia"/>
          <w:color w:val="000000"/>
          <w:sz w:val="24"/>
        </w:rPr>
        <w:t>、</w:t>
      </w:r>
      <w:r>
        <w:rPr>
          <w:rFonts w:hint="eastAsia"/>
          <w:color w:val="000000"/>
          <w:sz w:val="24"/>
          <w:lang w:val="en-US" w:eastAsia="zh-CN"/>
        </w:rPr>
        <w:t>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7</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8</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w:t>
      </w:r>
      <w:r>
        <w:rPr>
          <w:rFonts w:hint="eastAsia" w:ascii="宋体" w:hAnsi="宋体"/>
          <w:sz w:val="24"/>
          <w:lang w:val="en-US" w:eastAsia="zh-CN"/>
        </w:rPr>
        <w:t>或服务</w:t>
      </w:r>
      <w:r>
        <w:rPr>
          <w:rFonts w:hint="eastAsia" w:ascii="宋体" w:hAnsi="宋体"/>
          <w:sz w:val="24"/>
        </w:rPr>
        <w:t>的</w:t>
      </w:r>
      <w:r>
        <w:rPr>
          <w:rFonts w:hint="eastAsia" w:ascii="宋体" w:hAnsi="宋体"/>
          <w:sz w:val="24"/>
          <w:lang w:val="en-US" w:eastAsia="zh-CN"/>
        </w:rPr>
        <w:t>履行、</w:t>
      </w:r>
      <w:r>
        <w:rPr>
          <w:rFonts w:hint="eastAsia" w:ascii="宋体" w:hAnsi="宋体"/>
          <w:sz w:val="24"/>
        </w:rPr>
        <w:t>安装调试</w:t>
      </w:r>
      <w:r>
        <w:rPr>
          <w:rFonts w:hint="eastAsia" w:ascii="宋体" w:hAnsi="宋体"/>
          <w:sz w:val="24"/>
          <w:lang w:val="en-US" w:eastAsia="zh-CN"/>
        </w:rPr>
        <w:t>等</w:t>
      </w:r>
      <w:r>
        <w:rPr>
          <w:rFonts w:hint="eastAsia" w:ascii="宋体" w:hAnsi="宋体"/>
          <w:sz w:val="24"/>
        </w:rPr>
        <w:t>，并经采购人验收合格后付合同金额。成交金额即为合同金额，除非采购</w:t>
      </w:r>
      <w:r>
        <w:rPr>
          <w:rFonts w:hint="eastAsia" w:ascii="宋体" w:hAnsi="宋体"/>
          <w:sz w:val="24"/>
          <w:lang w:val="en-US" w:eastAsia="zh-CN"/>
        </w:rPr>
        <w:t>服务或</w:t>
      </w:r>
      <w:r>
        <w:rPr>
          <w:rFonts w:hint="eastAsia" w:ascii="宋体" w:hAnsi="宋体"/>
          <w:sz w:val="24"/>
        </w:rPr>
        <w:t>货物的数量发生变更，否则不允许变更合同金额。</w:t>
      </w:r>
    </w:p>
    <w:p>
      <w:pPr>
        <w:spacing w:line="360" w:lineRule="auto"/>
        <w:rPr>
          <w:rFonts w:ascii="宋体" w:hAnsi="宋体"/>
          <w:b/>
          <w:bCs/>
          <w:sz w:val="24"/>
        </w:rPr>
      </w:pPr>
      <w:r>
        <w:rPr>
          <w:rFonts w:hint="eastAsia" w:ascii="宋体" w:hAnsi="宋体"/>
          <w:b/>
          <w:bCs/>
          <w:sz w:val="24"/>
          <w:lang w:val="en-US"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val="en-US"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lang w:val="en-US" w:eastAsia="zh-CN"/>
        </w:rPr>
        <w:t>五</w:t>
      </w:r>
      <w:r>
        <w:rPr>
          <w:rFonts w:hint="eastAsia" w:ascii="宋体" w:hAnsi="宋体"/>
          <w:b/>
          <w:sz w:val="24"/>
        </w:rPr>
        <w:t>、响应文件的密封及标记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lang w:val="en-US"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lang w:val="en-US"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lang w:val="en-US" w:eastAsia="zh-CN"/>
        </w:rPr>
        <w:t>八</w:t>
      </w:r>
      <w:r>
        <w:rPr>
          <w:rFonts w:hint="eastAsia" w:ascii="宋体" w:hAnsi="宋体"/>
          <w:b/>
          <w:sz w:val="24"/>
        </w:rPr>
        <w:t>、评审程序与标准：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65109445"/>
      <w:bookmarkStart w:id="11" w:name="_Toc327371177"/>
      <w:bookmarkStart w:id="12" w:name="_Toc294609003"/>
      <w:bookmarkStart w:id="13" w:name="_Toc238276242"/>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222919"/>
    <w:rsid w:val="0C8D0B1C"/>
    <w:rsid w:val="0DB2633E"/>
    <w:rsid w:val="0E170F1D"/>
    <w:rsid w:val="0F233157"/>
    <w:rsid w:val="1096558D"/>
    <w:rsid w:val="126545DC"/>
    <w:rsid w:val="160939DD"/>
    <w:rsid w:val="167C7678"/>
    <w:rsid w:val="16CE0DE2"/>
    <w:rsid w:val="17415207"/>
    <w:rsid w:val="180C163C"/>
    <w:rsid w:val="1B3044CB"/>
    <w:rsid w:val="22E13702"/>
    <w:rsid w:val="25AC7C68"/>
    <w:rsid w:val="270E47DD"/>
    <w:rsid w:val="29175E93"/>
    <w:rsid w:val="29C651C2"/>
    <w:rsid w:val="2B4E652B"/>
    <w:rsid w:val="2BD831ED"/>
    <w:rsid w:val="30ED3773"/>
    <w:rsid w:val="30F454E0"/>
    <w:rsid w:val="310E0B18"/>
    <w:rsid w:val="32E73D7C"/>
    <w:rsid w:val="36865E9E"/>
    <w:rsid w:val="371E56FD"/>
    <w:rsid w:val="397171B0"/>
    <w:rsid w:val="3A7D7082"/>
    <w:rsid w:val="3B0418F4"/>
    <w:rsid w:val="3E842D9E"/>
    <w:rsid w:val="4048089A"/>
    <w:rsid w:val="42497455"/>
    <w:rsid w:val="469902C4"/>
    <w:rsid w:val="4AD11C1B"/>
    <w:rsid w:val="4BF27BEA"/>
    <w:rsid w:val="531410DD"/>
    <w:rsid w:val="5398783B"/>
    <w:rsid w:val="553E2EC3"/>
    <w:rsid w:val="56666A83"/>
    <w:rsid w:val="57D92040"/>
    <w:rsid w:val="58CF0CB0"/>
    <w:rsid w:val="59575F32"/>
    <w:rsid w:val="59A565CA"/>
    <w:rsid w:val="59F903C5"/>
    <w:rsid w:val="5B0A7487"/>
    <w:rsid w:val="5C9B6D67"/>
    <w:rsid w:val="5CA2370E"/>
    <w:rsid w:val="5E231206"/>
    <w:rsid w:val="5E3176B0"/>
    <w:rsid w:val="62472877"/>
    <w:rsid w:val="650B258F"/>
    <w:rsid w:val="65B03214"/>
    <w:rsid w:val="671C1BEC"/>
    <w:rsid w:val="676E6BB5"/>
    <w:rsid w:val="6959727F"/>
    <w:rsid w:val="6B501B9F"/>
    <w:rsid w:val="6FA636AF"/>
    <w:rsid w:val="75BC74EB"/>
    <w:rsid w:val="77B708B5"/>
    <w:rsid w:val="78DC1CE9"/>
    <w:rsid w:val="794332E6"/>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61"/>
    <w:basedOn w:val="21"/>
    <w:qFormat/>
    <w:uiPriority w:val="0"/>
    <w:rPr>
      <w:rFonts w:hint="eastAsia" w:ascii="仿宋" w:hAnsi="仿宋" w:eastAsia="仿宋" w:cs="仿宋"/>
      <w:color w:val="000000"/>
      <w:sz w:val="20"/>
      <w:szCs w:val="20"/>
      <w:u w:val="none"/>
    </w:rPr>
  </w:style>
  <w:style w:type="character" w:customStyle="1" w:styleId="46">
    <w:name w:val="font81"/>
    <w:basedOn w:val="21"/>
    <w:qFormat/>
    <w:uiPriority w:val="0"/>
    <w:rPr>
      <w:rFonts w:ascii="Wingdings" w:hAnsi="Wingdings" w:cs="Wingdings"/>
      <w:color w:val="000000"/>
      <w:sz w:val="20"/>
      <w:szCs w:val="20"/>
      <w:u w:val="none"/>
    </w:rPr>
  </w:style>
  <w:style w:type="character" w:customStyle="1" w:styleId="47">
    <w:name w:val="font41"/>
    <w:basedOn w:val="21"/>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19</Pages>
  <Words>8212</Words>
  <Characters>8866</Characters>
  <Lines>74</Lines>
  <Paragraphs>21</Paragraphs>
  <TotalTime>4</TotalTime>
  <ScaleCrop>false</ScaleCrop>
  <LinksUpToDate>false</LinksUpToDate>
  <CharactersWithSpaces>9762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2022-07-07T08:51:42Z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68CB9265982C4D138ED36F2570B256BD</vt:lpwstr>
  </property>
</Properties>
</file>