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数据中台对接平台建设</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pStyle w:val="6"/>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shd w:val="clear"/>
        <w:snapToGrid w:val="0"/>
        <w:spacing w:line="360" w:lineRule="auto"/>
        <w:ind w:firstLine="1807" w:firstLineChars="500"/>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rPr>
        <w:t>磋商文件编号:LZCS—202</w:t>
      </w:r>
      <w:r>
        <w:rPr>
          <w:rFonts w:hint="eastAsia" w:ascii="仿宋" w:hAnsi="仿宋" w:eastAsia="仿宋" w:cs="仿宋"/>
          <w:b/>
          <w:color w:val="auto"/>
          <w:sz w:val="36"/>
          <w:szCs w:val="36"/>
          <w:highlight w:val="none"/>
          <w:lang w:val="en-US" w:eastAsia="zh-CN"/>
        </w:rPr>
        <w:t>3006</w:t>
      </w:r>
    </w:p>
    <w:p>
      <w:pPr>
        <w:spacing w:line="360" w:lineRule="auto"/>
        <w:jc w:val="center"/>
        <w:rPr>
          <w:rFonts w:hint="eastAsia" w:ascii="仿宋" w:hAnsi="仿宋" w:eastAsia="仿宋" w:cs="仿宋"/>
          <w:b/>
          <w:color w:val="auto"/>
          <w:sz w:val="36"/>
          <w:szCs w:val="36"/>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6"/>
        <w:ind w:firstLine="640"/>
        <w:rPr>
          <w:rFonts w:hint="eastAsia" w:ascii="仿宋" w:hAnsi="仿宋" w:eastAsia="仿宋" w:cs="仿宋"/>
          <w:color w:val="auto"/>
          <w:sz w:val="32"/>
          <w:szCs w:val="32"/>
        </w:rPr>
      </w:pPr>
    </w:p>
    <w:p>
      <w:pPr>
        <w:pStyle w:val="6"/>
        <w:ind w:firstLine="640"/>
        <w:rPr>
          <w:rFonts w:hint="eastAsia" w:ascii="仿宋" w:hAnsi="仿宋" w:eastAsia="仿宋" w:cs="仿宋"/>
          <w:color w:val="auto"/>
          <w:sz w:val="32"/>
          <w:szCs w:val="32"/>
        </w:rPr>
      </w:pPr>
    </w:p>
    <w:p>
      <w:pPr>
        <w:pStyle w:val="6"/>
        <w:ind w:firstLine="640"/>
        <w:rPr>
          <w:rFonts w:hint="eastAsia" w:ascii="仿宋" w:hAnsi="仿宋" w:eastAsia="仿宋" w:cs="仿宋"/>
          <w:color w:val="auto"/>
          <w:sz w:val="32"/>
          <w:szCs w:val="32"/>
        </w:rPr>
      </w:pPr>
    </w:p>
    <w:p>
      <w:pPr>
        <w:pStyle w:val="6"/>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7</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4"/>
        <w:snapToGrid w:val="0"/>
        <w:spacing w:before="0" w:after="0" w:line="360" w:lineRule="auto"/>
        <w:jc w:val="center"/>
        <w:rPr>
          <w:rFonts w:hint="eastAsia" w:ascii="仿宋" w:hAnsi="仿宋" w:eastAsia="仿宋" w:cs="仿宋"/>
          <w:bCs w:val="0"/>
          <w:color w:val="auto"/>
        </w:rPr>
      </w:pPr>
      <w:bookmarkStart w:id="5" w:name="_Toc10210"/>
      <w:bookmarkStart w:id="6" w:name="_Toc4104"/>
      <w:bookmarkStart w:id="7" w:name="_Toc31084"/>
      <w:r>
        <w:rPr>
          <w:rFonts w:hint="eastAsia" w:ascii="仿宋" w:hAnsi="仿宋" w:eastAsia="仿宋" w:cs="仿宋"/>
          <w:bCs w:val="0"/>
          <w:color w:val="auto"/>
        </w:rPr>
        <w:t>目   录</w:t>
      </w:r>
      <w:bookmarkEnd w:id="1"/>
      <w:bookmarkEnd w:id="2"/>
      <w:bookmarkEnd w:id="3"/>
      <w:bookmarkEnd w:id="4"/>
      <w:bookmarkEnd w:id="5"/>
      <w:bookmarkEnd w:id="6"/>
      <w:bookmarkEnd w:id="7"/>
    </w:p>
    <w:p>
      <w:pPr>
        <w:spacing w:line="360" w:lineRule="auto"/>
        <w:rPr>
          <w:rFonts w:hint="eastAsia" w:ascii="仿宋" w:hAnsi="仿宋" w:eastAsia="仿宋" w:cs="仿宋"/>
          <w:color w:val="auto"/>
        </w:rPr>
      </w:pPr>
    </w:p>
    <w:p>
      <w:pPr>
        <w:pStyle w:val="28"/>
        <w:tabs>
          <w:tab w:val="right" w:leader="dot" w:pos="8732"/>
        </w:tabs>
        <w:rPr>
          <w:color w:val="auto"/>
        </w:rPr>
      </w:pPr>
      <w:r>
        <w:rPr>
          <w:rFonts w:hint="eastAsia" w:ascii="仿宋" w:hAnsi="仿宋" w:eastAsia="仿宋" w:cs="仿宋"/>
          <w:caps w:val="0"/>
          <w:color w:val="auto"/>
          <w:sz w:val="24"/>
          <w:szCs w:val="24"/>
        </w:rPr>
        <w:fldChar w:fldCharType="begin"/>
      </w:r>
      <w:r>
        <w:rPr>
          <w:rFonts w:hint="eastAsia" w:ascii="仿宋" w:hAnsi="仿宋" w:eastAsia="仿宋" w:cs="仿宋"/>
          <w:caps w:val="0"/>
          <w:color w:val="auto"/>
          <w:sz w:val="24"/>
          <w:szCs w:val="24"/>
        </w:rPr>
        <w:instrText xml:space="preserve"> TOC \o "1-3" \h \z \u </w:instrText>
      </w:r>
      <w:r>
        <w:rPr>
          <w:rFonts w:hint="eastAsia" w:ascii="仿宋" w:hAnsi="仿宋" w:eastAsia="仿宋" w:cs="仿宋"/>
          <w:caps w:val="0"/>
          <w:color w:val="auto"/>
          <w:sz w:val="24"/>
          <w:szCs w:val="24"/>
        </w:rPr>
        <w:fldChar w:fldCharType="separate"/>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_Toc20830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 xml:space="preserve">第一部分  </w:t>
      </w:r>
      <w:r>
        <w:rPr>
          <w:rFonts w:hint="eastAsia" w:ascii="仿宋" w:hAnsi="仿宋" w:eastAsia="仿宋" w:cs="仿宋"/>
          <w:color w:val="auto"/>
          <w:sz w:val="21"/>
          <w:szCs w:val="21"/>
        </w:rPr>
        <w:t>竞争性磋商公告</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_Toc20830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_Toc13778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第二部分  供应商须知</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_Toc13778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_Toc9320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w:t>
      </w:r>
      <w:r>
        <w:rPr>
          <w:rFonts w:hint="eastAsia" w:ascii="仿宋" w:hAnsi="仿宋" w:eastAsia="仿宋" w:cs="仿宋"/>
          <w:bCs w:val="0"/>
          <w:color w:val="auto"/>
          <w:sz w:val="21"/>
          <w:szCs w:val="21"/>
          <w:lang w:val="en-US" w:eastAsia="zh-CN"/>
        </w:rPr>
        <w:t>三</w:t>
      </w:r>
      <w:r>
        <w:rPr>
          <w:rFonts w:hint="eastAsia" w:ascii="仿宋" w:hAnsi="仿宋" w:eastAsia="仿宋" w:cs="仿宋"/>
          <w:bCs w:val="0"/>
          <w:color w:val="auto"/>
          <w:sz w:val="21"/>
          <w:szCs w:val="21"/>
        </w:rPr>
        <w:t xml:space="preserve">部分  </w:t>
      </w:r>
      <w:r>
        <w:rPr>
          <w:rFonts w:hint="eastAsia" w:ascii="仿宋" w:hAnsi="仿宋" w:eastAsia="仿宋" w:cs="仿宋"/>
          <w:bCs w:val="0"/>
          <w:color w:val="auto"/>
          <w:sz w:val="21"/>
          <w:szCs w:val="21"/>
          <w:lang w:val="en-US" w:eastAsia="zh-CN"/>
        </w:rPr>
        <w:t>采购需求</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_Toc9320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_Toc4462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第四</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合同条款</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_Toc4462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18</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color w:val="auto"/>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_Toc7634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第五</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竞争性磋商响应文件格式</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_Toc7634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19"/>
        <w:tabs>
          <w:tab w:val="right" w:leader="dot" w:pos="8732"/>
        </w:tabs>
        <w:rPr>
          <w:color w:val="auto"/>
        </w:rPr>
      </w:pPr>
    </w:p>
    <w:p>
      <w:pPr>
        <w:snapToGrid w:val="0"/>
        <w:spacing w:line="360" w:lineRule="auto"/>
        <w:rPr>
          <w:rFonts w:hint="eastAsia" w:ascii="仿宋" w:hAnsi="仿宋" w:eastAsia="仿宋" w:cs="仿宋"/>
          <w:b/>
          <w:caps/>
          <w:color w:val="auto"/>
          <w:sz w:val="24"/>
        </w:rPr>
      </w:pPr>
      <w:r>
        <w:rPr>
          <w:rFonts w:hint="eastAsia" w:ascii="仿宋" w:hAnsi="仿宋" w:eastAsia="仿宋" w:cs="仿宋"/>
          <w:caps/>
          <w:color w:val="auto"/>
        </w:rPr>
        <w:fldChar w:fldCharType="end"/>
      </w:r>
      <w:bookmarkStart w:id="8" w:name="_Toc361769762"/>
      <w:bookmarkStart w:id="9" w:name="_Toc361769628"/>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4"/>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fmt="decimal" w:start="1"/>
          <w:cols w:space="720" w:num="1"/>
          <w:titlePg/>
        </w:sectPr>
      </w:pPr>
    </w:p>
    <w:p>
      <w:pPr>
        <w:rPr>
          <w:rFonts w:hint="eastAsia" w:ascii="仿宋" w:hAnsi="仿宋" w:eastAsia="仿宋" w:cs="仿宋"/>
          <w:color w:val="auto"/>
        </w:rPr>
      </w:pPr>
    </w:p>
    <w:p>
      <w:pPr>
        <w:pStyle w:val="4"/>
        <w:spacing w:line="360" w:lineRule="auto"/>
        <w:jc w:val="center"/>
        <w:rPr>
          <w:rFonts w:hint="eastAsia" w:ascii="仿宋" w:hAnsi="仿宋" w:eastAsia="仿宋" w:cs="仿宋"/>
          <w:bCs w:val="0"/>
          <w:color w:val="auto"/>
        </w:rPr>
      </w:pPr>
    </w:p>
    <w:p>
      <w:pPr>
        <w:pStyle w:val="4"/>
        <w:spacing w:line="360" w:lineRule="auto"/>
        <w:jc w:val="center"/>
        <w:rPr>
          <w:rFonts w:hint="eastAsia" w:ascii="仿宋" w:hAnsi="仿宋" w:eastAsia="仿宋" w:cs="仿宋"/>
          <w:bCs w:val="0"/>
          <w:color w:val="auto"/>
        </w:rPr>
      </w:pPr>
    </w:p>
    <w:p>
      <w:pPr>
        <w:pStyle w:val="4"/>
        <w:spacing w:line="360" w:lineRule="auto"/>
        <w:jc w:val="center"/>
        <w:rPr>
          <w:rFonts w:hint="eastAsia" w:ascii="仿宋" w:hAnsi="仿宋" w:eastAsia="仿宋" w:cs="仿宋"/>
          <w:bCs w:val="0"/>
          <w:color w:val="auto"/>
        </w:rPr>
      </w:pPr>
    </w:p>
    <w:p>
      <w:pPr>
        <w:pStyle w:val="4"/>
        <w:spacing w:line="360" w:lineRule="auto"/>
        <w:jc w:val="center"/>
        <w:rPr>
          <w:rFonts w:hint="eastAsia" w:ascii="仿宋" w:hAnsi="仿宋" w:eastAsia="仿宋" w:cs="仿宋"/>
          <w:bCs w:val="0"/>
          <w:color w:val="auto"/>
          <w:sz w:val="36"/>
          <w:szCs w:val="36"/>
        </w:rPr>
      </w:pPr>
      <w:bookmarkStart w:id="10" w:name="_Toc20830"/>
      <w:r>
        <w:rPr>
          <w:rFonts w:hint="eastAsia" w:ascii="仿宋" w:hAnsi="仿宋" w:eastAsia="仿宋" w:cs="仿宋"/>
          <w:bCs w:val="0"/>
          <w:color w:val="auto"/>
          <w:sz w:val="36"/>
          <w:szCs w:val="36"/>
        </w:rPr>
        <w:t xml:space="preserve">第一部分  </w:t>
      </w:r>
      <w:bookmarkEnd w:id="8"/>
      <w:bookmarkEnd w:id="9"/>
      <w:r>
        <w:rPr>
          <w:rFonts w:hint="eastAsia" w:ascii="仿宋" w:hAnsi="仿宋" w:eastAsia="仿宋" w:cs="仿宋"/>
          <w:color w:val="auto"/>
          <w:sz w:val="36"/>
          <w:szCs w:val="36"/>
        </w:rPr>
        <w:t>竞争性磋商公告</w:t>
      </w:r>
      <w:bookmarkEnd w:id="10"/>
    </w:p>
    <w:p>
      <w:pPr>
        <w:jc w:val="center"/>
        <w:rPr>
          <w:rFonts w:hint="eastAsia" w:ascii="仿宋" w:hAnsi="仿宋" w:eastAsia="仿宋" w:cs="仿宋"/>
          <w:b/>
          <w:bCs/>
          <w:color w:val="auto"/>
          <w:sz w:val="28"/>
          <w:szCs w:val="32"/>
          <w:lang w:eastAsia="zh-CN"/>
        </w:rPr>
      </w:pPr>
      <w:r>
        <w:rPr>
          <w:rFonts w:hint="eastAsia" w:ascii="仿宋" w:hAnsi="仿宋" w:eastAsia="仿宋" w:cs="仿宋"/>
          <w:b/>
          <w:bCs/>
          <w:color w:val="auto"/>
          <w:sz w:val="44"/>
        </w:rPr>
        <w:br w:type="page"/>
      </w:r>
      <w:r>
        <w:rPr>
          <w:rFonts w:hint="eastAsia" w:ascii="仿宋" w:hAnsi="仿宋" w:eastAsia="仿宋" w:cs="仿宋"/>
          <w:b/>
          <w:bCs/>
          <w:color w:val="auto"/>
          <w:sz w:val="28"/>
          <w:szCs w:val="32"/>
          <w:lang w:eastAsia="zh-CN"/>
        </w:rPr>
        <w:t>兰州职业技术学院</w:t>
      </w:r>
      <w:r>
        <w:rPr>
          <w:rFonts w:hint="eastAsia" w:ascii="仿宋" w:hAnsi="仿宋" w:eastAsia="仿宋" w:cs="仿宋"/>
          <w:b/>
          <w:bCs/>
          <w:color w:val="auto"/>
          <w:sz w:val="28"/>
          <w:szCs w:val="32"/>
          <w:lang w:val="en-US" w:eastAsia="zh-CN"/>
        </w:rPr>
        <w:t>数据中台对接平台建设</w:t>
      </w:r>
      <w:r>
        <w:rPr>
          <w:rFonts w:hint="eastAsia" w:ascii="仿宋" w:hAnsi="仿宋" w:eastAsia="仿宋" w:cs="仿宋"/>
          <w:b/>
          <w:bCs/>
          <w:color w:val="auto"/>
          <w:sz w:val="28"/>
          <w:szCs w:val="32"/>
          <w:lang w:eastAsia="zh-CN"/>
        </w:rPr>
        <w:t>项目</w:t>
      </w:r>
    </w:p>
    <w:p>
      <w:pPr>
        <w:snapToGrid w:val="0"/>
        <w:spacing w:line="360" w:lineRule="auto"/>
        <w:jc w:val="left"/>
        <w:rPr>
          <w:rFonts w:hint="eastAsia" w:ascii="仿宋" w:hAnsi="仿宋" w:eastAsia="仿宋" w:cs="仿宋"/>
          <w:b/>
          <w:bCs/>
          <w:color w:val="auto"/>
          <w:sz w:val="28"/>
          <w:szCs w:val="32"/>
        </w:rPr>
      </w:pPr>
    </w:p>
    <w:p>
      <w:pPr>
        <w:jc w:val="left"/>
        <w:rPr>
          <w:rFonts w:hint="eastAsia" w:ascii="仿宋" w:hAnsi="仿宋" w:eastAsia="仿宋" w:cs="仿宋"/>
          <w:color w:val="auto"/>
          <w:sz w:val="21"/>
          <w:szCs w:val="21"/>
        </w:rPr>
      </w:pPr>
      <w:r>
        <w:rPr>
          <w:rFonts w:hint="eastAsia" w:ascii="仿宋" w:hAnsi="仿宋" w:eastAsia="仿宋" w:cs="仿宋"/>
          <w:color w:val="auto"/>
          <w:sz w:val="24"/>
        </w:rPr>
        <w:t xml:space="preserve">  </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rPr>
        <w:t>以竞争性磋商方式进行采购，欢迎符合资格条件的供应商前来参加。</w:t>
      </w:r>
    </w:p>
    <w:p>
      <w:pPr>
        <w:numPr>
          <w:ilvl w:val="0"/>
          <w:numId w:val="3"/>
        </w:numPr>
        <w:snapToGrid w:val="0"/>
        <w:spacing w:line="360" w:lineRule="auto"/>
        <w:ind w:firstLine="422" w:firstLineChars="20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磋商文件编号：LZCS—202</w:t>
      </w:r>
      <w:r>
        <w:rPr>
          <w:rFonts w:hint="eastAsia" w:ascii="仿宋" w:hAnsi="仿宋" w:eastAsia="仿宋" w:cs="仿宋"/>
          <w:b/>
          <w:color w:val="auto"/>
          <w:sz w:val="21"/>
          <w:szCs w:val="21"/>
          <w:highlight w:val="none"/>
          <w:lang w:val="en-US" w:eastAsia="zh-CN"/>
        </w:rPr>
        <w:t>3006</w:t>
      </w:r>
    </w:p>
    <w:p>
      <w:pPr>
        <w:numPr>
          <w:ilvl w:val="0"/>
          <w:numId w:val="3"/>
        </w:numPr>
        <w:snapToGrid w:val="0"/>
        <w:spacing w:line="360" w:lineRule="auto"/>
        <w:ind w:firstLine="422" w:firstLineChars="20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磋商内容：</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p>
    <w:p>
      <w:pPr>
        <w:snapToGrid w:val="0"/>
        <w:spacing w:line="360" w:lineRule="auto"/>
        <w:ind w:firstLine="422" w:firstLineChars="200"/>
        <w:jc w:val="left"/>
        <w:rPr>
          <w:rFonts w:hint="eastAsia" w:ascii="仿宋" w:hAnsi="仿宋" w:eastAsia="仿宋" w:cs="仿宋"/>
          <w:b/>
          <w:color w:val="auto"/>
          <w:sz w:val="21"/>
          <w:szCs w:val="21"/>
        </w:rPr>
      </w:pPr>
      <w:r>
        <w:rPr>
          <w:rFonts w:hint="eastAsia" w:ascii="仿宋" w:hAnsi="仿宋" w:eastAsia="仿宋" w:cs="仿宋"/>
          <w:b/>
          <w:color w:val="auto"/>
          <w:sz w:val="21"/>
          <w:szCs w:val="21"/>
        </w:rPr>
        <w:t>三、供应商资格要求：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1.供应商必须符合《中华人民共和国政府采购法》第二十二条要求；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2.供应商应是在中华人民共和国境内注册取得营业执照的独立法人或其他组织，具有相应经营范围；</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3.营业执照副本（复印件）；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4.法人代表身份证（正、反面复印件）；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5.法人授权函（原件）及被授权人身份证（正、反面复印件）；</w:t>
      </w:r>
    </w:p>
    <w:p>
      <w:pPr>
        <w:spacing w:line="240" w:lineRule="auto"/>
        <w:ind w:firstLine="420" w:firstLineChars="200"/>
        <w:jc w:val="left"/>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6.资格承诺函</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.以上条款为</w:t>
      </w:r>
      <w:r>
        <w:rPr>
          <w:rFonts w:hint="eastAsia" w:ascii="仿宋" w:hAnsi="仿宋" w:eastAsia="仿宋" w:cs="仿宋"/>
          <w:color w:val="auto"/>
          <w:sz w:val="21"/>
          <w:szCs w:val="21"/>
          <w:lang w:val="en-US" w:eastAsia="zh-CN"/>
        </w:rPr>
        <w:t>本</w:t>
      </w:r>
      <w:r>
        <w:rPr>
          <w:rFonts w:hint="eastAsia" w:ascii="仿宋" w:hAnsi="仿宋" w:eastAsia="仿宋" w:cs="仿宋"/>
          <w:color w:val="auto"/>
          <w:sz w:val="21"/>
          <w:szCs w:val="21"/>
        </w:rPr>
        <w:t>项目必须提供的文件，其中证书必须在有效期内(三证合一的不提供第4、5）项)，上述所有条款中的复印件必须加盖供应商公章。若法定代表人参加,须提供第4项，若法人授权人参加,须提供第4项和第5项。未按上述要求制作</w:t>
      </w:r>
      <w:r>
        <w:rPr>
          <w:rFonts w:hint="eastAsia" w:ascii="仿宋" w:hAnsi="仿宋" w:eastAsia="仿宋" w:cs="仿宋"/>
          <w:color w:val="auto"/>
          <w:sz w:val="21"/>
          <w:szCs w:val="21"/>
          <w:lang w:val="en-US" w:eastAsia="zh-CN"/>
        </w:rPr>
        <w:t>磋商</w:t>
      </w:r>
      <w:r>
        <w:rPr>
          <w:rFonts w:hint="eastAsia" w:ascii="仿宋" w:hAnsi="仿宋" w:eastAsia="仿宋" w:cs="仿宋"/>
          <w:color w:val="auto"/>
          <w:sz w:val="21"/>
          <w:szCs w:val="21"/>
        </w:rPr>
        <w:t>响应性文件的，将视为无效投标。</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.本项目不接受联合体竞价。</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rPr>
        <w:t>四</w:t>
      </w:r>
      <w:r>
        <w:rPr>
          <w:rFonts w:hint="eastAsia" w:ascii="仿宋" w:hAnsi="仿宋" w:eastAsia="仿宋" w:cs="仿宋"/>
          <w:b/>
          <w:bCs/>
          <w:color w:val="auto"/>
          <w:sz w:val="21"/>
          <w:szCs w:val="21"/>
        </w:rPr>
        <w:t>、获取磋商文件的时间期限、地点、方式及招标文件获取</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磋商文件获取时间：202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日至 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获取方式及地点：网上自行获取：兰州职业技术学院官方网站（http:// http://www.lvu.edu.cn/）在线获得</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获磋商文件售价：免费</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六、磋商截止时间、磋商时间及地点</w:t>
      </w:r>
      <w:r>
        <w:rPr>
          <w:rFonts w:hint="eastAsia" w:ascii="仿宋" w:hAnsi="仿宋" w:eastAsia="仿宋" w:cs="仿宋"/>
          <w:color w:val="auto"/>
          <w:sz w:val="21"/>
          <w:szCs w:val="21"/>
        </w:rPr>
        <w:t xml:space="preserve">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（一）磋商截止时间：202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（二）磋商文件递交地点：兰州职业技术学院</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（三）磋商时间：202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（四）磋商地点：兰州职业技术学院综合楼</w:t>
      </w:r>
      <w:r>
        <w:rPr>
          <w:rFonts w:hint="eastAsia" w:ascii="仿宋" w:hAnsi="仿宋" w:eastAsia="仿宋" w:cs="仿宋"/>
          <w:color w:val="auto"/>
          <w:sz w:val="21"/>
          <w:szCs w:val="21"/>
          <w:lang w:val="en-US" w:eastAsia="zh-CN"/>
        </w:rPr>
        <w:t>614</w:t>
      </w:r>
      <w:r>
        <w:rPr>
          <w:rFonts w:hint="eastAsia" w:ascii="仿宋" w:hAnsi="仿宋" w:eastAsia="仿宋" w:cs="仿宋"/>
          <w:color w:val="auto"/>
          <w:sz w:val="21"/>
          <w:szCs w:val="21"/>
        </w:rPr>
        <w:t>会议室</w:t>
      </w:r>
    </w:p>
    <w:p>
      <w:pPr>
        <w:spacing w:line="24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 xml:space="preserve">七、联系方式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采 购 人：兰州职业技术学院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 系 人：</w:t>
      </w:r>
      <w:r>
        <w:rPr>
          <w:rFonts w:hint="eastAsia" w:ascii="仿宋" w:hAnsi="仿宋" w:eastAsia="仿宋" w:cs="仿宋"/>
          <w:color w:val="auto"/>
          <w:sz w:val="21"/>
          <w:szCs w:val="21"/>
          <w:lang w:val="en-US" w:eastAsia="zh-CN"/>
        </w:rPr>
        <w:t>吴</w:t>
      </w:r>
      <w:r>
        <w:rPr>
          <w:rFonts w:hint="eastAsia" w:ascii="仿宋" w:hAnsi="仿宋" w:eastAsia="仿宋" w:cs="仿宋"/>
          <w:color w:val="auto"/>
          <w:sz w:val="21"/>
          <w:szCs w:val="21"/>
        </w:rPr>
        <w:t xml:space="preserve">老师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联系地址：兰州市安宁区刘沙公路37号</w:t>
      </w:r>
    </w:p>
    <w:p>
      <w:pPr>
        <w:spacing w:line="240" w:lineRule="auto"/>
        <w:ind w:firstLine="420" w:firstLineChars="20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联系电话：</w:t>
      </w:r>
      <w:r>
        <w:rPr>
          <w:rFonts w:hint="eastAsia" w:ascii="仿宋" w:hAnsi="仿宋" w:eastAsia="仿宋" w:cs="仿宋"/>
          <w:color w:val="auto"/>
          <w:sz w:val="21"/>
          <w:szCs w:val="21"/>
          <w:lang w:val="en-US" w:eastAsia="zh-CN"/>
        </w:rPr>
        <w:t>0931-7619761</w:t>
      </w:r>
    </w:p>
    <w:p>
      <w:pPr>
        <w:spacing w:line="240" w:lineRule="auto"/>
        <w:jc w:val="right"/>
        <w:rPr>
          <w:rFonts w:hint="eastAsia" w:ascii="仿宋" w:hAnsi="仿宋" w:eastAsia="仿宋" w:cs="仿宋"/>
          <w:color w:val="auto"/>
          <w:sz w:val="21"/>
          <w:szCs w:val="21"/>
        </w:rPr>
      </w:pP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 xml:space="preserve">兰州职业技术学院                                           </w:t>
      </w: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 xml:space="preserve">日 </w:t>
      </w:r>
    </w:p>
    <w:p>
      <w:pPr>
        <w:spacing w:line="360" w:lineRule="auto"/>
        <w:rPr>
          <w:rFonts w:hint="eastAsia" w:ascii="仿宋" w:hAnsi="仿宋" w:eastAsia="仿宋" w:cs="仿宋"/>
          <w:color w:val="auto"/>
          <w:sz w:val="24"/>
        </w:rPr>
      </w:pPr>
    </w:p>
    <w:p>
      <w:pPr>
        <w:pStyle w:val="6"/>
        <w:ind w:left="0" w:leftChars="0" w:firstLine="0" w:firstLineChars="0"/>
        <w:rPr>
          <w:rFonts w:hint="eastAsia" w:ascii="仿宋" w:hAnsi="仿宋" w:eastAsia="仿宋" w:cs="仿宋"/>
          <w:bCs/>
          <w:color w:val="auto"/>
        </w:rPr>
      </w:pPr>
      <w:bookmarkStart w:id="11" w:name="_Toc361769629"/>
      <w:bookmarkStart w:id="12" w:name="_Toc361769763"/>
    </w:p>
    <w:p>
      <w:pPr>
        <w:pStyle w:val="6"/>
        <w:ind w:left="0" w:leftChars="0" w:firstLine="0" w:firstLineChars="0"/>
        <w:rPr>
          <w:rFonts w:hint="eastAsia" w:ascii="仿宋" w:hAnsi="仿宋" w:eastAsia="仿宋" w:cs="仿宋"/>
          <w:bCs/>
          <w:color w:val="auto"/>
        </w:rPr>
      </w:pPr>
    </w:p>
    <w:p>
      <w:pPr>
        <w:pStyle w:val="6"/>
        <w:ind w:left="0" w:leftChars="0" w:firstLine="0" w:firstLineChars="0"/>
        <w:rPr>
          <w:rFonts w:hint="eastAsia" w:ascii="仿宋" w:hAnsi="仿宋" w:eastAsia="仿宋" w:cs="仿宋"/>
          <w:bCs/>
          <w:color w:val="auto"/>
        </w:rPr>
      </w:pPr>
    </w:p>
    <w:p>
      <w:pPr>
        <w:rPr>
          <w:rFonts w:hint="eastAsia" w:ascii="仿宋" w:hAnsi="仿宋" w:eastAsia="仿宋" w:cs="仿宋"/>
          <w:bCs w:val="0"/>
          <w:color w:val="auto"/>
        </w:rPr>
      </w:pPr>
    </w:p>
    <w:p>
      <w:pPr>
        <w:pStyle w:val="32"/>
        <w:rPr>
          <w:rFonts w:hint="eastAsia" w:ascii="仿宋" w:hAnsi="仿宋" w:eastAsia="仿宋" w:cs="仿宋"/>
          <w:bCs w:val="0"/>
          <w:color w:val="auto"/>
        </w:rPr>
      </w:pPr>
    </w:p>
    <w:p>
      <w:pPr>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
        <w:rPr>
          <w:rFonts w:hint="eastAsia" w:ascii="仿宋" w:hAnsi="仿宋" w:eastAsia="仿宋" w:cs="仿宋"/>
          <w:bCs w:val="0"/>
          <w:color w:val="auto"/>
        </w:rPr>
      </w:pPr>
    </w:p>
    <w:p>
      <w:pPr>
        <w:pStyle w:val="32"/>
        <w:rPr>
          <w:rFonts w:hint="eastAsia" w:ascii="仿宋" w:hAnsi="仿宋" w:eastAsia="仿宋" w:cs="仿宋"/>
          <w:bCs w:val="0"/>
          <w:color w:val="auto"/>
        </w:rPr>
      </w:pPr>
    </w:p>
    <w:p>
      <w:pPr>
        <w:rPr>
          <w:rFonts w:hint="eastAsia" w:ascii="仿宋" w:hAnsi="仿宋" w:eastAsia="仿宋" w:cs="仿宋"/>
          <w:bCs w:val="0"/>
          <w:color w:val="auto"/>
        </w:rPr>
      </w:pPr>
    </w:p>
    <w:p>
      <w:pPr>
        <w:pStyle w:val="32"/>
        <w:rPr>
          <w:rFonts w:hint="eastAsia" w:ascii="仿宋" w:hAnsi="仿宋" w:eastAsia="仿宋" w:cs="仿宋"/>
          <w:color w:val="auto"/>
        </w:rPr>
      </w:pPr>
    </w:p>
    <w:p>
      <w:pPr>
        <w:pStyle w:val="4"/>
        <w:spacing w:line="360" w:lineRule="auto"/>
        <w:jc w:val="center"/>
        <w:rPr>
          <w:rFonts w:hint="eastAsia" w:ascii="仿宋" w:hAnsi="仿宋" w:eastAsia="仿宋" w:cs="仿宋"/>
          <w:bCs w:val="0"/>
          <w:color w:val="auto"/>
          <w:sz w:val="36"/>
          <w:szCs w:val="36"/>
        </w:rPr>
      </w:pPr>
      <w:bookmarkStart w:id="13" w:name="_Toc13778"/>
      <w:r>
        <w:rPr>
          <w:rFonts w:hint="eastAsia" w:ascii="仿宋" w:hAnsi="仿宋" w:eastAsia="仿宋" w:cs="仿宋"/>
          <w:bCs w:val="0"/>
          <w:color w:val="auto"/>
          <w:sz w:val="36"/>
          <w:szCs w:val="36"/>
        </w:rPr>
        <w:t>第二部分  供应商须知</w:t>
      </w:r>
      <w:bookmarkEnd w:id="11"/>
      <w:bookmarkEnd w:id="12"/>
      <w:bookmarkEnd w:id="13"/>
    </w:p>
    <w:p>
      <w:pPr>
        <w:pStyle w:val="20"/>
        <w:spacing w:line="360" w:lineRule="auto"/>
        <w:jc w:val="center"/>
        <w:rPr>
          <w:rFonts w:hint="eastAsia" w:ascii="仿宋" w:hAnsi="仿宋" w:eastAsia="仿宋" w:cs="仿宋"/>
          <w:b/>
          <w:bCs/>
          <w:color w:val="auto"/>
          <w:sz w:val="32"/>
          <w:szCs w:val="32"/>
        </w:rPr>
      </w:pPr>
      <w:bookmarkStart w:id="14" w:name="_Toc361769764"/>
      <w:bookmarkStart w:id="15" w:name="_Toc361769630"/>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2"/>
        <w:ind w:firstLine="321"/>
        <w:rPr>
          <w:rFonts w:hint="eastAsia" w:ascii="仿宋" w:hAnsi="仿宋" w:eastAsia="仿宋" w:cs="仿宋"/>
          <w:b/>
          <w:bCs/>
          <w:color w:val="auto"/>
          <w:sz w:val="32"/>
          <w:szCs w:val="32"/>
        </w:rPr>
      </w:pPr>
    </w:p>
    <w:p>
      <w:pPr>
        <w:pStyle w:val="2"/>
        <w:ind w:firstLine="321"/>
        <w:rPr>
          <w:rFonts w:hint="eastAsia" w:ascii="仿宋" w:hAnsi="仿宋" w:eastAsia="仿宋" w:cs="仿宋"/>
          <w:b/>
          <w:bCs/>
          <w:color w:val="auto"/>
          <w:sz w:val="32"/>
          <w:szCs w:val="32"/>
        </w:rPr>
      </w:pPr>
    </w:p>
    <w:p>
      <w:pPr>
        <w:pStyle w:val="2"/>
        <w:ind w:firstLine="321"/>
        <w:rPr>
          <w:rFonts w:hint="eastAsia" w:ascii="仿宋" w:hAnsi="仿宋" w:eastAsia="仿宋" w:cs="仿宋"/>
          <w:b/>
          <w:bCs/>
          <w:color w:val="auto"/>
          <w:sz w:val="32"/>
          <w:szCs w:val="32"/>
        </w:rPr>
      </w:pPr>
    </w:p>
    <w:p>
      <w:pPr>
        <w:pStyle w:val="2"/>
        <w:ind w:firstLine="321"/>
        <w:rPr>
          <w:rFonts w:hint="eastAsia" w:ascii="仿宋" w:hAnsi="仿宋" w:eastAsia="仿宋" w:cs="仿宋"/>
          <w:b/>
          <w:bCs/>
          <w:color w:val="auto"/>
          <w:sz w:val="32"/>
          <w:szCs w:val="32"/>
        </w:rPr>
      </w:pPr>
    </w:p>
    <w:p>
      <w:pPr>
        <w:pStyle w:val="4"/>
        <w:snapToGrid w:val="0"/>
        <w:spacing w:line="360" w:lineRule="auto"/>
        <w:ind w:left="420" w:leftChars="200"/>
        <w:jc w:val="center"/>
        <w:rPr>
          <w:rFonts w:hint="eastAsia" w:ascii="仿宋" w:hAnsi="仿宋" w:eastAsia="仿宋" w:cs="仿宋"/>
          <w:b/>
          <w:bCs w:val="0"/>
          <w:color w:val="auto"/>
          <w:w w:val="95"/>
          <w:kern w:val="2"/>
          <w:sz w:val="28"/>
          <w:szCs w:val="28"/>
          <w:lang w:val="en-US" w:eastAsia="zh-CN" w:bidi="ar-SA"/>
        </w:rPr>
      </w:pPr>
      <w:bookmarkStart w:id="16" w:name="_Toc14913"/>
      <w:bookmarkStart w:id="17" w:name="_Toc17640"/>
      <w:bookmarkStart w:id="18" w:name="_Toc24202"/>
      <w:r>
        <w:rPr>
          <w:rFonts w:hint="eastAsia" w:ascii="仿宋" w:hAnsi="仿宋" w:eastAsia="仿宋" w:cs="仿宋"/>
          <w:b/>
          <w:bCs w:val="0"/>
          <w:color w:val="auto"/>
          <w:w w:val="95"/>
          <w:kern w:val="2"/>
          <w:sz w:val="28"/>
          <w:szCs w:val="28"/>
          <w:lang w:val="en-US" w:eastAsia="zh-CN" w:bidi="ar-SA"/>
        </w:rPr>
        <w:t>一、</w:t>
      </w:r>
      <w:bookmarkEnd w:id="14"/>
      <w:bookmarkEnd w:id="15"/>
      <w:bookmarkEnd w:id="16"/>
      <w:bookmarkEnd w:id="17"/>
      <w:r>
        <w:rPr>
          <w:rFonts w:hint="eastAsia" w:ascii="仿宋" w:hAnsi="仿宋" w:eastAsia="仿宋" w:cs="仿宋"/>
          <w:b/>
          <w:bCs w:val="0"/>
          <w:color w:val="auto"/>
          <w:w w:val="95"/>
          <w:kern w:val="2"/>
          <w:sz w:val="28"/>
          <w:szCs w:val="28"/>
          <w:lang w:val="en-US" w:eastAsia="zh-CN" w:bidi="ar-SA"/>
        </w:rPr>
        <w:t>供应商须知资料表</w:t>
      </w:r>
      <w:bookmarkEnd w:id="18"/>
    </w:p>
    <w:p>
      <w:pPr>
        <w:adjustRightInd w:val="0"/>
        <w:snapToGrid w:val="0"/>
        <w:spacing w:line="360" w:lineRule="auto"/>
        <w:rPr>
          <w:rFonts w:hint="eastAsia" w:ascii="仿宋" w:hAnsi="仿宋" w:eastAsia="仿宋" w:cs="仿宋"/>
          <w:b/>
          <w:bCs/>
          <w:color w:val="auto"/>
          <w:w w:val="95"/>
          <w:sz w:val="21"/>
          <w:szCs w:val="21"/>
        </w:rPr>
      </w:pPr>
      <w:r>
        <w:rPr>
          <w:rFonts w:hint="eastAsia" w:ascii="仿宋" w:hAnsi="仿宋" w:eastAsia="仿宋" w:cs="仿宋"/>
          <w:b/>
          <w:bCs/>
          <w:color w:val="auto"/>
          <w:sz w:val="21"/>
          <w:szCs w:val="21"/>
        </w:rPr>
        <w:t>本表关于本项目的服务的具体资料是对供应商须知的具体补充和修改。</w:t>
      </w:r>
    </w:p>
    <w:tbl>
      <w:tblPr>
        <w:tblStyle w:val="3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项号</w:t>
            </w:r>
          </w:p>
        </w:tc>
        <w:tc>
          <w:tcPr>
            <w:tcW w:w="8507" w:type="dxa"/>
            <w:vAlign w:val="center"/>
          </w:tcPr>
          <w:p>
            <w:pPr>
              <w:pStyle w:val="20"/>
              <w:snapToGrid w:val="0"/>
              <w:spacing w:line="240" w:lineRule="auto"/>
              <w:jc w:val="center"/>
              <w:rPr>
                <w:rFonts w:hint="eastAsia" w:ascii="仿宋" w:hAnsi="仿宋" w:eastAsia="仿宋" w:cs="仿宋"/>
                <w:bCs/>
                <w:color w:val="auto"/>
                <w:szCs w:val="21"/>
                <w:lang w:bidi="ar"/>
              </w:rPr>
            </w:pPr>
            <w:r>
              <w:rPr>
                <w:rFonts w:hint="eastAsia" w:ascii="仿宋" w:hAnsi="仿宋" w:eastAsia="仿宋" w:cs="仿宋"/>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1</w:t>
            </w:r>
          </w:p>
        </w:tc>
        <w:tc>
          <w:tcPr>
            <w:tcW w:w="8507" w:type="dxa"/>
            <w:vAlign w:val="center"/>
          </w:tcPr>
          <w:p>
            <w:pPr>
              <w:pStyle w:val="20"/>
              <w:snapToGrid w:val="0"/>
              <w:spacing w:line="240" w:lineRule="auto"/>
              <w:ind w:firstLine="420" w:firstLineChars="200"/>
              <w:rPr>
                <w:rFonts w:hint="eastAsia" w:ascii="仿宋" w:hAnsi="仿宋" w:eastAsia="仿宋" w:cs="仿宋"/>
                <w:bCs/>
                <w:color w:val="auto"/>
                <w:szCs w:val="21"/>
                <w:lang w:eastAsia="zh-CN" w:bidi="ar"/>
              </w:rPr>
            </w:pPr>
            <w:r>
              <w:rPr>
                <w:rFonts w:hint="eastAsia" w:ascii="仿宋" w:hAnsi="仿宋" w:eastAsia="仿宋" w:cs="仿宋"/>
                <w:bCs/>
                <w:color w:val="auto"/>
                <w:szCs w:val="21"/>
                <w:lang w:bidi="ar"/>
              </w:rPr>
              <w:t>项目名称：</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2</w:t>
            </w:r>
          </w:p>
        </w:tc>
        <w:tc>
          <w:tcPr>
            <w:tcW w:w="8507" w:type="dxa"/>
            <w:vAlign w:val="center"/>
          </w:tcPr>
          <w:p>
            <w:pPr>
              <w:pStyle w:val="20"/>
              <w:snapToGrid w:val="0"/>
              <w:spacing w:line="240" w:lineRule="auto"/>
              <w:ind w:firstLine="420" w:firstLineChars="200"/>
              <w:rPr>
                <w:rFonts w:hint="eastAsia" w:ascii="仿宋" w:hAnsi="仿宋" w:eastAsia="仿宋" w:cs="仿宋"/>
                <w:bCs/>
                <w:color w:val="auto"/>
                <w:szCs w:val="21"/>
                <w:lang w:val="en-US" w:eastAsia="zh-CN" w:bidi="ar"/>
              </w:rPr>
            </w:pPr>
            <w:r>
              <w:rPr>
                <w:rFonts w:hint="eastAsia" w:ascii="仿宋" w:hAnsi="仿宋" w:eastAsia="仿宋" w:cs="仿宋"/>
                <w:bCs/>
                <w:color w:val="auto"/>
                <w:szCs w:val="21"/>
                <w:lang w:bidi="ar"/>
              </w:rPr>
              <w:t>磋商内容：</w:t>
            </w:r>
            <w:r>
              <w:rPr>
                <w:rFonts w:hint="eastAsia" w:ascii="仿宋" w:hAnsi="仿宋" w:eastAsia="仿宋" w:cs="仿宋"/>
                <w:color w:val="auto"/>
                <w:sz w:val="21"/>
                <w:szCs w:val="21"/>
                <w:lang w:val="en-US" w:eastAsia="zh-CN"/>
              </w:rPr>
              <w:t>数据中台对接平台建设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3</w:t>
            </w:r>
          </w:p>
        </w:tc>
        <w:tc>
          <w:tcPr>
            <w:tcW w:w="8507" w:type="dxa"/>
            <w:vAlign w:val="center"/>
          </w:tcPr>
          <w:p>
            <w:pPr>
              <w:numPr>
                <w:ilvl w:val="0"/>
                <w:numId w:val="0"/>
              </w:numPr>
              <w:snapToGrid w:val="0"/>
              <w:spacing w:line="360" w:lineRule="auto"/>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val="en-US" w:eastAsia="zh-CN" w:bidi="ar"/>
              </w:rPr>
              <w:t xml:space="preserve">    服务期限：一年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4</w:t>
            </w:r>
          </w:p>
        </w:tc>
        <w:tc>
          <w:tcPr>
            <w:tcW w:w="8507" w:type="dxa"/>
            <w:vAlign w:val="center"/>
          </w:tcPr>
          <w:p>
            <w:pPr>
              <w:pStyle w:val="20"/>
              <w:snapToGrid w:val="0"/>
              <w:spacing w:line="360" w:lineRule="auto"/>
              <w:ind w:firstLine="420" w:firstLineChars="200"/>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val="en-US" w:eastAsia="zh-CN" w:bidi="ar"/>
              </w:rPr>
              <w:t>预算金额</w:t>
            </w:r>
            <w:r>
              <w:rPr>
                <w:rFonts w:hint="eastAsia" w:ascii="仿宋" w:hAnsi="仿宋" w:eastAsia="仿宋" w:cs="仿宋"/>
                <w:bCs/>
                <w:color w:val="auto"/>
                <w:szCs w:val="21"/>
                <w:lang w:bidi="ar"/>
              </w:rPr>
              <w:t>：</w:t>
            </w:r>
            <w:r>
              <w:rPr>
                <w:rFonts w:hint="eastAsia" w:ascii="仿宋" w:hAnsi="仿宋" w:eastAsia="仿宋" w:cs="仿宋"/>
                <w:bCs/>
                <w:color w:val="auto"/>
                <w:szCs w:val="21"/>
                <w:lang w:val="en-US" w:eastAsia="zh-CN" w:bidi="ar"/>
              </w:rPr>
              <w:t>19万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5</w:t>
            </w:r>
          </w:p>
        </w:tc>
        <w:tc>
          <w:tcPr>
            <w:tcW w:w="8507" w:type="dxa"/>
            <w:vAlign w:val="center"/>
          </w:tcPr>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投标有效期：</w:t>
            </w:r>
            <w:r>
              <w:rPr>
                <w:rFonts w:hint="eastAsia" w:ascii="仿宋" w:hAnsi="仿宋" w:eastAsia="仿宋" w:cs="仿宋"/>
                <w:bCs/>
                <w:color w:val="auto"/>
                <w:szCs w:val="21"/>
                <w:u w:val="single"/>
                <w:lang w:bidi="ar"/>
              </w:rPr>
              <w:t xml:space="preserve">90 </w:t>
            </w:r>
            <w:r>
              <w:rPr>
                <w:rFonts w:hint="eastAsia" w:ascii="仿宋" w:hAnsi="仿宋" w:eastAsia="仿宋" w:cs="仿宋"/>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6</w:t>
            </w:r>
          </w:p>
        </w:tc>
        <w:tc>
          <w:tcPr>
            <w:tcW w:w="8507" w:type="dxa"/>
            <w:vAlign w:val="center"/>
          </w:tcPr>
          <w:p>
            <w:pPr>
              <w:pStyle w:val="20"/>
              <w:snapToGrid w:val="0"/>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供应商资格要求：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1.供应商必须符合《中华人民共和国政府采购法》第二十二条要求；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2.供应商应是在中华人民共和国境内注册取得营业执照的独立法人或其他组织，具有相应经营范围；</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3.营业执照副本（复印件）；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4.法人代表身份证（正、反面复印件）；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5.法人授权函（原件）及被授权人身份证（正、反面复印件）；</w:t>
            </w:r>
          </w:p>
          <w:p>
            <w:pPr>
              <w:ind w:firstLine="420" w:firstLineChars="200"/>
              <w:jc w:val="left"/>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6.资格承诺函</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8.本项目不接受联合体竞价。</w:t>
            </w:r>
          </w:p>
          <w:p>
            <w:pPr>
              <w:spacing w:line="240" w:lineRule="auto"/>
              <w:ind w:firstLine="420" w:firstLineChars="200"/>
              <w:rPr>
                <w:rFonts w:hint="eastAsia" w:ascii="仿宋" w:hAnsi="仿宋" w:eastAsia="仿宋" w:cs="仿宋"/>
                <w:bCs/>
                <w:color w:val="auto"/>
                <w:szCs w:val="21"/>
                <w:lang w:bidi="ar"/>
              </w:rPr>
            </w:pPr>
            <w:r>
              <w:rPr>
                <w:rFonts w:hint="eastAsia" w:ascii="仿宋" w:hAnsi="仿宋" w:eastAsia="仿宋" w:cs="仿宋"/>
                <w:color w:val="auto"/>
                <w:kern w:val="2"/>
                <w:sz w:val="21"/>
                <w:szCs w:val="21"/>
                <w:lang w:val="en-US" w:eastAsia="zh-CN" w:bidi="ar-SA"/>
              </w:rPr>
              <w:t>以上条款为本项目必须提供的文件，其中证书必须在有效期内(三证合一的不提供第4、5）项)，上述所有条款中的复印件必须加盖供</w:t>
            </w:r>
            <w:r>
              <w:rPr>
                <w:rFonts w:hint="eastAsia" w:ascii="仿宋" w:hAnsi="仿宋" w:eastAsia="仿宋" w:cs="仿宋"/>
                <w:color w:val="auto"/>
                <w:szCs w:val="21"/>
              </w:rPr>
              <w:t>应商公章。若法定代表人参加,须提供第4项，若法人授权人参加,须提供第4项和第5项。未按上述要求制作响应性文件的，将视为无效投标</w:t>
            </w:r>
            <w:r>
              <w:rPr>
                <w:rFonts w:hint="eastAsia" w:ascii="仿宋" w:hAnsi="仿宋" w:eastAsia="仿宋" w:cs="仿宋"/>
                <w:bCs/>
                <w:color w:val="auto"/>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7</w:t>
            </w:r>
          </w:p>
        </w:tc>
        <w:tc>
          <w:tcPr>
            <w:tcW w:w="8507" w:type="dxa"/>
            <w:vAlign w:val="center"/>
          </w:tcPr>
          <w:p>
            <w:pPr>
              <w:pStyle w:val="20"/>
              <w:snapToGrid w:val="0"/>
              <w:spacing w:line="360" w:lineRule="auto"/>
              <w:rPr>
                <w:rFonts w:hint="eastAsia" w:ascii="仿宋" w:hAnsi="仿宋" w:eastAsia="仿宋" w:cs="仿宋"/>
                <w:bCs/>
                <w:color w:val="auto"/>
                <w:szCs w:val="21"/>
                <w:lang w:bidi="ar"/>
              </w:rPr>
            </w:pPr>
            <w:r>
              <w:rPr>
                <w:rFonts w:hint="eastAsia" w:ascii="仿宋" w:hAnsi="仿宋" w:eastAsia="仿宋" w:cs="仿宋"/>
                <w:bCs/>
                <w:color w:val="auto"/>
                <w:szCs w:val="21"/>
                <w:lang w:bidi="ar"/>
              </w:rPr>
              <w:t>磋商响应文件及电子版要求：</w:t>
            </w:r>
          </w:p>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val="zh-CN" w:bidi="ar"/>
              </w:rPr>
              <w:t>纸质文件</w:t>
            </w:r>
            <w:r>
              <w:rPr>
                <w:rFonts w:hint="eastAsia" w:ascii="仿宋" w:hAnsi="仿宋" w:eastAsia="仿宋" w:cs="仿宋"/>
                <w:bCs/>
                <w:color w:val="auto"/>
                <w:szCs w:val="21"/>
                <w:lang w:bidi="ar"/>
              </w:rPr>
              <w:t>份数：正本一套、副本二套；</w:t>
            </w:r>
          </w:p>
          <w:p>
            <w:pPr>
              <w:pStyle w:val="20"/>
              <w:snapToGrid w:val="0"/>
              <w:spacing w:line="360" w:lineRule="auto"/>
              <w:ind w:firstLine="420" w:firstLineChars="200"/>
              <w:rPr>
                <w:rFonts w:hint="eastAsia" w:ascii="仿宋" w:hAnsi="仿宋" w:eastAsia="仿宋" w:cs="仿宋"/>
                <w:b/>
                <w:color w:val="auto"/>
                <w:szCs w:val="21"/>
                <w:lang w:bidi="ar"/>
              </w:rPr>
            </w:pPr>
            <w:r>
              <w:rPr>
                <w:rFonts w:hint="eastAsia" w:ascii="仿宋" w:hAnsi="仿宋" w:eastAsia="仿宋" w:cs="仿宋"/>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8</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供应商必须按照磋商文件的规定和要求签字、盖章（法人代表的签字可用具有法定效力的签字章）</w:t>
            </w:r>
            <w:r>
              <w:rPr>
                <w:rFonts w:hint="eastAsia" w:ascii="仿宋" w:hAnsi="仿宋" w:eastAsia="仿宋" w:cs="仿宋"/>
                <w:color w:val="auto"/>
                <w:szCs w:val="21"/>
              </w:rPr>
              <w:t>,未按规定签字盖章的</w:t>
            </w:r>
            <w:r>
              <w:rPr>
                <w:rFonts w:hint="eastAsia" w:ascii="仿宋" w:hAnsi="仿宋" w:eastAsia="仿宋" w:cs="仿宋"/>
                <w:color w:val="auto"/>
                <w:kern w:val="0"/>
                <w:szCs w:val="21"/>
                <w:lang w:val="zh-CN"/>
              </w:rPr>
              <w:t>，按</w:t>
            </w:r>
            <w:r>
              <w:rPr>
                <w:rFonts w:hint="eastAsia" w:ascii="仿宋" w:hAnsi="仿宋" w:eastAsia="仿宋" w:cs="仿宋"/>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9</w:t>
            </w:r>
          </w:p>
        </w:tc>
        <w:tc>
          <w:tcPr>
            <w:tcW w:w="8507" w:type="dxa"/>
            <w:vAlign w:val="center"/>
          </w:tcPr>
          <w:p>
            <w:pPr>
              <w:spacing w:line="240" w:lineRule="auto"/>
              <w:rPr>
                <w:rFonts w:hint="eastAsia" w:ascii="仿宋" w:hAnsi="仿宋" w:eastAsia="仿宋" w:cs="仿宋"/>
                <w:color w:val="auto"/>
                <w:szCs w:val="21"/>
              </w:rPr>
            </w:pPr>
            <w:r>
              <w:rPr>
                <w:rFonts w:hint="eastAsia" w:ascii="仿宋" w:hAnsi="仿宋" w:eastAsia="仿宋" w:cs="仿宋"/>
                <w:color w:val="auto"/>
                <w:szCs w:val="21"/>
              </w:rPr>
              <w:t>磋商文件澄清:</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供应商于202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15</w:t>
            </w:r>
            <w:r>
              <w:rPr>
                <w:rFonts w:hint="eastAsia" w:ascii="仿宋" w:hAnsi="仿宋" w:eastAsia="仿宋" w:cs="仿宋"/>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10</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11</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递交磋商文件地点、时间：</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递交磋商文件的地点：兰州职业技术学院综合楼</w:t>
            </w:r>
            <w:r>
              <w:rPr>
                <w:rFonts w:hint="eastAsia" w:ascii="仿宋" w:hAnsi="仿宋" w:eastAsia="仿宋" w:cs="仿宋"/>
                <w:color w:val="auto"/>
                <w:szCs w:val="21"/>
                <w:lang w:val="en-US" w:eastAsia="zh-CN"/>
              </w:rPr>
              <w:t>614</w:t>
            </w:r>
            <w:r>
              <w:rPr>
                <w:rFonts w:hint="eastAsia" w:ascii="仿宋" w:hAnsi="仿宋" w:eastAsia="仿宋" w:cs="仿宋"/>
                <w:color w:val="auto"/>
                <w:szCs w:val="21"/>
              </w:rPr>
              <w:t>会议室</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递交磋商文件时间：202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19</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10</w:t>
            </w:r>
            <w:r>
              <w:rPr>
                <w:rFonts w:hint="eastAsia" w:ascii="仿宋" w:hAnsi="仿宋" w:eastAsia="仿宋" w:cs="仿宋"/>
                <w:color w:val="auto"/>
                <w:szCs w:val="21"/>
              </w:rPr>
              <w:t>:</w:t>
            </w:r>
            <w:r>
              <w:rPr>
                <w:rFonts w:hint="eastAsia" w:ascii="仿宋" w:hAnsi="仿宋" w:eastAsia="仿宋" w:cs="仿宋"/>
                <w:color w:val="auto"/>
                <w:szCs w:val="21"/>
                <w:lang w:val="en-US" w:eastAsia="zh-CN"/>
              </w:rPr>
              <w:t>0</w:t>
            </w:r>
            <w:r>
              <w:rPr>
                <w:rFonts w:hint="eastAsia" w:ascii="仿宋" w:hAnsi="仿宋" w:eastAsia="仿宋" w:cs="仿宋"/>
                <w:color w:val="auto"/>
                <w:szCs w:val="21"/>
              </w:rPr>
              <w:t>0之前。</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必须在此时间前将</w:t>
            </w:r>
            <w:r>
              <w:rPr>
                <w:rFonts w:hint="eastAsia" w:ascii="仿宋" w:hAnsi="仿宋" w:eastAsia="仿宋" w:cs="仿宋"/>
                <w:color w:val="auto"/>
                <w:szCs w:val="21"/>
              </w:rPr>
              <w:t>磋商</w:t>
            </w:r>
            <w:r>
              <w:rPr>
                <w:rFonts w:hint="eastAsia" w:ascii="仿宋" w:hAnsi="仿宋" w:eastAsia="仿宋" w:cs="仿宋"/>
                <w:color w:val="auto"/>
                <w:szCs w:val="21"/>
                <w:lang w:val="zh-CN"/>
              </w:rPr>
              <w:t>文件、</w:t>
            </w:r>
            <w:r>
              <w:rPr>
                <w:rFonts w:hint="eastAsia" w:ascii="仿宋" w:hAnsi="仿宋" w:eastAsia="仿宋" w:cs="仿宋"/>
                <w:color w:val="auto"/>
                <w:szCs w:val="21"/>
              </w:rPr>
              <w:t>报价</w:t>
            </w:r>
            <w:r>
              <w:rPr>
                <w:rFonts w:hint="eastAsia" w:ascii="仿宋" w:hAnsi="仿宋" w:eastAsia="仿宋" w:cs="仿宋"/>
                <w:color w:val="auto"/>
                <w:szCs w:val="21"/>
                <w:lang w:val="zh-CN"/>
              </w:rPr>
              <w:t>一览表、</w:t>
            </w:r>
            <w:r>
              <w:rPr>
                <w:rFonts w:hint="eastAsia" w:ascii="仿宋" w:hAnsi="仿宋" w:eastAsia="仿宋" w:cs="仿宋"/>
                <w:color w:val="auto"/>
                <w:szCs w:val="21"/>
              </w:rPr>
              <w:t>电子文档等</w:t>
            </w:r>
            <w:r>
              <w:rPr>
                <w:rFonts w:hint="eastAsia" w:ascii="仿宋" w:hAnsi="仿宋" w:eastAsia="仿宋" w:cs="仿宋"/>
                <w:color w:val="auto"/>
                <w:szCs w:val="21"/>
                <w:lang w:val="zh-CN"/>
              </w:rPr>
              <w:t>文件按招标文件规定密封后送达开标地点，对迟于该时间递交的上述文件将不予接收，本次招标不接受邮寄的投标文件。</w:t>
            </w:r>
          </w:p>
        </w:tc>
      </w:tr>
    </w:tbl>
    <w:p>
      <w:pPr>
        <w:pStyle w:val="20"/>
        <w:spacing w:line="360" w:lineRule="auto"/>
        <w:outlineLvl w:val="1"/>
        <w:rPr>
          <w:rFonts w:hint="eastAsia" w:ascii="仿宋" w:hAnsi="仿宋" w:eastAsia="仿宋" w:cs="仿宋"/>
          <w:b/>
          <w:bCs/>
          <w:color w:val="auto"/>
          <w:sz w:val="32"/>
          <w:szCs w:val="32"/>
        </w:rPr>
      </w:pPr>
      <w:bookmarkStart w:id="19" w:name="_Toc361769631"/>
      <w:bookmarkStart w:id="20" w:name="_Toc361769765"/>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lang w:eastAsia="zh-CN"/>
        </w:rPr>
      </w:pPr>
    </w:p>
    <w:p>
      <w:pPr>
        <w:rPr>
          <w:rFonts w:hint="eastAsia" w:ascii="仿宋" w:hAnsi="仿宋" w:eastAsia="仿宋" w:cs="仿宋"/>
          <w:b/>
          <w:bCs/>
          <w:sz w:val="28"/>
          <w:szCs w:val="28"/>
          <w:lang w:eastAsia="zh-CN"/>
        </w:rPr>
      </w:pPr>
    </w:p>
    <w:p>
      <w:pPr>
        <w:pStyle w:val="2"/>
        <w:rPr>
          <w:rFonts w:hint="eastAsia" w:ascii="仿宋" w:hAnsi="仿宋" w:eastAsia="仿宋" w:cs="仿宋"/>
          <w:b/>
          <w:bCs/>
          <w:sz w:val="28"/>
          <w:szCs w:val="28"/>
          <w:lang w:eastAsia="zh-CN"/>
        </w:rPr>
      </w:pPr>
    </w:p>
    <w:p>
      <w:pPr>
        <w:pStyle w:val="2"/>
        <w:rPr>
          <w:rFonts w:hint="eastAsia" w:ascii="仿宋" w:hAnsi="仿宋" w:eastAsia="仿宋" w:cs="仿宋"/>
          <w:b/>
          <w:bCs/>
          <w:sz w:val="28"/>
          <w:szCs w:val="28"/>
          <w:lang w:eastAsia="zh-CN"/>
        </w:rPr>
      </w:pPr>
    </w:p>
    <w:p>
      <w:pPr>
        <w:pStyle w:val="2"/>
        <w:rPr>
          <w:rFonts w:hint="eastAsia" w:ascii="仿宋" w:hAnsi="仿宋" w:eastAsia="仿宋" w:cs="仿宋"/>
          <w:b/>
          <w:bCs/>
          <w:sz w:val="28"/>
          <w:szCs w:val="28"/>
          <w:lang w:eastAsia="zh-CN"/>
        </w:rPr>
      </w:pPr>
    </w:p>
    <w:p>
      <w:pPr>
        <w:rPr>
          <w:rFonts w:hint="eastAsia"/>
          <w:lang w:eastAsia="zh-CN"/>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hint="eastAsia" w:ascii="仿宋" w:hAnsi="仿宋" w:eastAsia="仿宋" w:cs="仿宋"/>
          <w:b/>
          <w:bCs/>
          <w:sz w:val="28"/>
          <w:szCs w:val="28"/>
        </w:rPr>
      </w:pPr>
    </w:p>
    <w:p>
      <w:pPr>
        <w:pStyle w:val="20"/>
        <w:spacing w:line="360" w:lineRule="auto"/>
        <w:jc w:val="center"/>
        <w:outlineLvl w:val="1"/>
        <w:rPr>
          <w:rFonts w:ascii="仿宋" w:hAnsi="仿宋" w:eastAsia="仿宋" w:cs="仿宋"/>
          <w:b/>
          <w:bCs/>
          <w:sz w:val="28"/>
          <w:szCs w:val="28"/>
        </w:rPr>
      </w:pPr>
      <w:r>
        <w:rPr>
          <w:rFonts w:hint="eastAsia" w:ascii="仿宋" w:hAnsi="仿宋" w:eastAsia="仿宋" w:cs="仿宋"/>
          <w:b/>
          <w:bCs/>
          <w:sz w:val="28"/>
          <w:szCs w:val="28"/>
        </w:rPr>
        <w:t>二、供 应 商 须 知</w:t>
      </w:r>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1" w:name="_Toc24615"/>
      <w:r>
        <w:rPr>
          <w:rFonts w:hint="eastAsia" w:ascii="宋体" w:hAnsi="宋体" w:cs="宋体"/>
          <w:b/>
          <w:bCs/>
          <w:szCs w:val="21"/>
        </w:rPr>
        <w:t>3.3.4 磋商响应文件的密封和标注：</w:t>
      </w:r>
      <w:bookmarkEnd w:id="21"/>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2" w:name="_Toc504477602"/>
      <w:bookmarkStart w:id="23" w:name="_Toc29548"/>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2"/>
      <w:bookmarkEnd w:id="23"/>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4"/>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4"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4"/>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5"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5"/>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hint="eastAsia" w:ascii="宋体" w:hAnsi="宋体" w:cs="宋体"/>
          <w:szCs w:val="21"/>
          <w:lang w:eastAsia="zh-CN"/>
        </w:rPr>
      </w:pPr>
      <w:r>
        <w:rPr>
          <w:rFonts w:hint="eastAsia" w:ascii="宋体" w:hAnsi="宋体" w:cs="宋体"/>
          <w:szCs w:val="21"/>
        </w:rPr>
        <w:t>4.6.2详细磋商即以磋商文件为依据，对所有实质上响应的投标分别从“商务”、“技术”、和“价格”三个方面进行磋商</w:t>
      </w:r>
      <w:bookmarkEnd w:id="19"/>
      <w:bookmarkEnd w:id="20"/>
      <w:bookmarkStart w:id="26" w:name="_Toc20828"/>
      <w:bookmarkStart w:id="27" w:name="_Toc103602601"/>
      <w:bookmarkStart w:id="28" w:name="_Toc420957350"/>
      <w:r>
        <w:rPr>
          <w:rFonts w:hint="eastAsia" w:ascii="宋体" w:hAnsi="宋体" w:cs="宋体"/>
          <w:szCs w:val="21"/>
          <w:lang w:eastAsia="zh-CN"/>
        </w:rPr>
        <w:t>。</w:t>
      </w:r>
    </w:p>
    <w:p>
      <w:pPr>
        <w:pStyle w:val="2"/>
        <w:rPr>
          <w:rFonts w:hint="eastAsia"/>
          <w:lang w:val="en-US" w:eastAsia="zh-CN"/>
        </w:rPr>
      </w:pPr>
      <w:bookmarkStart w:id="49" w:name="_GoBack"/>
      <w:bookmarkEnd w:id="49"/>
    </w:p>
    <w:bookmarkEnd w:id="26"/>
    <w:bookmarkEnd w:id="27"/>
    <w:bookmarkEnd w:id="28"/>
    <w:tbl>
      <w:tblPr>
        <w:tblStyle w:val="38"/>
        <w:tblW w:w="6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1536"/>
        <w:gridCol w:w="1976"/>
        <w:gridCol w:w="698"/>
        <w:gridCol w:w="3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bookmarkStart w:id="29" w:name="_Toc520356173"/>
            <w:bookmarkStart w:id="30" w:name="_Ref467306874"/>
            <w:bookmarkStart w:id="31" w:name="_Toc35423914"/>
            <w:bookmarkStart w:id="32" w:name="_Toc420957382"/>
            <w:r>
              <w:rPr>
                <w:rFonts w:hint="eastAsia" w:ascii="宋体" w:hAnsi="宋体" w:eastAsia="宋体" w:cs="宋体"/>
                <w:b/>
                <w:bCs/>
                <w:i w:val="0"/>
                <w:iCs w:val="0"/>
                <w:color w:val="auto"/>
                <w:kern w:val="0"/>
                <w:sz w:val="16"/>
                <w:szCs w:val="16"/>
                <w:u w:val="none"/>
                <w:lang w:val="en-US" w:eastAsia="zh-CN" w:bidi="ar"/>
              </w:rPr>
              <w:t>序号</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评分项目</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w:t>
            </w:r>
          </w:p>
        </w:tc>
        <w:tc>
          <w:tcPr>
            <w:tcW w:w="692"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分值（分）</w:t>
            </w:r>
          </w:p>
        </w:tc>
        <w:tc>
          <w:tcPr>
            <w:tcW w:w="3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价格（20分）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以按照招标文件规定修正后的所有合格投标人的最低价为评分基准价。</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投标报价得分=（基准价/投标供应商投标报价）*20</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投标人不得低于成本或市场价恶意竞标，评审小组认为投标人的报价明显低于其他通过符合性审查投标人的报价，有可能影响产品质量或者不能诚信履约的，应当要求其在投标现场合理的时间内提供书面说明，必要时提交相关证明材料；投标人不能证明其报价合理性的，评审小组应当将其作为无效投标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商务评分（15分）</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计算机软件著作权登记证书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或投标产品生产厂商具有数据采集软件、数据中台系统软件、数据治理系统软件、数据服务聚合系统软件计算机等相关软件著作权登记证书（软件著作权登记日期须是招标公告发布日之前）。每提供一份得1分，共4分，（须提供证书原件扫描件，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信息安全能力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投标人提供中国网络安全审查技术与认证中心颁发的CCRC信息系统安全运维服务资质资质资质得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 CCRC信息安全应急处理服务资质得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 CCRC信息系统灾难备份与恢复服务资质得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质量管理体系认证证书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投标人提供ISO9001、ISO27001质量体系证书，每提供一个得1分，共2分。（须提供原件扫描件，加盖投标人公章）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投标人或投标产品生产厂商近3年内所完成的类似项目，提供中标通知书或合同复印件，每题供1个得1分，最多3分。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技术部分（55）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技术响应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投标人所投产品完全响应招标文件技术需求的，得20分，标*项参数（非否决项）每负偏离1项扣1分，非*项参数每负偏离1项扣0.5分，两项合计扣至0分为止。</w:t>
            </w:r>
            <w:r>
              <w:rPr>
                <w:rFonts w:hint="eastAsia" w:ascii="宋体" w:hAnsi="宋体" w:eastAsia="宋体" w:cs="宋体"/>
                <w:b/>
                <w:bCs/>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（注：*项参数须提供系统功能运行截图，加盖投标人公章。未提供或提供的材料不能证明完全响应参数要求的，不得分）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总体技术方案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对投标人提供的技术方案进行综合评审：</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技术方案能够充分理解项目建设背景，结合本项目实际情况，对需求有深入分析的，得3分；技术方案能够较充分理解项目建设背景，结合本项目实际情况，对需求有较深入分析的，得2分；技术方案能够基本理解项目建设背景，结合本项目实际情况，对需求不够深入分析的，得1分；技术方案未理解项目建设背景，未对需求深入分析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技术方案思路清晰，系统整体架构设计先进、合理、可行、可靠的，得3分；技术方案思路较清晰，系统整体架构设计较先进、较合理、较可行、较可靠的，得2分；技术方案思路基本清晰，系统整体架构设计不够先进、不够合理、不够可行、不够可靠的，得1分；技术方案思路不清晰，系统整体架构设计不先进、不合理、不可行、不可靠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技术方案功能设计完善，能够准确把握项目特点、重点、难点及建设的主要目标，满足本项目建设要求的，得4分；技术方案功能设计较完善，较准确把握项目特点、重点、难点及建设的主要目标，较能满足本项目建设要求的，得3分；技术方案功能设计基本完善，基本把握项目特点、重点、难点及建设的主要目标，基本满足本项目建设要求的，得2分；技术方案功能设计不完善，未能把握项目特点、重点、难点及建设的主要目标，未能满足本项目建设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项目实施方案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投标人提供的针对本项目的实施方案，能够充分理解项目实施需求，对项目实施需求有深入分析，实施进度合理、服务保障全面、应急响应方案完备的，得5分；方案能够较充分理解项目实施需求，对项目实施需求有较深入分析，实施进度较合理、服务保障较全面、应急响应方案较完备的，得3分；方案能够基本理解项目实施需求，对项目实施需求有基本分析，实施进度基本合理、服务保障一般、应急响应方案基本完备的，得2分；方案未理解项目实施需求，对项目实施需求缺少分析，实施进度不合理、服务保障不足、应急响应方案不完备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现场系统功能演示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投标人对其产品展示综合效果评审，并现场回答提问，演示环境由投标人自行搭建，必须调用真实平台或真实应用系统进行演示，如使用PPT、FLASH、视频或DEMO演示，则不得分。演示时间为20分钟，每超出5分钟扣1分，但总时间不得超过30分钟。演示内容如下：</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一、数据汇聚中心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库表采集管理：采集代理端管理，支持采集代理端的上下线管理，支持代理端的密码设置与密码更新策略配置。离线库表任务管理，支持库表任务管理，支持可视化配置库表采集任务，支持修改已配置的任务，支持任务的定时调度与立即触发执行，支持任务定时设置，支持任务执行日志记录查询。支持库表任务的执行，从源数据库拉取数据同步到数据库，包括MySQL、Hive、HBase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文件采集管理:文件模板下载，支持选择不同的数据对象，生成该数据对象的Excle文件模板，用户根据该模板可填报数据进行上报。文件上传：支持选择与文件模板一致的数据对象，上传文件，支持读取文件数据并写入数据库，包括MySQL、Hive、HBase等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3、数据对账管理：通过库表采集，文件采集，表单填报、接口采集等方式采集交换的数据异常信息进行管理，包括数据处理时间、采集量、入库量、采集异常信息等</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4、文件在线填报管理：文件在线填报数据上报：支持根据表单模板填写数据，支持基于execl在线填报数据，提供数据字体、数据格式等自定义适配。支持在线填报记录查询，包括填报时间、填报人、数据异常反馈信息等。支持在线数据上报后数据入库，包括MySQL、Hive、HBase等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w:t>
            </w:r>
            <w:r>
              <w:rPr>
                <w:rStyle w:val="122"/>
                <w:color w:val="auto"/>
                <w:lang w:val="en-US" w:eastAsia="zh-CN" w:bidi="ar"/>
              </w:rPr>
              <w:t>演示内容</w:t>
            </w:r>
            <w:r>
              <w:rPr>
                <w:rFonts w:hint="eastAsia" w:ascii="宋体" w:hAnsi="宋体" w:eastAsia="宋体" w:cs="宋体"/>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二、数据资产中心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资产管理：资产目录管理，以数据项为数据模型的最小组织单位，重新构建学校标准数据实例模型，并实现资源目录的注册、编辑与删除以及日常资源的维护，支持数据资产目录的排序变更，支持数据资产目录的层级划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2、数据标准代码配置管理：支持对数据标准配置,数据标准值与数据标准名称的设置、编辑、删除功能。</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数据质量管理：质量规则管理，支持质量规则模板设置，支持内嵌的多种数据质量校验规则，如：非空校验、身份证校验、类型校验等，支持数据质量校验内容扩展，可以通过其他方式扩展数据质量校验规则，支持质量校验规则模板的维护。质量规则映射，支持数据质量检测规则与数据对象字段的映射关系,支持数据质量检测任务执行,支持查看数据质量检测执行结果等功能,支持对映射关系的维护。</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三、数据服务中心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1、数据服务接口自动化：支持基于Web页面构建数据服务接口，支持where条件过滤查询，模糊匹配；支持接口参数校验与加密。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四、</w:t>
            </w:r>
            <w:r>
              <w:rPr>
                <w:rFonts w:hint="eastAsia" w:ascii="宋体" w:hAnsi="宋体" w:eastAsia="宋体" w:cs="宋体"/>
                <w:i w:val="0"/>
                <w:iCs w:val="0"/>
                <w:color w:val="auto"/>
                <w:kern w:val="0"/>
                <w:sz w:val="16"/>
                <w:szCs w:val="16"/>
                <w:u w:val="none"/>
                <w:lang w:val="en-US" w:eastAsia="zh-CN" w:bidi="ar"/>
              </w:rPr>
              <w:t>任务调度中心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1、数据指标自动化构建工具：支持通过可视化方式实现任务新建，实现教育部数据指标任务构建与运行。</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工作流定义：支持支持以可视化拖拉拽的方式配置shell，hive，python，Flink，datax等10多种任务模式，支持任务定时并行触发，提供上线，下线，编辑，定时管理，工作流执行日志查看，任务重跑，优先级，告警，任务导出功能。</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3、任务拖拉拽构建：支持数据计算任务可视化拖拉拽进行任务编排，查看任务执行日志，支持任务失败重试。</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五、国家职业教育行业中高职数据平台实施经验</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1、具备国家职业教育行业中高职数据平台实施经验，并且具备系统演示能力。</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售后服务（10）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售后服务方案与保障能力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1.投标人提供的服务团队人员安排与质量保障应急响应服务方案。服务团队人员安排能够充分满足项目服务需求，职责明确，人员分配合理，质量保障应急响应服务措施完善、可靠的，得3分； 服务团队人员安排能够较充分满足项目服务需求，职责较明确，人员分配较合理，质量保障应急响应服务措施较完善、较可靠的，得2分；服务团队人员安排能够基本满足项目服务需求，职责基本明确，人员分配基本合理，质量保障应急响应服务措施基本完善、基本可靠的，得1分；服务团队人员安排不能满足项目服务需求，职责不明确，人员分配不合理，质量保障应急响应服务措施不完善、不可靠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 xml:space="preserve">2.投标人提供项目培训方案与现场服务方案能够充分满足项目服务需求，对项目服务需求有深入分析，方案内容充实，具有高可实施性的，得2分；项目培训方案与现场服务方案中能够基本满足项目服务需求，对项目服务需求有基本分析，方案内容基本充实，具有基本可实施性的，得1分；项目培训方案与现场服务方案中不能满足项目服务需求，对项目服务需求缺乏分析，方案内容不充实，不具可实施性的，不得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系统运维服务方案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本项目3年质保要求，投标人提供系统运维服务方案能够充分理解项目运维服务需求，对项目运维服务需求有深入分析，内容详实可信、论述充分、针对性强、可靠性高、安全性好的，得4分；方案能够较充分理解项目运维服务需求，对项目运维服务需求有较深入分析，内容较详实可信、论述较充分，针对性较强、可靠性较高、安全性较好的，得3分；方案能够基本理解运维项目服务需求，对项目运维服务需求有基本分析，内容基本详实可信、论述基本充分，针对性一般、可靠性一般、安全性一般的，得2分；方案未理解项目运维服务需求，对项目运维服务需求缺少分析，内容不详实可信、论述不充分，针对性不强、可靠性不高、安全性不好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质保年限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提供质保服务三年得1分；每多承诺一年质保服务加1分，最多2分。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（注：需提供质保年限承诺函，并加盖投标人公章）</w:t>
            </w:r>
          </w:p>
        </w:tc>
      </w:tr>
    </w:tbl>
    <w:p>
      <w:pPr>
        <w:pStyle w:val="46"/>
        <w:numPr>
          <w:ilvl w:val="1"/>
          <w:numId w:val="0"/>
        </w:numPr>
        <w:rPr>
          <w:rFonts w:hint="eastAsia"/>
          <w:color w:val="auto"/>
        </w:rPr>
      </w:pPr>
    </w:p>
    <w:bookmarkEnd w:id="29"/>
    <w:bookmarkEnd w:id="30"/>
    <w:bookmarkEnd w:id="31"/>
    <w:bookmarkEnd w:id="32"/>
    <w:p>
      <w:pPr>
        <w:spacing w:line="240" w:lineRule="auto"/>
        <w:rPr>
          <w:rFonts w:hint="eastAsia" w:ascii="仿宋" w:hAnsi="仿宋" w:eastAsia="仿宋" w:cs="仿宋"/>
          <w:color w:val="auto"/>
        </w:rPr>
      </w:pPr>
      <w:bookmarkStart w:id="33" w:name="_Toc103602613"/>
      <w:r>
        <w:rPr>
          <w:rFonts w:hint="eastAsia" w:ascii="仿宋" w:hAnsi="仿宋" w:eastAsia="仿宋" w:cs="仿宋"/>
          <w:color w:val="auto"/>
        </w:rPr>
        <w:t>七</w:t>
      </w:r>
      <w:r>
        <w:rPr>
          <w:rFonts w:hint="eastAsia" w:ascii="仿宋" w:hAnsi="仿宋" w:eastAsia="仿宋" w:cs="仿宋"/>
          <w:color w:val="auto"/>
          <w:lang w:eastAsia="zh-CN"/>
        </w:rPr>
        <w:t>、</w:t>
      </w:r>
      <w:r>
        <w:rPr>
          <w:rFonts w:hint="eastAsia" w:ascii="仿宋" w:hAnsi="仿宋" w:eastAsia="仿宋" w:cs="仿宋"/>
          <w:color w:val="auto"/>
        </w:rPr>
        <w:t>授予合同</w:t>
      </w:r>
      <w:bookmarkEnd w:id="33"/>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lang w:val="en-US" w:eastAsia="zh-CN"/>
        </w:rPr>
        <w:t>2</w:t>
      </w:r>
      <w:r>
        <w:rPr>
          <w:rFonts w:hint="eastAsia" w:ascii="仿宋" w:hAnsi="仿宋" w:eastAsia="仿宋" w:cs="仿宋"/>
          <w:color w:val="auto"/>
        </w:rPr>
        <w:t>、合同授予标准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22</w:t>
      </w:r>
      <w:r>
        <w:rPr>
          <w:rFonts w:hint="eastAsia" w:ascii="仿宋" w:hAnsi="仿宋" w:eastAsia="仿宋" w:cs="仿宋"/>
          <w:color w:val="auto"/>
        </w:rPr>
        <w:t>.1</w:t>
      </w:r>
      <w:r>
        <w:rPr>
          <w:rFonts w:hint="eastAsia" w:ascii="仿宋" w:hAnsi="仿宋" w:eastAsia="仿宋" w:cs="仿宋"/>
          <w:color w:val="auto"/>
          <w:lang w:val="en-US" w:eastAsia="zh-CN"/>
        </w:rPr>
        <w:t>采购人</w:t>
      </w:r>
      <w:r>
        <w:rPr>
          <w:rFonts w:hint="eastAsia" w:ascii="仿宋" w:hAnsi="仿宋" w:eastAsia="仿宋" w:cs="仿宋"/>
          <w:color w:val="auto"/>
        </w:rPr>
        <w:t>应将合同授予被确定为实质上响应竞争性磋商文件要求的，能够满意的履行合同义务合理投标价的供应商。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、接受和拒绝任何或所有投标的权力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.1招标方保留在授标之前任何时候接受或拒绝任何投标，以及宣布招标程序无效或拒绝所有投标的权力，对受影响的供应商不承担任何责任。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、成交通知书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.1采购人向排名前三的供应商发出成交通知书，成交通知书将是合同的一个组成部分。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.2 采购人对未中标原因不作任何解释。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、签订合同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w:t>
      </w:r>
      <w:r>
        <w:rPr>
          <w:rFonts w:hint="eastAsia" w:ascii="仿宋" w:hAnsi="仿宋" w:eastAsia="仿宋" w:cs="仿宋"/>
          <w:color w:val="auto"/>
          <w:lang w:val="en-US" w:eastAsia="zh-CN"/>
        </w:rPr>
        <w:t>1</w:t>
      </w:r>
      <w:r>
        <w:rPr>
          <w:rFonts w:hint="eastAsia" w:ascii="仿宋" w:hAnsi="仿宋" w:eastAsia="仿宋" w:cs="仿宋"/>
          <w:color w:val="auto"/>
        </w:rPr>
        <w:t>成交供应商接到成交通知书后应在7日内在要求的时间、地点与买方签定合同。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26</w:t>
      </w:r>
      <w:r>
        <w:rPr>
          <w:rFonts w:hint="eastAsia" w:ascii="仿宋" w:hAnsi="仿宋" w:eastAsia="仿宋" w:cs="仿宋"/>
          <w:color w:val="auto"/>
        </w:rPr>
        <w:t>、合同文件</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color w:val="auto"/>
          <w:lang w:eastAsia="zh-CN"/>
        </w:rPr>
      </w:pPr>
      <w:r>
        <w:rPr>
          <w:rFonts w:hint="eastAsia" w:ascii="仿宋" w:hAnsi="仿宋" w:eastAsia="仿宋" w:cs="仿宋"/>
          <w:color w:val="auto"/>
        </w:rPr>
        <w:t xml:space="preserve">    </w:t>
      </w:r>
      <w:r>
        <w:rPr>
          <w:rFonts w:hint="eastAsia" w:ascii="仿宋" w:hAnsi="仿宋" w:eastAsia="仿宋" w:cs="仿宋"/>
          <w:color w:val="auto"/>
        </w:rPr>
        <w:br w:type="page"/>
      </w:r>
      <w:bookmarkStart w:id="34" w:name="_Toc153347053"/>
      <w:bookmarkStart w:id="35" w:name="_Toc115514545"/>
      <w:bookmarkStart w:id="36" w:name="_Toc106381647"/>
      <w:bookmarkStart w:id="37" w:name="_Toc153346192"/>
      <w:bookmarkStart w:id="38" w:name="_Toc420957390"/>
    </w:p>
    <w:p>
      <w:pPr>
        <w:spacing w:line="240" w:lineRule="auto"/>
        <w:rPr>
          <w:rFonts w:hint="eastAsia" w:ascii="仿宋" w:hAnsi="仿宋" w:eastAsia="仿宋" w:cs="仿宋"/>
          <w:color w:val="auto"/>
        </w:rPr>
      </w:pPr>
    </w:p>
    <w:p>
      <w:pPr>
        <w:pStyle w:val="6"/>
        <w:spacing w:line="240" w:lineRule="auto"/>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pStyle w:val="4"/>
        <w:spacing w:line="360" w:lineRule="auto"/>
        <w:jc w:val="center"/>
        <w:rPr>
          <w:rFonts w:hint="eastAsia" w:ascii="仿宋" w:hAnsi="仿宋" w:eastAsia="仿宋" w:cs="仿宋"/>
          <w:bCs w:val="0"/>
          <w:color w:val="auto"/>
          <w:sz w:val="36"/>
          <w:szCs w:val="36"/>
          <w:lang w:eastAsia="zh-CN"/>
        </w:rPr>
      </w:pPr>
      <w:bookmarkStart w:id="39" w:name="_Toc9320"/>
      <w:r>
        <w:rPr>
          <w:rFonts w:hint="eastAsia" w:ascii="仿宋" w:hAnsi="仿宋" w:eastAsia="仿宋" w:cs="仿宋"/>
          <w:bCs w:val="0"/>
          <w:color w:val="auto"/>
          <w:sz w:val="36"/>
          <w:szCs w:val="36"/>
        </w:rPr>
        <w:t>第</w:t>
      </w:r>
      <w:r>
        <w:rPr>
          <w:rFonts w:hint="eastAsia" w:ascii="仿宋" w:hAnsi="仿宋" w:eastAsia="仿宋" w:cs="仿宋"/>
          <w:bCs w:val="0"/>
          <w:color w:val="auto"/>
          <w:sz w:val="36"/>
          <w:szCs w:val="36"/>
          <w:lang w:val="en-US" w:eastAsia="zh-CN"/>
        </w:rPr>
        <w:t>三</w:t>
      </w:r>
      <w:r>
        <w:rPr>
          <w:rFonts w:hint="eastAsia" w:ascii="仿宋" w:hAnsi="仿宋" w:eastAsia="仿宋" w:cs="仿宋"/>
          <w:bCs w:val="0"/>
          <w:color w:val="auto"/>
          <w:sz w:val="36"/>
          <w:szCs w:val="36"/>
        </w:rPr>
        <w:t xml:space="preserve">部分  </w:t>
      </w:r>
      <w:r>
        <w:rPr>
          <w:rFonts w:hint="eastAsia" w:ascii="仿宋" w:hAnsi="仿宋" w:eastAsia="仿宋" w:cs="仿宋"/>
          <w:bCs w:val="0"/>
          <w:color w:val="auto"/>
          <w:sz w:val="36"/>
          <w:szCs w:val="36"/>
          <w:lang w:val="en-US" w:eastAsia="zh-CN"/>
        </w:rPr>
        <w:t>采购需求</w:t>
      </w:r>
      <w:bookmarkEnd w:id="39"/>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tbl>
      <w:tblPr>
        <w:tblStyle w:val="38"/>
        <w:tblW w:w="89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5"/>
        <w:gridCol w:w="730"/>
        <w:gridCol w:w="1222"/>
        <w:gridCol w:w="5656"/>
        <w:gridCol w:w="377"/>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序号</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建设内容</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规格参数</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数据调研</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系统信息标准与规范调研</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基于学校现有数据标准以及国标，形成定制化的学校数据标准。实现标准体系，数据统一共享的标准规划，提供治理后的数据字典。</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业务系统数据现状梳理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基于学校现有业务系统数据现状进行调研，包括：数据字典调研与补全，输出系统数据现状报告。</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业务系统数据项标准构建</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针对该系统的数据内容进行数据项标准建设、代码标准建设，并融入校级标准进行统一梳理、梳理质量检查规则。</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2</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数据治理体系建设</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提供硬件资源规划</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对整体数据平台涉及内容进行数据存储规划、数据算力规划、网络资源规划。</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提供参考数据管理办法</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已有的经验材料进行文档参考，其中包括元数据管理规范、生命周期管理规范、数据质量管理规范以及数据安全管理规范等对应管理职能的具体规范及流程。提供数据治理组织架构及制度建设等相关制度、架构文档参考，提供数据管理办法参考。包括以下内容：《数据治理管理制度》、《数据标准管理办法》、《数据质量管理办法》、《元数据管理办法》、数据模型及标准变更规范、数据采集和维护工作规程、数据使用授权规范、数据集成与共享规范</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提供针对本次数据治理建设内容的培训贯宣</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培训内容包括数据资产管理理论落地实践、流程执行运作的基础，是数据资产管理牵头部门在技术部门和业务部门之间顺利开展工作的重要保障。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提供项目涉及内容整体治理报告</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治理报告包括以下内容：《数据治理体系设计和规划说明》，含数据治理实施规划、数据管理体系架构设计、数据技术框架设计；《数据治理现状评估说明》，含学校数据现状说明，数据问题说明，数据类别，数据治理范围评估说明。</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标准管理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数据标准规范建设</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通过对数据进行梳理，得到相关数据项标准、代码标准、编号标准，并依赖于数据中台对数据项进行重新组合，最终形成数据资源目录。在数据标准制定过程中，将有效利用现有的数据资产与利旧原有数据治理成果，建立真实有效的数据标准。数据标准规范建设主要包括以下两个方面：</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1、利用现有的标准，对所覆盖的业务系统进行数据校对工作：需要使用数据视图或者最新系统导出的数据字典进行分析，对原有数据标准进行数据重新校对，保证原有标准的可落地性。</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2、对治理范围内，原标准无覆盖的系统进行重新的数据调研：通过调研数据，结合近年来教育部颁布的相关标准，进行数据梳理与标准建立（其中如果新增系统数据项在国标上有标示，将沿用国标描述与相关规则；若无，则根据国标的规则进行扩展标准的建立），并且跟已校对过的利旧标准进行组合，形成在实施时期的新数据标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4</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系统架构</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系统架构</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1.系统整体基于B/S体系架构；</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2.使用虚拟化容器技术实现应用自动化部署；</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3.采用分布式微服务技术架构，支持服务器水平扩展以满足高峰期系统性能要求；</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4.采用前后端分离技术，后端使用Java语言开发，支持Mysql数据库和国产数据库，支持数据库集群，支持缓存技术对用户访问加速；前端页面使用HTML5+ CSS3技术开发，增强页面交互体验与展示效果。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*数据架构</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支持Hadoop集群构建，支持通过HBase数据仓库实现数据存储，支持通过可视化调度工具实现数据指标计算任务的构建与运行，支持通过接口自动化技术实现数据结果集快速输出。</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5</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数据汇聚中心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*库表采集管理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采集服务端管理：支持对采集服务端的上下线管理，支持采集服务端下发采集指令，收集采集代理端上传的数据包，并进行数据包的加解密。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采集代理端管理：支持采集代理端的上下线管理，支持代理端的密码设置与密码更新策略配置。</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离线库表任务管理：支持库表任务管理，支持可视化配置库表采集任务，支持修改已配置的任务，支持任务的定时调度与立即触发执行，支持任务定时设置，支持任务执行日志记录查询。支持库表任务的执行，从源数据库拉取数据同步到数据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*数据对账管理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数据对账管理：通过库表采集，文件采集，表单填报、接口采集等方式采集交换的数据异常信息进行管理，包括数据处理时间、采集量7入库量、采集异常信息等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*文件采集管理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文件模板配置：通过在线选择数据对象，即可生成在线execl文件填报模板，支持基于execl模板自定义适配。</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文件模板下载：支持选择不同的数据对象，生成该数据对象的Excle文件模板，用户根据该模板可填报数据进行上报。</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文件上传：支持选择与文件模板一致的数据对象，上传文件，支持读取文件数据并写入数据库，包括MySQL、Hive、HBase等数据库。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*文件在线填报管理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在线填报数据上报：支持根据表单模板填写数据，支持基于execl在线填报数据，提供数据字体、数据格式等自定义适配。支持在线填报记录查询，包括填报时间、填报人、数据异常反馈信息等。支持在线数据上报后数据入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6</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业务管理：支持管理和维护数据中台承接的业务信息,业务信息可以维护。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应用管理：支持管理和维护数据中台承接的应用信息,应用信息关联业务信息,应用信息可以维护。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资产目录管理:以数据项为数据模型的最小组织单位，重新构建学校标准数据实例模型，并实现资源目录的注册、编辑与删除以及日常资源的维护，支持数据资产目录的排序变更，支持数据资产目录的层级划分。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产对象管理:支持数据对象信息的维护，支持数据对象选择不同的数据资产目录，支持数据对象分层级构建，支持数据对象与数据仓库的结构同步，支持数据对象字段信息维护，支持标准SQL语句快速创建数据对象。</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数据明细：支持基于每个业务系统不同的数据资产明细查看，并提供基于自定义筛选条件进行数据查询导出，提供数据导出下载功能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*数据标准管理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标准目录管理:以标准项项为数据标准的最小组织单位，梳理学校数据标准体系，并实现标准目录的注册、编辑与删除以及日常资源的维护，支持数据标准目录的排序变更，支持数据标准目录的层级划分。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标准配置管理:支持根据数据标准目录创建不同的数据标准项，支持数据标准项代码及含义的创建与维护，支持数据标准项是否启用管理。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标准映射管理:支持数据标准项与数据对象字段进行关联，支持执行数据标准转换任务，支持将非标准值转换为标准项值，支持数据标准转换任务执行结果的查询。</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*数据质量管理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质量规则管理:支持质量规则模板设置，支持内嵌的多种数据质量校验规则，如：非空校验、身份证校验、类型校验等，支持数据质量校验内容扩展，可以通过其他方式扩展数据质量校验规则，支持质量校验规则模板的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质量规则映射:支持数据质量检测规则与数据对象字段的映射关系,支持数据质量检测任务执行,支持查看数据质量检测执行结果等功能,支持对映射关系的维护。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7</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任务调度中心</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任务总览</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根据任务运行状态、流程状态等不同运行情况，基于饼图方式呈现任务在不同执行过程的运行情况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*工作流定义</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支持以可视化拖拉拽的方式配置shell，hive，python，Flink，datax等10多种任务模式，支持任务定时并行触发，提供上线，下线，编辑，定时管理，工作流执行日志查看，任务重跑，优先级，告警，任务导出等功能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*资源中心</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文件管理，UDF管理，资源管理，函数管理。支持一键上传，编辑，删除等，支持工作流任务全局参数调用资源</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8</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数据查询中心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*服务接口管理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接口分组管理：用于配置基于不同业务分组管理接口,支持接口分组维护,支持对数据服务接口进行划分分组。</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信息管理：支持在线生成数据服务接口，支持热部署方式使数据服务接口生效，支持对数据服务接口进行版本控制,支持自定义接口访问路径,接口脚本,接口请求参数等,支持在线接口测试,在线填写查询参数,在线获取接口返回信息,支持接口注册信息的维护,支持接口调用过程加解密，支持设置接口是否共享。</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接口发布管理：支持对已注册接口进行上线与下线管理。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*授权管理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应用授权管理：支持第三方应用调用申请，支持对第三方应用进行授权管理，支持对第三方应用分配key与调用密钥，支持第三方应用过期时间设置，支持第三方应用在线申请需要调用的数据服务接口，支持对申请的数据服务接口的授权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接口授权管理：支持对第三方应用申请的数据服务接口的授权管理。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9</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系统配置中心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数据源列表：支持新建数据源，对数据源进行连接信息配置；支持数据源编辑与删除。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数据源测试：支持对数据源进行连通测试，确保数据源能够正常连通，获取数据。</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对服务器基本信息进行查看,如CPU\内存\磁盘信息等进行查看,超过预警值则会进行报警</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*集群监控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对大数据组件集群状态进行查看,集群节点是否正常,集群节点状态异常时会进行报警</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*服务监控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对数据中台后端微服务进行监控,包括运行时长\CPU利用率\内存使用率等状态进行查看,提供图表查看界面,并提供实时查看功能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用户组管理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用于对数据中台系统用户组进行新建\编辑\删除等功能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用户管理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用于对数据中台系统用户设置用户名\密码,所属角色与所属用户组等信息,可对用户进行密码重置,用户删除等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角色管理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用于对数据中台系统用户角色进行新建\编辑\删除等功能,设置用户角色的权限</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系统日志管理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查看系统用户登录日志\系统用户操作日志等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10</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数据中台可视化大屏</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以数据大屏得方式展示数据中台多种不同的数据采集方式分别采集汇聚的数据量，展示数据中台运行的数据采集任务，展示数据中台累计采集数据量，展示数据中台近七天的数据采集量趋势变化。</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以数据大屏得方式展示数据中台的数据资产，按照数据分层的方式展示学校基础层数据、主题层数据、应用层数据的数据总量与数据对象总量，展示数据加密算法等安全性算法的使用情况，展示数据对象明细。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*任务调度中心可视化大屏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以数据大屏得方式展示数据中台大数据分析任务的执行情况。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*数据服务中心可视化大屏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以数据大屏得方式展示数据服务接口的调用情况，展示数据服务接口调用排行榜，展示数据服务接口响应时间排行榜，展示数据服务接口按业务域分组统计情况。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*学校校务管理可视化大屏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根据数据对接平台采集的数据，根据校方的要求，定制一套展示学校教学、管理、服务等维度的可视化大屏</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*系统监控中心可视化大屏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以数据大屏得方式展示数据中台服务器资源使用情况，实时展示CPU利用率与内存利用率，展示数据硬盘存储大小等监控信息。</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11</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智慧大脑/领导驾驶舱</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智慧大脑/领导驾驶舱</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教育数据指标分析。打破数据隔离，实现指标分析及决策场景落地。通过详尽的指标体系，实时反映本校教学运行状态，将采集的数据形象化、直观化、具体化，通过基于主题的分析帮助领导和业务处室更科学、便捷的进行决策和服务，优化管理工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12</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第三方应用数据对接</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数据采集对接服务</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厂商系统数据调研分析：支持与对接的厂商或业务系统明确数据需求、业务逻辑关系、数据结构、技术限制等，在保证满足数据中台数据采集与使用规范的基础上，形成数据接入方案。</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制定数据标准及数据资产目录：支持根据厂商数据调研与分析结果，结合数据中台及其它应用与厂商的数据需求，对数据标准实施数据资产的分类、标准数据结构的定义、数据资产的标准化。</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数据采集接入适配：支持根据与厂商已明确的技术接入方案的定义，实施厂商数据的增量、全量数据的远程采集接入适配与改造，并针对信息安全、服务器安全、接口安全实施技术加固。</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数据能力输出服务</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标准化数据模型输出：支持根据业务系统或其它厂商的数据需求，以数据中台标准化计算模型，实现特定数据资产的计算规则的定义、处理与存储，以数据中台标准输出规范输出结果数据或大数据视图。</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非标准化数据输出：支持根据业务系统或其它厂商的特殊数据需求，对诸如用户、组织、音视频资源等非标准化的数据实现个性化开发，以非标准化的接口输出数据结果。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13</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运维服务</w:t>
            </w: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漏洞扫描</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每月提供一次平台漏洞扫描，出具扫描报告，对出现的中高危漏洞及时修复；</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现场培训</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平台上线后提供不少于2场的现场集中培训；</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运营报告</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每月提供一次平台运营数据分析报告，为教育主管部门提供运营建议；</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远程支撑</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提供5*8小时售后服务支撑，通过电话、QQ群、微信群解决用户问题；</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现场支撑</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对远程无法解决的问题提供现场服务支撑；</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bl>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6"/>
        <w:rPr>
          <w:rFonts w:hint="eastAsia" w:ascii="仿宋" w:hAnsi="仿宋" w:eastAsia="仿宋" w:cs="仿宋"/>
          <w:color w:val="auto"/>
        </w:rPr>
      </w:pPr>
    </w:p>
    <w:p>
      <w:pPr>
        <w:pStyle w:val="4"/>
        <w:snapToGrid w:val="0"/>
        <w:spacing w:line="360" w:lineRule="auto"/>
        <w:ind w:left="420" w:leftChars="200"/>
        <w:rPr>
          <w:rFonts w:hint="eastAsia" w:ascii="仿宋" w:hAnsi="仿宋" w:eastAsia="仿宋" w:cs="仿宋"/>
          <w:color w:val="auto"/>
          <w:sz w:val="32"/>
          <w:szCs w:val="32"/>
        </w:rPr>
      </w:pPr>
      <w:bookmarkStart w:id="40" w:name="_Toc103602614"/>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pStyle w:val="4"/>
        <w:snapToGrid w:val="0"/>
        <w:spacing w:line="360" w:lineRule="auto"/>
        <w:ind w:left="420" w:leftChars="200"/>
        <w:jc w:val="center"/>
        <w:rPr>
          <w:rFonts w:hint="eastAsia" w:ascii="仿宋" w:hAnsi="仿宋" w:eastAsia="仿宋" w:cs="仿宋"/>
          <w:color w:val="auto"/>
          <w:sz w:val="32"/>
          <w:szCs w:val="32"/>
        </w:rPr>
      </w:pPr>
      <w:bookmarkStart w:id="41" w:name="_Toc4462"/>
      <w:r>
        <w:rPr>
          <w:rFonts w:hint="eastAsia" w:ascii="仿宋" w:hAnsi="仿宋" w:eastAsia="仿宋" w:cs="仿宋"/>
          <w:color w:val="auto"/>
          <w:sz w:val="32"/>
          <w:szCs w:val="32"/>
        </w:rPr>
        <w:t>第四</w:t>
      </w:r>
      <w:r>
        <w:rPr>
          <w:rFonts w:hint="eastAsia" w:ascii="仿宋" w:hAnsi="仿宋" w:eastAsia="仿宋" w:cs="仿宋"/>
          <w:color w:val="auto"/>
          <w:sz w:val="32"/>
          <w:szCs w:val="32"/>
          <w:lang w:val="en-US" w:eastAsia="zh-CN"/>
        </w:rPr>
        <w:t>部分</w:t>
      </w:r>
      <w:r>
        <w:rPr>
          <w:rFonts w:hint="eastAsia" w:ascii="仿宋" w:hAnsi="仿宋" w:eastAsia="仿宋" w:cs="仿宋"/>
          <w:color w:val="auto"/>
          <w:sz w:val="32"/>
          <w:szCs w:val="32"/>
        </w:rPr>
        <w:t xml:space="preserve">  合同条款</w:t>
      </w:r>
      <w:bookmarkEnd w:id="34"/>
      <w:bookmarkEnd w:id="35"/>
      <w:bookmarkEnd w:id="36"/>
      <w:bookmarkEnd w:id="37"/>
      <w:bookmarkEnd w:id="38"/>
      <w:bookmarkEnd w:id="40"/>
      <w:bookmarkEnd w:id="41"/>
    </w:p>
    <w:p>
      <w:pPr>
        <w:adjustRightInd w:val="0"/>
        <w:snapToGrid w:val="0"/>
        <w:spacing w:line="360" w:lineRule="auto"/>
        <w:ind w:left="420" w:left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（合同样本）</w:t>
      </w: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jc w:val="center"/>
        <w:rPr>
          <w:rFonts w:hint="eastAsia" w:ascii="仿宋" w:hAnsi="仿宋" w:eastAsia="仿宋" w:cs="仿宋"/>
          <w:color w:val="auto"/>
          <w:sz w:val="24"/>
          <w:szCs w:val="24"/>
        </w:rPr>
      </w:pPr>
    </w:p>
    <w:p>
      <w:pPr>
        <w:spacing w:line="600" w:lineRule="auto"/>
        <w:rPr>
          <w:rFonts w:hint="eastAsia" w:ascii="仿宋" w:hAnsi="仿宋" w:eastAsia="仿宋" w:cs="仿宋"/>
          <w:b/>
          <w:bCs/>
          <w:color w:val="auto"/>
          <w:sz w:val="36"/>
          <w:szCs w:val="36"/>
          <w:highlight w:val="cyan"/>
        </w:rPr>
      </w:pPr>
    </w:p>
    <w:p>
      <w:pPr>
        <w:jc w:val="center"/>
        <w:rPr>
          <w:rFonts w:ascii="仿宋" w:hAnsi="仿宋" w:eastAsia="仿宋" w:cs="仿宋"/>
          <w:b/>
          <w:color w:val="auto"/>
          <w:sz w:val="36"/>
          <w:szCs w:val="36"/>
        </w:rPr>
      </w:pPr>
      <w:r>
        <w:rPr>
          <w:rFonts w:hint="eastAsia" w:ascii="仿宋" w:hAnsi="仿宋" w:eastAsia="仿宋" w:cs="仿宋"/>
          <w:b/>
          <w:color w:val="auto"/>
          <w:sz w:val="44"/>
          <w:szCs w:val="44"/>
          <w:highlight w:val="cyan"/>
        </w:rPr>
        <w:br w:type="page"/>
      </w:r>
      <w:bookmarkStart w:id="42" w:name="_Toc420957392"/>
      <w:bookmarkStart w:id="43" w:name="_Toc99946987"/>
      <w:bookmarkStart w:id="44" w:name="_Toc149637124"/>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6"/>
        <w:ind w:firstLine="480"/>
        <w:rPr>
          <w:rFonts w:ascii="宋体" w:hAnsi="宋体" w:cs="宋体"/>
          <w:color w:val="auto"/>
          <w:sz w:val="24"/>
        </w:rPr>
      </w:pPr>
    </w:p>
    <w:p>
      <w:pPr>
        <w:pStyle w:val="6"/>
        <w:ind w:firstLine="480"/>
        <w:rPr>
          <w:rFonts w:ascii="宋体" w:hAnsi="宋体" w:cs="宋体"/>
          <w:color w:val="auto"/>
          <w:sz w:val="24"/>
        </w:rPr>
      </w:pPr>
    </w:p>
    <w:p>
      <w:pPr>
        <w:ind w:firstLine="480" w:firstLineChars="200"/>
        <w:rPr>
          <w:rFonts w:ascii="宋体" w:hAnsi="宋体" w:cs="宋体"/>
          <w:color w:val="auto"/>
          <w:sz w:val="24"/>
        </w:rPr>
      </w:pPr>
    </w:p>
    <w:p>
      <w:pPr>
        <w:pStyle w:val="3"/>
        <w:rPr>
          <w:rFonts w:ascii="宋体" w:hAnsi="宋体" w:cs="宋体"/>
          <w:color w:val="auto"/>
          <w:sz w:val="24"/>
        </w:rPr>
      </w:pPr>
    </w:p>
    <w:p>
      <w:pPr>
        <w:rPr>
          <w:rFonts w:ascii="宋体" w:hAnsi="宋体" w:cs="宋体"/>
          <w:color w:val="auto"/>
          <w:sz w:val="24"/>
        </w:rPr>
      </w:pPr>
    </w:p>
    <w:p>
      <w:pPr>
        <w:pStyle w:val="3"/>
        <w:rPr>
          <w:rFonts w:ascii="宋体" w:hAnsi="宋体" w:cs="宋体"/>
          <w:color w:val="auto"/>
          <w:sz w:val="24"/>
        </w:rPr>
      </w:pPr>
    </w:p>
    <w:p>
      <w:pPr>
        <w:rPr>
          <w:rFonts w:ascii="宋体" w:hAnsi="宋体" w:cs="宋体"/>
          <w:color w:val="auto"/>
          <w:sz w:val="24"/>
        </w:rPr>
      </w:pPr>
    </w:p>
    <w:p>
      <w:pPr>
        <w:pStyle w:val="3"/>
        <w:rPr>
          <w:rFonts w:ascii="宋体" w:hAnsi="宋体" w:cs="宋体"/>
          <w:color w:val="auto"/>
          <w:sz w:val="24"/>
        </w:rPr>
      </w:pPr>
    </w:p>
    <w:p>
      <w:pPr>
        <w:rPr>
          <w:rFonts w:ascii="宋体" w:hAnsi="宋体" w:cs="宋体"/>
          <w:color w:val="auto"/>
          <w:sz w:val="24"/>
        </w:rPr>
      </w:pPr>
    </w:p>
    <w:p>
      <w:pPr>
        <w:pStyle w:val="3"/>
        <w:rPr>
          <w:rFonts w:ascii="宋体" w:hAnsi="宋体" w:cs="宋体"/>
          <w:color w:val="auto"/>
          <w:sz w:val="24"/>
        </w:rPr>
      </w:pPr>
    </w:p>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4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600"/>
        <w:rPr>
          <w:rFonts w:hAnsi="宋体" w:cs="宋体"/>
          <w:color w:val="auto"/>
          <w:sz w:val="30"/>
          <w:szCs w:val="30"/>
        </w:rPr>
      </w:pPr>
    </w:p>
    <w:p>
      <w:pPr>
        <w:pStyle w:val="48"/>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4"/>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4"/>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6"/>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46"/>
        <w:numPr>
          <w:ilvl w:val="0"/>
          <w:numId w:val="0"/>
        </w:numPr>
        <w:ind w:left="1838"/>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48"/>
        <w:ind w:firstLine="420"/>
        <w:rPr>
          <w:color w:val="auto"/>
        </w:rPr>
      </w:pPr>
    </w:p>
    <w:p>
      <w:pPr>
        <w:pStyle w:val="6"/>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adjustRightInd w:val="0"/>
        <w:snapToGrid w:val="0"/>
        <w:spacing w:line="360" w:lineRule="auto"/>
        <w:ind w:left="420" w:leftChars="200"/>
        <w:jc w:val="center"/>
        <w:rPr>
          <w:rFonts w:hint="eastAsia" w:ascii="仿宋" w:hAnsi="仿宋" w:eastAsia="仿宋" w:cs="仿宋"/>
          <w:color w:val="auto"/>
        </w:rPr>
      </w:pPr>
    </w:p>
    <w:p>
      <w:pPr>
        <w:pStyle w:val="4"/>
        <w:snapToGrid w:val="0"/>
        <w:spacing w:line="360" w:lineRule="auto"/>
        <w:ind w:left="420" w:leftChars="200"/>
        <w:jc w:val="center"/>
        <w:rPr>
          <w:rFonts w:hint="eastAsia" w:ascii="仿宋" w:hAnsi="仿宋" w:eastAsia="仿宋" w:cs="仿宋"/>
          <w:color w:val="auto"/>
          <w:sz w:val="36"/>
          <w:szCs w:val="36"/>
        </w:rPr>
      </w:pPr>
      <w:bookmarkStart w:id="45" w:name="_Toc103602615"/>
    </w:p>
    <w:bookmarkEnd w:id="42"/>
    <w:bookmarkEnd w:id="43"/>
    <w:bookmarkEnd w:id="44"/>
    <w:bookmarkEnd w:id="45"/>
    <w:p>
      <w:pPr>
        <w:pStyle w:val="4"/>
        <w:numPr>
          <w:ilvl w:val="0"/>
          <w:numId w:val="0"/>
        </w:numPr>
        <w:spacing w:line="360" w:lineRule="auto"/>
        <w:jc w:val="both"/>
        <w:rPr>
          <w:rFonts w:hint="eastAsia" w:ascii="宋体" w:hAnsi="宋体" w:cs="宋体"/>
          <w:lang w:val="en-US" w:eastAsia="zh-CN"/>
        </w:rPr>
      </w:pPr>
      <w:bookmarkStart w:id="46" w:name="_Toc27922"/>
    </w:p>
    <w:p>
      <w:pPr>
        <w:rPr>
          <w:rFonts w:hint="eastAsia"/>
          <w:lang w:val="en-US" w:eastAsia="zh-CN"/>
        </w:rPr>
      </w:pPr>
    </w:p>
    <w:p>
      <w:pPr>
        <w:pStyle w:val="4"/>
        <w:numPr>
          <w:ilvl w:val="0"/>
          <w:numId w:val="0"/>
        </w:numPr>
        <w:spacing w:line="360" w:lineRule="auto"/>
        <w:ind w:firstLine="1325" w:firstLineChars="300"/>
        <w:jc w:val="both"/>
        <w:rPr>
          <w:rFonts w:ascii="宋体" w:hAnsi="宋体" w:cs="宋体"/>
        </w:rPr>
      </w:pPr>
      <w:r>
        <w:rPr>
          <w:rFonts w:hint="eastAsia" w:ascii="宋体" w:hAnsi="宋体" w:cs="宋体"/>
          <w:lang w:val="en-US" w:eastAsia="zh-CN"/>
        </w:rPr>
        <w:t xml:space="preserve">第五部分 </w:t>
      </w:r>
      <w:r>
        <w:rPr>
          <w:rFonts w:hint="eastAsia" w:ascii="宋体" w:hAnsi="宋体" w:cs="宋体"/>
        </w:rPr>
        <w:t>磋商响应文件格式</w:t>
      </w:r>
      <w:bookmarkEnd w:id="46"/>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6"/>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ascii="宋体" w:hAnsi="宋体" w:cs="宋体"/>
          <w:b/>
          <w:sz w:val="30"/>
          <w:szCs w:val="30"/>
        </w:rPr>
      </w:pPr>
      <w:bookmarkStart w:id="47" w:name="_Toc60421814"/>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spacing w:line="360" w:lineRule="auto"/>
        <w:rPr>
          <w:rFonts w:ascii="宋体" w:hAnsi="宋体" w:cs="宋体"/>
          <w:b/>
          <w:sz w:val="30"/>
          <w:szCs w:val="30"/>
        </w:rPr>
      </w:pPr>
    </w:p>
    <w:p>
      <w:pPr>
        <w:pStyle w:val="2"/>
      </w:pPr>
    </w:p>
    <w:p>
      <w:pPr>
        <w:spacing w:line="360" w:lineRule="auto"/>
        <w:rPr>
          <w:rFonts w:hint="eastAsia" w:ascii="宋体" w:hAnsi="宋体" w:eastAsia="宋体" w:cs="宋体"/>
          <w:b/>
          <w:sz w:val="30"/>
          <w:szCs w:val="30"/>
          <w:lang w:eastAsia="zh-CN"/>
        </w:rPr>
      </w:pPr>
      <w:r>
        <w:rPr>
          <w:rFonts w:hint="eastAsia" w:ascii="宋体" w:hAnsi="宋体" w:cs="宋体"/>
          <w:b/>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8"/>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032"/>
        <w:gridCol w:w="1972"/>
        <w:gridCol w:w="6677"/>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2032" w:type="dxa"/>
            <w:vAlign w:val="center"/>
          </w:tcPr>
          <w:p>
            <w:pPr>
              <w:spacing w:line="360" w:lineRule="auto"/>
              <w:jc w:val="center"/>
              <w:rPr>
                <w:rFonts w:ascii="宋体" w:hAnsi="宋体" w:cs="仿宋"/>
              </w:rPr>
            </w:pPr>
            <w:r>
              <w:rPr>
                <w:rFonts w:hint="eastAsia" w:ascii="宋体" w:hAnsi="宋体" w:cs="仿宋"/>
              </w:rPr>
              <w:t>服务内容</w:t>
            </w:r>
          </w:p>
        </w:tc>
        <w:tc>
          <w:tcPr>
            <w:tcW w:w="1972" w:type="dxa"/>
            <w:vAlign w:val="center"/>
          </w:tcPr>
          <w:p>
            <w:pPr>
              <w:spacing w:line="360" w:lineRule="auto"/>
              <w:jc w:val="center"/>
              <w:rPr>
                <w:rFonts w:ascii="宋体" w:hAnsi="宋体" w:cs="仿宋"/>
              </w:rPr>
            </w:pPr>
            <w:r>
              <w:rPr>
                <w:rFonts w:hint="eastAsia" w:ascii="宋体" w:hAnsi="宋体" w:cs="仿宋"/>
              </w:rPr>
              <w:t>投标总价(元)</w:t>
            </w:r>
          </w:p>
        </w:tc>
        <w:tc>
          <w:tcPr>
            <w:tcW w:w="6677"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032" w:type="dxa"/>
          </w:tcPr>
          <w:p>
            <w:pPr>
              <w:spacing w:line="360" w:lineRule="auto"/>
              <w:rPr>
                <w:rFonts w:ascii="宋体" w:hAnsi="宋体" w:cs="仿宋"/>
              </w:rPr>
            </w:pPr>
          </w:p>
        </w:tc>
        <w:tc>
          <w:tcPr>
            <w:tcW w:w="1972" w:type="dxa"/>
          </w:tcPr>
          <w:p>
            <w:pPr>
              <w:spacing w:line="360" w:lineRule="auto"/>
              <w:rPr>
                <w:rFonts w:ascii="宋体" w:hAnsi="宋体" w:cs="仿宋"/>
              </w:rPr>
            </w:pPr>
          </w:p>
        </w:tc>
        <w:tc>
          <w:tcPr>
            <w:tcW w:w="6677"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hint="eastAsia" w:ascii="宋体" w:hAns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r>
        <w:rPr>
          <w:rFonts w:hint="eastAsia" w:ascii="宋体" w:hAnsi="宋体" w:cs="宋体"/>
          <w:b/>
          <w:sz w:val="30"/>
          <w:szCs w:val="30"/>
          <w:lang w:eastAsia="zh-CN"/>
        </w:rPr>
        <w:t>（</w:t>
      </w:r>
      <w:r>
        <w:rPr>
          <w:rFonts w:hint="eastAsia" w:ascii="宋体" w:hAnsi="宋体" w:cs="宋体"/>
          <w:b/>
          <w:sz w:val="30"/>
          <w:szCs w:val="30"/>
          <w:lang w:val="en-US" w:eastAsia="zh-CN"/>
        </w:rPr>
        <w:t>可根据具体情况修改</w:t>
      </w:r>
      <w:r>
        <w:rPr>
          <w:rFonts w:hint="eastAsia" w:ascii="宋体" w:hAnsi="宋体" w:cs="宋体"/>
          <w:b/>
          <w:sz w:val="30"/>
          <w:szCs w:val="30"/>
          <w:lang w:eastAsia="zh-CN"/>
        </w:rPr>
        <w:t>）</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8"/>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1" w:type="default"/>
          <w:footerReference r:id="rId12"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47"/>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5"/>
        </w:numPr>
        <w:spacing w:line="360" w:lineRule="auto"/>
        <w:rPr>
          <w:rFonts w:ascii="宋体" w:hAnsi="宋体" w:cs="宋体"/>
          <w:szCs w:val="21"/>
        </w:rPr>
      </w:pPr>
      <w:r>
        <w:rPr>
          <w:rFonts w:hint="eastAsia" w:ascii="宋体" w:hAnsi="宋体" w:cs="宋体"/>
          <w:szCs w:val="21"/>
        </w:rPr>
        <w:t>报价一览表；</w:t>
      </w:r>
    </w:p>
    <w:p>
      <w:pPr>
        <w:numPr>
          <w:ilvl w:val="0"/>
          <w:numId w:val="5"/>
        </w:numPr>
        <w:spacing w:line="360" w:lineRule="auto"/>
        <w:rPr>
          <w:rFonts w:ascii="宋体" w:hAnsi="宋体" w:cs="宋体"/>
          <w:szCs w:val="21"/>
        </w:rPr>
      </w:pPr>
      <w:r>
        <w:rPr>
          <w:rFonts w:hint="eastAsia" w:ascii="宋体" w:hAnsi="宋体" w:cs="宋体"/>
          <w:szCs w:val="21"/>
        </w:rPr>
        <w:t>技术说明文件；</w:t>
      </w:r>
    </w:p>
    <w:p>
      <w:pPr>
        <w:numPr>
          <w:ilvl w:val="0"/>
          <w:numId w:val="5"/>
        </w:numPr>
        <w:spacing w:line="360" w:lineRule="auto"/>
        <w:rPr>
          <w:rFonts w:ascii="宋体" w:hAnsi="宋体" w:cs="宋体"/>
          <w:szCs w:val="21"/>
        </w:rPr>
      </w:pPr>
      <w:r>
        <w:rPr>
          <w:rFonts w:hint="eastAsia" w:ascii="宋体" w:hAnsi="宋体" w:cs="宋体"/>
          <w:szCs w:val="21"/>
        </w:rPr>
        <w:t>资格证明文件；</w:t>
      </w:r>
    </w:p>
    <w:p>
      <w:pPr>
        <w:numPr>
          <w:ilvl w:val="0"/>
          <w:numId w:val="5"/>
        </w:numPr>
        <w:spacing w:line="360" w:lineRule="auto"/>
        <w:rPr>
          <w:rFonts w:ascii="宋体" w:hAnsi="宋体" w:cs="宋体"/>
          <w:szCs w:val="21"/>
        </w:rPr>
      </w:pPr>
      <w:r>
        <w:rPr>
          <w:rFonts w:hint="eastAsia" w:ascii="宋体" w:hAnsi="宋体" w:cs="宋体"/>
          <w:szCs w:val="21"/>
        </w:rPr>
        <w:t>法人授权书；</w:t>
      </w:r>
    </w:p>
    <w:p>
      <w:pPr>
        <w:numPr>
          <w:ilvl w:val="0"/>
          <w:numId w:val="5"/>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6"/>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6"/>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6"/>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6"/>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6"/>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6"/>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6"/>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6"/>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pStyle w:val="6"/>
        <w:rPr>
          <w:rFonts w:ascii="宋体" w:hAnsi="宋体" w:cs="宋体"/>
          <w:szCs w:val="21"/>
        </w:rPr>
      </w:pPr>
    </w:p>
    <w:p>
      <w:pPr>
        <w:spacing w:after="100" w:line="360" w:lineRule="auto"/>
        <w:ind w:left="482"/>
        <w:rPr>
          <w:rFonts w:ascii="宋体" w:hAnsi="宋体" w:cs="宋体"/>
          <w:szCs w:val="21"/>
        </w:rPr>
      </w:pPr>
    </w:p>
    <w:tbl>
      <w:tblPr>
        <w:tblStyle w:val="38"/>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5"/>
        <w:jc w:val="both"/>
        <w:rPr>
          <w:rFonts w:ascii="宋体" w:hAnsi="宋体" w:eastAsia="宋体" w:cs="宋体"/>
          <w:sz w:val="28"/>
          <w:szCs w:val="28"/>
        </w:rPr>
        <w:sectPr>
          <w:footerReference r:id="rId13" w:type="default"/>
          <w:pgSz w:w="11906" w:h="16838"/>
          <w:pgMar w:top="1191" w:right="1587" w:bottom="1191" w:left="1587" w:header="851" w:footer="992" w:gutter="0"/>
          <w:cols w:space="720" w:num="1"/>
          <w:titlePg/>
          <w:docGrid w:linePitch="286" w:charSpace="0"/>
        </w:sectPr>
      </w:pPr>
      <w:bookmarkStart w:id="48" w:name="_Toc60421818"/>
    </w:p>
    <w:bookmarkEnd w:id="48"/>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46"/>
        <w:numPr>
          <w:ilvl w:val="0"/>
          <w:numId w:val="0"/>
        </w:numPr>
        <w:ind w:left="1838"/>
      </w:pPr>
    </w:p>
    <w:p>
      <w:pPr>
        <w:pStyle w:val="48"/>
      </w:pPr>
    </w:p>
    <w:p>
      <w:pPr>
        <w:pStyle w:val="48"/>
        <w:ind w:firstLine="420"/>
      </w:pPr>
    </w:p>
    <w:p>
      <w:pPr>
        <w:pStyle w:val="48"/>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8"/>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pStyle w:val="2"/>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hint="default" w:ascii="宋体" w:hAnsi="宋体" w:eastAsia="宋体" w:cs="宋体"/>
          <w:szCs w:val="21"/>
          <w:lang w:val="en-US" w:eastAsia="zh-CN"/>
        </w:rPr>
      </w:pPr>
      <w:r>
        <w:rPr>
          <w:rFonts w:hint="eastAsia" w:ascii="宋体" w:hAnsi="宋体" w:cs="宋体"/>
          <w:szCs w:val="21"/>
        </w:rPr>
        <w:t>6.</w:t>
      </w:r>
      <w:r>
        <w:rPr>
          <w:rFonts w:hint="eastAsia" w:ascii="宋体" w:hAnsi="宋体" w:cs="宋体"/>
          <w:szCs w:val="21"/>
          <w:lang w:val="en-US" w:eastAsia="zh-CN"/>
        </w:rPr>
        <w:t>资格承诺函</w:t>
      </w:r>
    </w:p>
    <w:p>
      <w:pPr>
        <w:snapToGrid w:val="0"/>
        <w:spacing w:line="360" w:lineRule="auto"/>
        <w:ind w:firstLine="420" w:firstLineChars="200"/>
        <w:jc w:val="left"/>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本项目不接受联合体投标。</w:t>
      </w:r>
    </w:p>
    <w:p>
      <w:pPr>
        <w:pStyle w:val="6"/>
        <w:spacing w:line="360" w:lineRule="auto"/>
        <w:rPr>
          <w:rFonts w:ascii="宋体" w:hAnsi="宋体" w:cs="宋体"/>
          <w:szCs w:val="21"/>
        </w:rPr>
      </w:pPr>
    </w:p>
    <w:p>
      <w:pPr>
        <w:spacing w:line="360" w:lineRule="auto"/>
        <w:jc w:val="center"/>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pStyle w:val="6"/>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pStyle w:val="2"/>
        <w:rPr>
          <w:rFonts w:ascii="宋体" w:hAnsi="宋体" w:cs="宋体"/>
          <w:b/>
          <w:bCs/>
          <w:szCs w:val="21"/>
        </w:rPr>
      </w:pPr>
    </w:p>
    <w:p>
      <w:pPr>
        <w:spacing w:line="360" w:lineRule="auto"/>
        <w:rPr>
          <w:rFonts w:ascii="宋体" w:hAnsi="宋体" w:cs="宋体"/>
          <w:b/>
          <w:bCs/>
          <w:szCs w:val="21"/>
        </w:rPr>
      </w:pPr>
    </w:p>
    <w:p>
      <w:pPr>
        <w:pStyle w:val="32"/>
      </w:pP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32"/>
        <w:ind w:left="0"/>
        <w:rPr>
          <w:rFonts w:ascii="宋体" w:hAnsi="宋体" w:cs="宋体"/>
          <w:b/>
          <w:bCs/>
          <w:szCs w:val="21"/>
        </w:rPr>
      </w:pPr>
    </w:p>
    <w:p>
      <w:pPr>
        <w:rPr>
          <w:rFonts w:ascii="宋体" w:hAnsi="宋体" w:cs="宋体"/>
          <w:b/>
          <w:bCs/>
          <w:szCs w:val="21"/>
        </w:rPr>
      </w:pPr>
    </w:p>
    <w:p>
      <w:pPr>
        <w:spacing w:line="360" w:lineRule="auto"/>
        <w:jc w:val="center"/>
        <w:rPr>
          <w:rFonts w:ascii="宋体" w:hAnsi="宋体" w:cs="宋体"/>
          <w:b/>
          <w:bCs/>
          <w:sz w:val="28"/>
          <w:szCs w:val="28"/>
        </w:rPr>
      </w:pPr>
      <w:r>
        <w:rPr>
          <w:rFonts w:hint="eastAsia" w:ascii="宋体" w:hAnsi="宋体" w:cs="宋体"/>
          <w:b/>
          <w:bCs/>
          <w:sz w:val="32"/>
          <w:szCs w:val="32"/>
        </w:rPr>
        <w:t>中小企业声明函（货物）</w:t>
      </w:r>
    </w:p>
    <w:p>
      <w:pPr>
        <w:spacing w:line="360" w:lineRule="auto"/>
        <w:ind w:firstLine="420" w:firstLineChars="200"/>
        <w:rPr>
          <w:rFonts w:ascii="宋体" w:hAnsi="宋体" w:cs="宋体"/>
          <w:szCs w:val="21"/>
        </w:rPr>
      </w:pPr>
      <w:r>
        <w:rPr>
          <w:rFonts w:hint="eastAsia" w:ascii="宋体" w:hAnsi="宋体" w:cs="宋体"/>
          <w:szCs w:val="21"/>
        </w:rPr>
        <w:t>本公司（联合体）郑重声明，根据《政府采购促进中小企业发展管理办法》（财库〔2020〕46号）的规定，本公司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采购活动,提供的货物全部由符合政策要求的中小企业制造。相关企业 （含联合体中的中小企业、签订分包意向协议的中小企业）的具体情况如下：</w:t>
      </w:r>
    </w:p>
    <w:p>
      <w:pPr>
        <w:spacing w:line="360" w:lineRule="auto"/>
        <w:ind w:firstLine="420" w:firstLineChars="200"/>
        <w:rPr>
          <w:rFonts w:ascii="宋体" w:hAnsi="宋体" w:cs="宋体"/>
          <w:szCs w:val="21"/>
        </w:rPr>
      </w:pPr>
      <w:r>
        <w:rPr>
          <w:rFonts w:hint="eastAsia" w:ascii="宋体" w:hAnsi="宋体" w:cs="宋体"/>
          <w:szCs w:val="21"/>
        </w:rPr>
        <w:t xml:space="preserve">1. </w:t>
      </w:r>
      <w:r>
        <w:rPr>
          <w:rFonts w:hint="eastAsia" w:ascii="宋体" w:hAnsi="宋体" w:cs="宋体"/>
          <w:szCs w:val="21"/>
          <w:u w:val="single"/>
        </w:rPr>
        <w:t xml:space="preserve"> （标的名称）</w:t>
      </w:r>
      <w:r>
        <w:rPr>
          <w:rFonts w:hint="eastAsia" w:ascii="宋体" w:hAnsi="宋体" w:cs="宋体"/>
          <w:szCs w:val="21"/>
        </w:rPr>
        <w:t>,属于</w:t>
      </w:r>
      <w:r>
        <w:rPr>
          <w:rFonts w:hint="eastAsia" w:ascii="宋体" w:hAnsi="宋体" w:cs="宋体"/>
          <w:szCs w:val="21"/>
          <w:u w:val="single"/>
        </w:rPr>
        <w:t>（采购文件 中明确的所属行业）</w:t>
      </w:r>
      <w:r>
        <w:rPr>
          <w:rFonts w:hint="eastAsia" w:ascii="宋体" w:hAnsi="宋体" w:cs="宋体"/>
          <w:szCs w:val="21"/>
        </w:rPr>
        <w:t>行业；制造商为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 型企业、微型企业）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 中明确的所属行业）行业</w:t>
      </w:r>
      <w:r>
        <w:rPr>
          <w:rFonts w:hint="eastAsia" w:ascii="宋体" w:hAnsi="宋体" w:cs="宋体"/>
          <w:szCs w:val="21"/>
        </w:rPr>
        <w:t>：制造商为</w:t>
      </w:r>
      <w:r>
        <w:rPr>
          <w:rFonts w:hint="eastAsia" w:ascii="宋体" w:hAnsi="宋体" w:cs="宋体"/>
          <w:szCs w:val="21"/>
          <w:u w:val="single"/>
        </w:rPr>
        <w:t>（企业名称）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（中型企业、小型 企业、微型企业）</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以上企业，不属于大企业的分支机构，不存在控股股东 为大企业的情形，也不存在与大企业的负责人为同一人的情形。</w:t>
      </w:r>
    </w:p>
    <w:p>
      <w:pPr>
        <w:spacing w:line="360" w:lineRule="auto"/>
        <w:ind w:firstLine="420" w:firstLineChars="200"/>
        <w:rPr>
          <w:rFonts w:ascii="宋体" w:hAnsi="宋体" w:cs="宋体"/>
          <w:szCs w:val="21"/>
        </w:rPr>
      </w:pPr>
      <w:r>
        <w:rPr>
          <w:rFonts w:hint="eastAsia" w:ascii="宋体" w:hAnsi="宋体" w:cs="宋体"/>
          <w:szCs w:val="21"/>
        </w:rPr>
        <w:t>本企业对上述声明内容的真实性负责。如有虚假，将依 法承担相应责任。</w:t>
      </w:r>
    </w:p>
    <w:p>
      <w:pPr>
        <w:spacing w:line="360" w:lineRule="auto"/>
        <w:jc w:val="center"/>
        <w:rPr>
          <w:rFonts w:ascii="宋体" w:hAnsi="宋体" w:cs="宋体"/>
          <w:szCs w:val="21"/>
        </w:rPr>
      </w:pPr>
      <w:r>
        <w:rPr>
          <w:rFonts w:hint="eastAsia" w:ascii="宋体" w:hAnsi="宋体" w:cs="宋体"/>
          <w:szCs w:val="21"/>
        </w:rPr>
        <w:t xml:space="preserve">                  企业名称（盖章）：</w:t>
      </w:r>
    </w:p>
    <w:p>
      <w:pPr>
        <w:spacing w:line="360" w:lineRule="auto"/>
        <w:jc w:val="center"/>
        <w:rPr>
          <w:rFonts w:ascii="宋体" w:hAnsi="宋体" w:cs="宋体"/>
          <w:szCs w:val="21"/>
        </w:rPr>
      </w:pPr>
      <w:r>
        <w:rPr>
          <w:rFonts w:hint="eastAsia" w:ascii="宋体" w:hAnsi="宋体" w:cs="宋体"/>
          <w:szCs w:val="21"/>
        </w:rPr>
        <w:t xml:space="preserve">        日 期：</w:t>
      </w:r>
    </w:p>
    <w:p>
      <w:pPr>
        <w:pStyle w:val="32"/>
      </w:pPr>
    </w:p>
    <w:p>
      <w:pPr>
        <w:spacing w:line="360" w:lineRule="auto"/>
        <w:rPr>
          <w:rFonts w:ascii="宋体" w:hAnsi="宋体" w:cs="宋体"/>
          <w:b/>
          <w:bCs/>
          <w:szCs w:val="21"/>
        </w:rPr>
      </w:pPr>
    </w:p>
    <w:p>
      <w:pPr>
        <w:spacing w:line="360" w:lineRule="auto"/>
        <w:rPr>
          <w:rFonts w:ascii="宋体" w:hAnsi="宋体" w:cs="宋体"/>
          <w:b/>
          <w:bCs/>
          <w:szCs w:val="21"/>
        </w:rPr>
      </w:pPr>
    </w:p>
    <w:p>
      <w:pPr>
        <w:pStyle w:val="32"/>
        <w:rPr>
          <w:rFonts w:ascii="宋体" w:hAnsi="宋体" w:cs="宋体"/>
          <w:b/>
          <w:bCs/>
          <w:szCs w:val="21"/>
        </w:rPr>
      </w:pPr>
    </w:p>
    <w:p>
      <w:pPr>
        <w:rPr>
          <w:rFonts w:ascii="宋体" w:hAnsi="宋体" w:cs="宋体"/>
          <w:b/>
          <w:bCs/>
          <w:szCs w:val="21"/>
        </w:rPr>
      </w:pPr>
    </w:p>
    <w:p>
      <w:pPr>
        <w:pStyle w:val="32"/>
        <w:rPr>
          <w:rFonts w:ascii="宋体" w:hAnsi="宋体" w:cs="宋体"/>
          <w:b/>
          <w:bCs/>
          <w:szCs w:val="21"/>
        </w:rPr>
      </w:pPr>
    </w:p>
    <w:p>
      <w:pPr>
        <w:rPr>
          <w:rFonts w:ascii="宋体" w:hAnsi="宋体" w:cs="宋体"/>
          <w:b/>
          <w:bCs/>
          <w:szCs w:val="21"/>
        </w:rPr>
      </w:pPr>
    </w:p>
    <w:p>
      <w:pPr>
        <w:pStyle w:val="32"/>
        <w:rPr>
          <w:rFonts w:ascii="宋体" w:hAnsi="宋体" w:cs="宋体"/>
          <w:b/>
          <w:bCs/>
          <w:szCs w:val="21"/>
        </w:rPr>
      </w:pPr>
    </w:p>
    <w:p>
      <w:pPr>
        <w:rPr>
          <w:rFonts w:ascii="宋体" w:hAnsi="宋体" w:cs="宋体"/>
          <w:b/>
          <w:bCs/>
          <w:szCs w:val="21"/>
        </w:rPr>
      </w:pPr>
    </w:p>
    <w:p>
      <w:pPr>
        <w:pStyle w:val="32"/>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6"/>
        <w:ind w:firstLine="0" w:firstLineChars="0"/>
        <w:rPr>
          <w:rFonts w:hint="eastAsia" w:ascii="仿宋" w:hAnsi="仿宋" w:eastAsia="仿宋" w:cs="仿宋"/>
          <w:color w:val="auto"/>
        </w:rPr>
      </w:pPr>
    </w:p>
    <w:sectPr>
      <w:footerReference r:id="rId16" w:type="first"/>
      <w:headerReference r:id="rId14" w:type="default"/>
      <w:footerReference r:id="rId15" w:type="default"/>
      <w:pgSz w:w="11906" w:h="16838"/>
      <w:pgMar w:top="1191" w:right="1587" w:bottom="1191" w:left="158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2"/>
      </w:rPr>
    </w:pPr>
    <w:r>
      <w:fldChar w:fldCharType="begin"/>
    </w:r>
    <w:r>
      <w:rPr>
        <w:rStyle w:val="42"/>
      </w:rPr>
      <w:instrText xml:space="preserve">PAGE  </w:instrText>
    </w:r>
    <w:r>
      <w:fldChar w:fldCharType="separate"/>
    </w:r>
    <w:r>
      <w:rPr>
        <w:rStyle w:val="42"/>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thickThinMediumGap" w:color="808080" w:sz="18" w:space="1"/>
      </w:pBdr>
      <w:jc w:val="both"/>
      <w:rPr>
        <w:rFonts w:ascii="Cambria" w:hAnsi="Cambria"/>
        <w:sz w:val="10"/>
        <w:szCs w:val="10"/>
      </w:rPr>
    </w:pPr>
    <w:r>
      <w:rPr>
        <w:rStyle w:val="42"/>
        <w:rFonts w:ascii="宋体" w:hAnsi="宋体"/>
      </w:rPr>
      <w:t xml:space="preserve">        </w:t>
    </w:r>
  </w:p>
  <w:p>
    <w:pPr>
      <w:pStyle w:val="25"/>
      <w:rPr>
        <w:rFonts w:ascii="宋体"/>
        <w:color w:val="FF000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2336;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2"/>
      </w:rPr>
    </w:pPr>
    <w:r>
      <w:fldChar w:fldCharType="begin"/>
    </w:r>
    <w:r>
      <w:rPr>
        <w:rStyle w:val="42"/>
      </w:rPr>
      <w:instrText xml:space="preserve">PAGE  </w:instrText>
    </w:r>
    <w:r>
      <w:fldChar w:fldCharType="separate"/>
    </w:r>
    <w:r>
      <w:rPr>
        <w:rStyle w:val="42"/>
      </w:rPr>
      <w:t>4</w:t>
    </w:r>
    <w:r>
      <w:fldChar w:fldCharType="end"/>
    </w:r>
  </w:p>
  <w:p>
    <w:pPr>
      <w:pStyle w:val="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0"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OMkDsvKAQAAjw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4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356784B"/>
    <w:rsid w:val="04B23039"/>
    <w:rsid w:val="051D440B"/>
    <w:rsid w:val="057E5D2D"/>
    <w:rsid w:val="06FC2094"/>
    <w:rsid w:val="08C558E2"/>
    <w:rsid w:val="09C350C8"/>
    <w:rsid w:val="0B3D0482"/>
    <w:rsid w:val="0C692FF0"/>
    <w:rsid w:val="0CDC7E65"/>
    <w:rsid w:val="0D583FCC"/>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CB18BC"/>
    <w:rsid w:val="26D53495"/>
    <w:rsid w:val="26ED42E7"/>
    <w:rsid w:val="27E914A1"/>
    <w:rsid w:val="28D75308"/>
    <w:rsid w:val="28E614A9"/>
    <w:rsid w:val="28E86CA7"/>
    <w:rsid w:val="29076C89"/>
    <w:rsid w:val="292263C3"/>
    <w:rsid w:val="29235425"/>
    <w:rsid w:val="2991189E"/>
    <w:rsid w:val="2A2C2E1A"/>
    <w:rsid w:val="2ACC676B"/>
    <w:rsid w:val="2C9936B0"/>
    <w:rsid w:val="2D556F76"/>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9F1795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9A0CF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12053B"/>
    <w:rsid w:val="5FC85FD2"/>
    <w:rsid w:val="61946FF9"/>
    <w:rsid w:val="622E1B6D"/>
    <w:rsid w:val="63777868"/>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7">
    <w:name w:val="heading 3"/>
    <w:basedOn w:val="1"/>
    <w:next w:val="6"/>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8">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9">
    <w:name w:val="heading 5"/>
    <w:basedOn w:val="1"/>
    <w:next w:val="1"/>
    <w:link w:val="84"/>
    <w:qFormat/>
    <w:uiPriority w:val="0"/>
    <w:pPr>
      <w:keepNext/>
      <w:keepLines/>
      <w:spacing w:before="280" w:after="290" w:line="376" w:lineRule="auto"/>
      <w:outlineLvl w:val="4"/>
    </w:pPr>
    <w:rPr>
      <w:b/>
      <w:sz w:val="28"/>
      <w:szCs w:val="20"/>
    </w:rPr>
  </w:style>
  <w:style w:type="paragraph" w:styleId="10">
    <w:name w:val="heading 6"/>
    <w:basedOn w:val="1"/>
    <w:next w:val="6"/>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6"/>
    <w:qFormat/>
    <w:uiPriority w:val="0"/>
    <w:pPr>
      <w:keepNext/>
      <w:keepLines/>
      <w:spacing w:before="240" w:after="64" w:line="320" w:lineRule="auto"/>
      <w:outlineLvl w:val="6"/>
    </w:pPr>
    <w:rPr>
      <w:b/>
      <w:sz w:val="24"/>
      <w:szCs w:val="20"/>
    </w:rPr>
  </w:style>
  <w:style w:type="paragraph" w:styleId="12">
    <w:name w:val="heading 8"/>
    <w:basedOn w:val="1"/>
    <w:next w:val="6"/>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6"/>
    <w:qFormat/>
    <w:uiPriority w:val="0"/>
    <w:pPr>
      <w:keepNext/>
      <w:keepLines/>
      <w:spacing w:before="240" w:after="64" w:line="320" w:lineRule="auto"/>
      <w:outlineLvl w:val="8"/>
    </w:pPr>
    <w:rPr>
      <w:rFonts w:ascii="Arial" w:hAnsi="Arial" w:eastAsia="黑体"/>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line="480" w:lineRule="auto"/>
    </w:pPr>
    <w:rPr>
      <w:color w:val="000000"/>
      <w:sz w:val="24"/>
    </w:rPr>
  </w:style>
  <w:style w:type="paragraph" w:styleId="6">
    <w:name w:val="Normal Indent"/>
    <w:basedOn w:val="1"/>
    <w:next w:val="3"/>
    <w:link w:val="92"/>
    <w:qFormat/>
    <w:uiPriority w:val="0"/>
    <w:pPr>
      <w:ind w:firstLine="420" w:firstLineChars="200"/>
    </w:pPr>
  </w:style>
  <w:style w:type="paragraph" w:styleId="14">
    <w:name w:val="toc 7"/>
    <w:basedOn w:val="1"/>
    <w:next w:val="1"/>
    <w:qFormat/>
    <w:uiPriority w:val="0"/>
    <w:pPr>
      <w:ind w:left="1260"/>
      <w:jc w:val="left"/>
    </w:pPr>
    <w:rPr>
      <w:rFonts w:ascii="Calibri" w:hAnsi="Calibri"/>
      <w:sz w:val="18"/>
      <w:szCs w:val="18"/>
    </w:rPr>
  </w:style>
  <w:style w:type="paragraph" w:styleId="15">
    <w:name w:val="Document Map"/>
    <w:basedOn w:val="1"/>
    <w:link w:val="89"/>
    <w:qFormat/>
    <w:uiPriority w:val="0"/>
    <w:rPr>
      <w:rFonts w:ascii="宋体"/>
      <w:sz w:val="18"/>
      <w:szCs w:val="18"/>
    </w:rPr>
  </w:style>
  <w:style w:type="paragraph" w:styleId="16">
    <w:name w:val="annotation text"/>
    <w:basedOn w:val="1"/>
    <w:link w:val="85"/>
    <w:qFormat/>
    <w:uiPriority w:val="0"/>
    <w:pPr>
      <w:jc w:val="left"/>
    </w:pPr>
  </w:style>
  <w:style w:type="paragraph" w:styleId="17">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0"/>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3"/>
    <w:qFormat/>
    <w:uiPriority w:val="0"/>
    <w:rPr>
      <w:sz w:val="24"/>
      <w:szCs w:val="20"/>
    </w:rPr>
  </w:style>
  <w:style w:type="paragraph" w:styleId="23">
    <w:name w:val="Body Text Indent 2"/>
    <w:basedOn w:val="1"/>
    <w:link w:val="102"/>
    <w:qFormat/>
    <w:uiPriority w:val="0"/>
    <w:pPr>
      <w:spacing w:before="240" w:line="560" w:lineRule="exact"/>
      <w:ind w:firstLine="480" w:firstLineChars="200"/>
    </w:pPr>
    <w:rPr>
      <w:sz w:val="24"/>
      <w:szCs w:val="32"/>
    </w:rPr>
  </w:style>
  <w:style w:type="paragraph" w:styleId="24">
    <w:name w:val="Balloon Text"/>
    <w:basedOn w:val="1"/>
    <w:link w:val="105"/>
    <w:qFormat/>
    <w:uiPriority w:val="0"/>
    <w:rPr>
      <w:sz w:val="18"/>
      <w:szCs w:val="18"/>
    </w:rPr>
  </w:style>
  <w:style w:type="paragraph" w:styleId="25">
    <w:name w:val="footer"/>
    <w:basedOn w:val="1"/>
    <w:link w:val="79"/>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6"/>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8"/>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6"/>
    <w:next w:val="16"/>
    <w:link w:val="81"/>
    <w:qFormat/>
    <w:uiPriority w:val="0"/>
    <w:rPr>
      <w:b/>
      <w:bCs/>
    </w:rPr>
  </w:style>
  <w:style w:type="paragraph" w:styleId="37">
    <w:name w:val="Body Text First Indent 2"/>
    <w:basedOn w:val="17"/>
    <w:qFormat/>
    <w:uiPriority w:val="99"/>
    <w:pPr>
      <w:spacing w:after="120"/>
      <w:ind w:left="420" w:leftChars="200" w:firstLine="420" w:firstLineChars="200"/>
    </w:pPr>
  </w:style>
  <w:style w:type="table" w:styleId="39">
    <w:name w:val="Table Grid"/>
    <w:basedOn w:val="38"/>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Emphasis"/>
    <w:qFormat/>
    <w:uiPriority w:val="0"/>
    <w:rPr>
      <w:color w:val="CC0000"/>
    </w:rPr>
  </w:style>
  <w:style w:type="character" w:styleId="44">
    <w:name w:val="Hyperlink"/>
    <w:basedOn w:val="40"/>
    <w:qFormat/>
    <w:uiPriority w:val="99"/>
    <w:rPr>
      <w:color w:val="454545"/>
      <w:sz w:val="19"/>
      <w:szCs w:val="19"/>
      <w:u w:val="none"/>
    </w:rPr>
  </w:style>
  <w:style w:type="character" w:styleId="45">
    <w:name w:val="annotation reference"/>
    <w:qFormat/>
    <w:uiPriority w:val="0"/>
    <w:rPr>
      <w:sz w:val="21"/>
      <w:szCs w:val="21"/>
    </w:rPr>
  </w:style>
  <w:style w:type="paragraph" w:customStyle="1" w:styleId="46">
    <w:name w:val="引言二级条标题"/>
    <w:basedOn w:val="47"/>
    <w:next w:val="48"/>
    <w:qFormat/>
    <w:uiPriority w:val="0"/>
    <w:pPr>
      <w:numPr>
        <w:ilvl w:val="1"/>
        <w:numId w:val="1"/>
      </w:numPr>
      <w:tabs>
        <w:tab w:val="left" w:pos="360"/>
      </w:tabs>
    </w:pPr>
  </w:style>
  <w:style w:type="paragraph" w:customStyle="1" w:styleId="47">
    <w:name w:val="引言一级条标题"/>
    <w:basedOn w:val="1"/>
    <w:next w:val="48"/>
    <w:qFormat/>
    <w:uiPriority w:val="0"/>
    <w:pPr>
      <w:widowControl/>
      <w:numPr>
        <w:ilvl w:val="0"/>
        <w:numId w:val="2"/>
      </w:numPr>
    </w:pPr>
    <w:rPr>
      <w:rFonts w:eastAsia="黑体"/>
      <w:b/>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1">
    <w:name w:val="p15"/>
    <w:basedOn w:val="1"/>
    <w:qFormat/>
    <w:uiPriority w:val="0"/>
    <w:pPr>
      <w:widowControl/>
    </w:pPr>
    <w:rPr>
      <w:kern w:val="0"/>
      <w:szCs w:val="21"/>
    </w:rPr>
  </w:style>
  <w:style w:type="paragraph" w:customStyle="1" w:styleId="52">
    <w:name w:val="默认段落字体 Para Char Char Char Char Char Char Char Char Char1 Char Char Char Char Char Char Char Char"/>
    <w:basedOn w:val="15"/>
    <w:qFormat/>
    <w:uiPriority w:val="0"/>
    <w:pPr>
      <w:shd w:val="clear" w:color="auto" w:fill="000080"/>
    </w:pPr>
    <w:rPr>
      <w:rFonts w:hint="eastAsia" w:hAnsi="宋体"/>
      <w:kern w:val="0"/>
      <w:sz w:val="24"/>
      <w:szCs w:val="24"/>
    </w:rPr>
  </w:style>
  <w:style w:type="paragraph" w:customStyle="1" w:styleId="53">
    <w:name w:val="样式 正文缩进 + 首行缩进:  2 字符"/>
    <w:basedOn w:val="6"/>
    <w:link w:val="97"/>
    <w:qFormat/>
    <w:uiPriority w:val="0"/>
    <w:pPr>
      <w:spacing w:line="360" w:lineRule="auto"/>
      <w:ind w:firstLine="200"/>
    </w:pPr>
    <w:rPr>
      <w:rFonts w:cs="宋体"/>
      <w:sz w:val="24"/>
      <w:szCs w:val="20"/>
    </w:rPr>
  </w:style>
  <w:style w:type="paragraph" w:styleId="54">
    <w:name w:val="List Paragraph"/>
    <w:basedOn w:val="1"/>
    <w:qFormat/>
    <w:uiPriority w:val="0"/>
    <w:pPr>
      <w:ind w:firstLine="420" w:firstLineChars="200"/>
    </w:pPr>
    <w:rPr>
      <w:rFonts w:ascii="Calibri" w:hAnsi="Calibri"/>
      <w:szCs w:val="22"/>
    </w:rPr>
  </w:style>
  <w:style w:type="paragraph" w:customStyle="1" w:styleId="55">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6">
    <w:name w:val="Char2"/>
    <w:basedOn w:val="1"/>
    <w:qFormat/>
    <w:uiPriority w:val="0"/>
    <w:pPr>
      <w:tabs>
        <w:tab w:val="left" w:pos="425"/>
      </w:tabs>
      <w:ind w:left="425" w:hanging="425"/>
    </w:pPr>
  </w:style>
  <w:style w:type="paragraph" w:customStyle="1" w:styleId="57">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List Paragraph1"/>
    <w:basedOn w:val="1"/>
    <w:qFormat/>
    <w:uiPriority w:val="34"/>
    <w:pPr>
      <w:ind w:firstLine="420" w:firstLineChars="200"/>
    </w:pPr>
    <w:rPr>
      <w:rFonts w:ascii="Calibri" w:hAnsi="Calibri"/>
    </w:rPr>
  </w:style>
  <w:style w:type="paragraph" w:customStyle="1" w:styleId="60">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3">
    <w:name w:val="批注框文本1"/>
    <w:basedOn w:val="1"/>
    <w:link w:val="90"/>
    <w:qFormat/>
    <w:uiPriority w:val="0"/>
    <w:rPr>
      <w:kern w:val="0"/>
      <w:sz w:val="18"/>
      <w:szCs w:val="20"/>
    </w:rPr>
  </w:style>
  <w:style w:type="paragraph" w:customStyle="1" w:styleId="64">
    <w:name w:val="正文1"/>
    <w:basedOn w:val="1"/>
    <w:qFormat/>
    <w:uiPriority w:val="0"/>
    <w:pPr>
      <w:spacing w:line="312" w:lineRule="exact"/>
    </w:pPr>
  </w:style>
  <w:style w:type="paragraph" w:customStyle="1" w:styleId="65">
    <w:name w:val="Absatz2AL"/>
    <w:basedOn w:val="3"/>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6">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p0"/>
    <w:basedOn w:val="1"/>
    <w:qFormat/>
    <w:uiPriority w:val="0"/>
    <w:pPr>
      <w:widowControl/>
      <w:snapToGrid w:val="0"/>
      <w:jc w:val="left"/>
    </w:pPr>
    <w:rPr>
      <w:rFonts w:ascii="宋体" w:hAnsi="宋体" w:cs="宋体"/>
      <w:kern w:val="0"/>
      <w:sz w:val="34"/>
      <w:szCs w:val="34"/>
    </w:rPr>
  </w:style>
  <w:style w:type="paragraph" w:customStyle="1" w:styleId="68">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0">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普通(网站)1"/>
    <w:basedOn w:val="1"/>
    <w:qFormat/>
    <w:uiPriority w:val="0"/>
    <w:pPr>
      <w:widowControl/>
      <w:spacing w:before="100" w:after="100"/>
      <w:jc w:val="left"/>
    </w:pPr>
    <w:rPr>
      <w:rFonts w:ascii="宋体" w:hAnsi="宋体"/>
      <w:sz w:val="24"/>
      <w:szCs w:val="20"/>
    </w:rPr>
  </w:style>
  <w:style w:type="paragraph" w:customStyle="1" w:styleId="72">
    <w:name w:val="_Style 68"/>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内容1"/>
    <w:basedOn w:val="1"/>
    <w:qFormat/>
    <w:uiPriority w:val="0"/>
    <w:pPr>
      <w:ind w:firstLine="480" w:firstLineChars="200"/>
    </w:pPr>
    <w:rPr>
      <w:rFonts w:ascii="宋体"/>
      <w:kern w:val="0"/>
    </w:rPr>
  </w:style>
  <w:style w:type="paragraph" w:customStyle="1" w:styleId="75">
    <w:name w:val="标书正文"/>
    <w:basedOn w:val="1"/>
    <w:qFormat/>
    <w:uiPriority w:val="0"/>
    <w:pPr>
      <w:snapToGrid w:val="0"/>
      <w:spacing w:line="360" w:lineRule="auto"/>
      <w:ind w:firstLine="200" w:firstLineChars="200"/>
    </w:pPr>
    <w:rPr>
      <w:sz w:val="24"/>
    </w:rPr>
  </w:style>
  <w:style w:type="paragraph" w:customStyle="1" w:styleId="76">
    <w:name w:val="表格"/>
    <w:basedOn w:val="1"/>
    <w:qFormat/>
    <w:uiPriority w:val="0"/>
    <w:pPr>
      <w:adjustRightInd w:val="0"/>
      <w:snapToGrid w:val="0"/>
      <w:jc w:val="center"/>
    </w:pPr>
    <w:rPr>
      <w:bCs/>
      <w:u w:color="FFFFFF"/>
    </w:rPr>
  </w:style>
  <w:style w:type="character" w:customStyle="1" w:styleId="77">
    <w:name w:val="正文文本缩进 字符"/>
    <w:link w:val="17"/>
    <w:qFormat/>
    <w:uiPriority w:val="0"/>
    <w:rPr>
      <w:rFonts w:ascii="华文中宋" w:hAnsi="华文中宋" w:eastAsia="华文中宋"/>
      <w:color w:val="FF6600"/>
      <w:kern w:val="2"/>
      <w:sz w:val="24"/>
      <w:szCs w:val="24"/>
    </w:rPr>
  </w:style>
  <w:style w:type="character" w:customStyle="1" w:styleId="78">
    <w:name w:val="news1_title"/>
    <w:basedOn w:val="40"/>
    <w:qFormat/>
    <w:uiPriority w:val="0"/>
  </w:style>
  <w:style w:type="character" w:customStyle="1" w:styleId="79">
    <w:name w:val="页脚 字符"/>
    <w:link w:val="25"/>
    <w:qFormat/>
    <w:uiPriority w:val="99"/>
    <w:rPr>
      <w:rFonts w:eastAsia="宋体"/>
      <w:kern w:val="2"/>
      <w:sz w:val="18"/>
      <w:szCs w:val="18"/>
      <w:lang w:val="en-US" w:eastAsia="zh-CN" w:bidi="ar-SA"/>
    </w:rPr>
  </w:style>
  <w:style w:type="character" w:customStyle="1" w:styleId="80">
    <w:name w:val="标题 4 字符"/>
    <w:link w:val="8"/>
    <w:qFormat/>
    <w:uiPriority w:val="0"/>
    <w:rPr>
      <w:rFonts w:ascii="Arial" w:hAnsi="Arial" w:eastAsia="黑体"/>
      <w:b/>
      <w:kern w:val="2"/>
      <w:sz w:val="28"/>
      <w:lang w:val="en-US" w:eastAsia="zh-CN" w:bidi="ar-SA"/>
    </w:rPr>
  </w:style>
  <w:style w:type="character" w:customStyle="1" w:styleId="81">
    <w:name w:val="批注主题 字符"/>
    <w:link w:val="36"/>
    <w:qFormat/>
    <w:uiPriority w:val="0"/>
    <w:rPr>
      <w:b/>
      <w:bCs/>
      <w:kern w:val="2"/>
      <w:sz w:val="21"/>
      <w:szCs w:val="24"/>
    </w:rPr>
  </w:style>
  <w:style w:type="character" w:customStyle="1" w:styleId="82">
    <w:name w:val="标题 3 字符"/>
    <w:link w:val="7"/>
    <w:qFormat/>
    <w:uiPriority w:val="0"/>
    <w:rPr>
      <w:rFonts w:eastAsia="宋体"/>
      <w:b/>
      <w:sz w:val="21"/>
      <w:lang w:val="en-US" w:eastAsia="zh-CN" w:bidi="ar-SA"/>
    </w:rPr>
  </w:style>
  <w:style w:type="character" w:customStyle="1" w:styleId="83">
    <w:name w:val="日期 字符"/>
    <w:link w:val="22"/>
    <w:qFormat/>
    <w:uiPriority w:val="0"/>
    <w:rPr>
      <w:rFonts w:eastAsia="宋体"/>
      <w:kern w:val="2"/>
      <w:sz w:val="24"/>
      <w:lang w:val="en-US" w:eastAsia="zh-CN" w:bidi="ar-SA"/>
    </w:rPr>
  </w:style>
  <w:style w:type="character" w:customStyle="1" w:styleId="84">
    <w:name w:val="标题 5 字符"/>
    <w:link w:val="9"/>
    <w:qFormat/>
    <w:locked/>
    <w:uiPriority w:val="0"/>
    <w:rPr>
      <w:b/>
      <w:kern w:val="2"/>
      <w:sz w:val="28"/>
    </w:rPr>
  </w:style>
  <w:style w:type="character" w:customStyle="1" w:styleId="85">
    <w:name w:val="批注文字 字符"/>
    <w:link w:val="16"/>
    <w:qFormat/>
    <w:uiPriority w:val="0"/>
    <w:rPr>
      <w:kern w:val="2"/>
      <w:sz w:val="21"/>
      <w:szCs w:val="24"/>
    </w:rPr>
  </w:style>
  <w:style w:type="character" w:customStyle="1" w:styleId="86">
    <w:name w:val="标题 2 字符"/>
    <w:link w:val="5"/>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4"/>
    <w:qFormat/>
    <w:uiPriority w:val="0"/>
    <w:rPr>
      <w:rFonts w:eastAsia="宋体"/>
      <w:kern w:val="2"/>
      <w:sz w:val="21"/>
      <w:szCs w:val="24"/>
      <w:lang w:val="en-US" w:eastAsia="zh-CN" w:bidi="ar-SA"/>
    </w:rPr>
  </w:style>
  <w:style w:type="character" w:customStyle="1" w:styleId="89">
    <w:name w:val="文档结构图 字符"/>
    <w:link w:val="15"/>
    <w:qFormat/>
    <w:uiPriority w:val="0"/>
    <w:rPr>
      <w:rFonts w:ascii="宋体"/>
      <w:kern w:val="2"/>
      <w:sz w:val="18"/>
      <w:szCs w:val="18"/>
    </w:rPr>
  </w:style>
  <w:style w:type="character" w:customStyle="1" w:styleId="90">
    <w:name w:val="Balloon Text Char Char"/>
    <w:link w:val="63"/>
    <w:qFormat/>
    <w:uiPriority w:val="0"/>
    <w:rPr>
      <w:rFonts w:eastAsia="宋体"/>
      <w:sz w:val="18"/>
      <w:lang w:bidi="ar-SA"/>
    </w:rPr>
  </w:style>
  <w:style w:type="character" w:customStyle="1" w:styleId="91">
    <w:name w:val="标题 1 字符"/>
    <w:link w:val="4"/>
    <w:qFormat/>
    <w:uiPriority w:val="0"/>
    <w:rPr>
      <w:rFonts w:eastAsia="宋体"/>
      <w:b/>
      <w:bCs/>
      <w:kern w:val="44"/>
      <w:sz w:val="44"/>
      <w:szCs w:val="44"/>
      <w:lang w:val="en-US" w:eastAsia="zh-CN" w:bidi="ar-SA"/>
    </w:rPr>
  </w:style>
  <w:style w:type="character" w:customStyle="1" w:styleId="92">
    <w:name w:val="正文缩进 字符"/>
    <w:link w:val="6"/>
    <w:qFormat/>
    <w:uiPriority w:val="0"/>
    <w:rPr>
      <w:kern w:val="2"/>
      <w:sz w:val="21"/>
      <w:szCs w:val="24"/>
    </w:rPr>
  </w:style>
  <w:style w:type="character" w:customStyle="1" w:styleId="93">
    <w:name w:val="Char Char Char"/>
    <w:link w:val="66"/>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31"/>
    <w:qFormat/>
    <w:uiPriority w:val="0"/>
    <w:rPr>
      <w:rFonts w:eastAsia="仿宋_GB2312"/>
      <w:kern w:val="2"/>
      <w:sz w:val="16"/>
      <w:szCs w:val="16"/>
      <w:lang w:val="en-US" w:eastAsia="zh-CN" w:bidi="ar-SA"/>
    </w:rPr>
  </w:style>
  <w:style w:type="character" w:customStyle="1" w:styleId="97">
    <w:name w:val="样式 正文缩进 + 首行缩进:  2 字符 Char Char"/>
    <w:link w:val="53"/>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20"/>
    <w:qFormat/>
    <w:uiPriority w:val="0"/>
    <w:rPr>
      <w:rFonts w:ascii="宋体" w:hAnsi="Courier New" w:eastAsia="宋体"/>
      <w:kern w:val="2"/>
      <w:sz w:val="21"/>
      <w:lang w:val="en-US" w:eastAsia="zh-CN" w:bidi="ar-SA"/>
    </w:rPr>
  </w:style>
  <w:style w:type="character" w:customStyle="1" w:styleId="101">
    <w:name w:val="正文格式 Char"/>
    <w:link w:val="55"/>
    <w:qFormat/>
    <w:uiPriority w:val="0"/>
    <w:rPr>
      <w:rFonts w:ascii="仿宋" w:hAnsi="仿宋" w:eastAsia="仿宋"/>
      <w:kern w:val="2"/>
      <w:sz w:val="28"/>
      <w:szCs w:val="32"/>
    </w:rPr>
  </w:style>
  <w:style w:type="character" w:customStyle="1" w:styleId="102">
    <w:name w:val="正文文本缩进 2 字符"/>
    <w:link w:val="23"/>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7"/>
    <w:qFormat/>
    <w:uiPriority w:val="99"/>
    <w:rPr>
      <w:kern w:val="2"/>
      <w:sz w:val="18"/>
      <w:szCs w:val="18"/>
    </w:rPr>
  </w:style>
  <w:style w:type="character" w:customStyle="1" w:styleId="105">
    <w:name w:val="批注框文本 字符"/>
    <w:link w:val="24"/>
    <w:qFormat/>
    <w:uiPriority w:val="0"/>
    <w:rPr>
      <w:rFonts w:eastAsia="宋体"/>
      <w:kern w:val="2"/>
      <w:sz w:val="18"/>
      <w:szCs w:val="18"/>
      <w:lang w:val="en-US" w:eastAsia="zh-CN" w:bidi="ar-SA"/>
    </w:rPr>
  </w:style>
  <w:style w:type="character" w:customStyle="1" w:styleId="106">
    <w:name w:val="left"/>
    <w:basedOn w:val="40"/>
    <w:qFormat/>
    <w:uiPriority w:val="0"/>
  </w:style>
  <w:style w:type="character" w:customStyle="1" w:styleId="107">
    <w:name w:val="pubdate-day"/>
    <w:basedOn w:val="40"/>
    <w:qFormat/>
    <w:uiPriority w:val="0"/>
    <w:rPr>
      <w:shd w:val="clear" w:color="auto" w:fill="F2F2F2"/>
    </w:rPr>
  </w:style>
  <w:style w:type="character" w:customStyle="1" w:styleId="108">
    <w:name w:val="item-name6"/>
    <w:basedOn w:val="40"/>
    <w:qFormat/>
    <w:uiPriority w:val="0"/>
  </w:style>
  <w:style w:type="character" w:customStyle="1" w:styleId="109">
    <w:name w:val="item-name7"/>
    <w:basedOn w:val="40"/>
    <w:qFormat/>
    <w:uiPriority w:val="0"/>
  </w:style>
  <w:style w:type="character" w:customStyle="1" w:styleId="110">
    <w:name w:val="pubdate-month"/>
    <w:basedOn w:val="40"/>
    <w:qFormat/>
    <w:uiPriority w:val="0"/>
    <w:rPr>
      <w:color w:val="FFFFFF"/>
      <w:sz w:val="24"/>
      <w:szCs w:val="24"/>
      <w:shd w:val="clear" w:color="auto" w:fill="CC0000"/>
    </w:rPr>
  </w:style>
  <w:style w:type="character" w:customStyle="1" w:styleId="111">
    <w:name w:val="right"/>
    <w:basedOn w:val="40"/>
    <w:qFormat/>
    <w:uiPriority w:val="0"/>
  </w:style>
  <w:style w:type="character" w:customStyle="1" w:styleId="112">
    <w:name w:val="news1_meta"/>
    <w:basedOn w:val="40"/>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40"/>
    <w:qFormat/>
    <w:uiPriority w:val="0"/>
    <w:rPr>
      <w:rFonts w:hint="eastAsia" w:ascii="微软雅黑" w:hAnsi="微软雅黑" w:eastAsia="微软雅黑" w:cs="微软雅黑"/>
      <w:color w:val="000000"/>
      <w:sz w:val="16"/>
      <w:szCs w:val="16"/>
      <w:u w:val="none"/>
    </w:rPr>
  </w:style>
  <w:style w:type="character" w:customStyle="1" w:styleId="116">
    <w:name w:val="font01"/>
    <w:basedOn w:val="40"/>
    <w:qFormat/>
    <w:uiPriority w:val="0"/>
    <w:rPr>
      <w:rFonts w:hint="eastAsia" w:ascii="宋体" w:hAnsi="宋体" w:eastAsia="宋体" w:cs="宋体"/>
      <w:color w:val="000000"/>
      <w:sz w:val="16"/>
      <w:szCs w:val="16"/>
      <w:u w:val="none"/>
    </w:rPr>
  </w:style>
  <w:style w:type="character" w:customStyle="1" w:styleId="117">
    <w:name w:val="font11"/>
    <w:basedOn w:val="40"/>
    <w:qFormat/>
    <w:uiPriority w:val="0"/>
    <w:rPr>
      <w:rFonts w:hint="default" w:ascii="Calibri" w:hAnsi="Calibri" w:cs="Calibri"/>
      <w:color w:val="000000"/>
      <w:sz w:val="16"/>
      <w:szCs w:val="16"/>
      <w:u w:val="none"/>
    </w:rPr>
  </w:style>
  <w:style w:type="character" w:customStyle="1" w:styleId="118">
    <w:name w:val="font21"/>
    <w:basedOn w:val="40"/>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character" w:customStyle="1" w:styleId="120">
    <w:name w:val="fontstyle01"/>
    <w:qFormat/>
    <w:uiPriority w:val="0"/>
    <w:rPr>
      <w:rFonts w:hint="eastAsia" w:ascii="宋体" w:hAnsi="宋体" w:eastAsia="宋体" w:cs="宋体"/>
      <w:color w:val="333333"/>
      <w:sz w:val="44"/>
      <w:szCs w:val="44"/>
    </w:rPr>
  </w:style>
  <w:style w:type="character" w:customStyle="1" w:styleId="121">
    <w:name w:val="font51"/>
    <w:basedOn w:val="40"/>
    <w:qFormat/>
    <w:uiPriority w:val="0"/>
    <w:rPr>
      <w:rFonts w:hint="eastAsia" w:ascii="宋体" w:hAnsi="宋体" w:eastAsia="宋体" w:cs="宋体"/>
      <w:b/>
      <w:bCs/>
      <w:color w:val="FF0000"/>
      <w:sz w:val="16"/>
      <w:szCs w:val="16"/>
      <w:u w:val="none"/>
    </w:rPr>
  </w:style>
  <w:style w:type="character" w:customStyle="1" w:styleId="122">
    <w:name w:val="font61"/>
    <w:basedOn w:val="40"/>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39</Pages>
  <Words>19854</Words>
  <Characters>20657</Characters>
  <Lines>137</Lines>
  <Paragraphs>38</Paragraphs>
  <TotalTime>2</TotalTime>
  <ScaleCrop>false</ScaleCrop>
  <LinksUpToDate>false</LinksUpToDate>
  <CharactersWithSpaces>22123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2023-07-14T04:12:43Z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8A9B3B72DB9249BD880D655ACCAFEBFA_13</vt:lpwstr>
  </property>
</Properties>
</file>