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eastAsia="宋体"/>
          <w:color w:val="auto"/>
          <w:sz w:val="24"/>
          <w:lang w:eastAsia="zh-CN"/>
        </w:rPr>
      </w:pPr>
      <w:r>
        <w:rPr>
          <w:rFonts w:hint="eastAsia"/>
          <w:sz w:val="28"/>
          <w:szCs w:val="28"/>
        </w:rPr>
        <w:t>项目名称：</w:t>
      </w:r>
      <w:bookmarkStart w:id="14" w:name="_GoBack"/>
      <w:r>
        <w:rPr>
          <w:rFonts w:hint="eastAsia" w:ascii="宋体" w:hAnsi="宋体"/>
          <w:color w:val="auto"/>
          <w:sz w:val="24"/>
          <w:lang w:val="zh-CN"/>
        </w:rPr>
        <w:t>兰州职业技术学院</w:t>
      </w:r>
      <w:r>
        <w:rPr>
          <w:rFonts w:hint="eastAsia" w:ascii="宋体" w:hAnsi="宋体"/>
          <w:color w:val="auto"/>
          <w:sz w:val="24"/>
        </w:rPr>
        <w:t>汽车工程与交通运输系综合实训大楼搬迁补充设备</w:t>
      </w:r>
    </w:p>
    <w:bookmarkEnd w:id="14"/>
    <w:p>
      <w:pPr>
        <w:ind w:firstLine="560" w:firstLineChars="200"/>
        <w:jc w:val="left"/>
        <w:rPr>
          <w:rFonts w:hint="default" w:eastAsia="宋体"/>
          <w:sz w:val="28"/>
          <w:szCs w:val="28"/>
          <w:lang w:val="en-US" w:eastAsia="zh-CN"/>
        </w:rPr>
      </w:pPr>
      <w:r>
        <w:rPr>
          <w:rFonts w:hint="eastAsia"/>
          <w:sz w:val="28"/>
          <w:szCs w:val="28"/>
        </w:rPr>
        <w:t>项目编号：LZXJ--20200</w:t>
      </w:r>
      <w:r>
        <w:rPr>
          <w:rFonts w:hint="eastAsia"/>
          <w:sz w:val="28"/>
          <w:szCs w:val="28"/>
          <w:lang w:val="en-US" w:eastAsia="zh-CN"/>
        </w:rPr>
        <w:t>22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20</w:t>
      </w:r>
      <w:r>
        <w:rPr>
          <w:rFonts w:hint="eastAsia"/>
          <w:sz w:val="28"/>
          <w:szCs w:val="28"/>
        </w:rPr>
        <w:t>年</w:t>
      </w:r>
      <w:r>
        <w:rPr>
          <w:rFonts w:hint="eastAsia"/>
          <w:sz w:val="28"/>
          <w:szCs w:val="28"/>
          <w:lang w:val="en-US" w:eastAsia="zh-CN"/>
        </w:rPr>
        <w:t>11</w:t>
      </w:r>
      <w:r>
        <w:rPr>
          <w:rFonts w:hint="eastAsia"/>
          <w:sz w:val="28"/>
          <w:szCs w:val="28"/>
        </w:rPr>
        <w:t>月</w:t>
      </w:r>
      <w:r>
        <w:rPr>
          <w:rFonts w:hint="eastAsia"/>
          <w:sz w:val="28"/>
          <w:szCs w:val="28"/>
          <w:lang w:val="en-US" w:eastAsia="zh-CN"/>
        </w:rPr>
        <w:t>13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color w:val="auto"/>
          <w:sz w:val="24"/>
        </w:rPr>
      </w:pPr>
      <w:r>
        <w:rPr>
          <w:rFonts w:hint="eastAsia" w:ascii="宋体" w:hAnsi="宋体" w:cs="宋体"/>
          <w:color w:val="auto"/>
          <w:sz w:val="24"/>
        </w:rPr>
        <w:t>根据</w:t>
      </w:r>
      <w:r>
        <w:rPr>
          <w:rFonts w:hint="eastAsia" w:ascii="宋体" w:hAnsi="宋体"/>
          <w:color w:val="auto"/>
          <w:sz w:val="24"/>
        </w:rPr>
        <w:t>兰州职业技术学院</w:t>
      </w:r>
      <w:r>
        <w:rPr>
          <w:rFonts w:hint="eastAsia" w:ascii="宋体" w:hAnsi="宋体"/>
          <w:color w:val="auto"/>
          <w:sz w:val="24"/>
          <w:lang w:eastAsia="zh-CN"/>
        </w:rPr>
        <w:t>学生参赛需求</w:t>
      </w:r>
      <w:r>
        <w:rPr>
          <w:rFonts w:hint="eastAsia" w:ascii="宋体" w:hAnsi="宋体"/>
          <w:color w:val="auto"/>
          <w:sz w:val="24"/>
        </w:rPr>
        <w:t>，现拟对</w:t>
      </w:r>
      <w:r>
        <w:rPr>
          <w:rFonts w:hint="eastAsia" w:ascii="宋体" w:hAnsi="宋体"/>
          <w:color w:val="auto"/>
          <w:sz w:val="24"/>
          <w:lang w:val="zh-CN"/>
        </w:rPr>
        <w:t>兰州职业技术学院</w:t>
      </w:r>
      <w:r>
        <w:rPr>
          <w:rFonts w:hint="eastAsia" w:ascii="宋体" w:hAnsi="宋体"/>
          <w:color w:val="auto"/>
          <w:sz w:val="24"/>
        </w:rPr>
        <w:t>汽车工程与交通运输系综合实训大楼搬迁补充设备</w:t>
      </w:r>
      <w:r>
        <w:rPr>
          <w:rFonts w:hint="eastAsia"/>
          <w:color w:val="auto"/>
          <w:sz w:val="24"/>
          <w:lang w:val="en-US" w:eastAsia="zh-CN"/>
        </w:rPr>
        <w:t>项目</w:t>
      </w:r>
      <w:r>
        <w:rPr>
          <w:rFonts w:hint="eastAsia" w:ascii="宋体" w:hAnsi="宋体"/>
          <w:color w:val="auto"/>
          <w:sz w:val="24"/>
        </w:rPr>
        <w:t>进行询价采购。欢迎满足资格要求的供应商前来参加，具体事宜公告如下：</w:t>
      </w:r>
    </w:p>
    <w:p>
      <w:pPr>
        <w:spacing w:line="360" w:lineRule="auto"/>
        <w:rPr>
          <w:rFonts w:hint="default" w:ascii="宋体" w:hAnsi="宋体" w:eastAsia="宋体"/>
          <w:color w:val="auto"/>
          <w:sz w:val="24"/>
          <w:lang w:val="en-US" w:eastAsia="zh-CN"/>
        </w:rPr>
      </w:pPr>
      <w:r>
        <w:rPr>
          <w:rFonts w:hint="eastAsia" w:ascii="宋体" w:hAnsi="宋体"/>
          <w:color w:val="auto"/>
          <w:sz w:val="24"/>
        </w:rPr>
        <w:t>一、采购项目编号：LZXJ--20200</w:t>
      </w:r>
      <w:r>
        <w:rPr>
          <w:rFonts w:hint="eastAsia" w:ascii="宋体" w:hAnsi="宋体"/>
          <w:color w:val="auto"/>
          <w:sz w:val="24"/>
          <w:lang w:val="en-US" w:eastAsia="zh-CN"/>
        </w:rPr>
        <w:t>22</w:t>
      </w:r>
    </w:p>
    <w:p>
      <w:pPr>
        <w:spacing w:line="360" w:lineRule="auto"/>
        <w:rPr>
          <w:rFonts w:hint="eastAsia" w:ascii="宋体" w:hAnsi="宋体"/>
          <w:color w:val="auto"/>
          <w:sz w:val="24"/>
          <w:lang w:val="en-US" w:eastAsia="zh-CN"/>
        </w:rPr>
      </w:pPr>
      <w:r>
        <w:rPr>
          <w:rFonts w:hint="eastAsia" w:ascii="宋体" w:hAnsi="宋体"/>
          <w:color w:val="auto"/>
          <w:sz w:val="24"/>
        </w:rPr>
        <w:t>二、采购项目名称：</w:t>
      </w:r>
      <w:r>
        <w:rPr>
          <w:rFonts w:hint="eastAsia" w:ascii="宋体" w:hAnsi="宋体"/>
          <w:color w:val="auto"/>
          <w:sz w:val="24"/>
          <w:lang w:val="zh-CN"/>
        </w:rPr>
        <w:t>兰州职业技术学院</w:t>
      </w:r>
      <w:r>
        <w:rPr>
          <w:rFonts w:hint="eastAsia" w:ascii="宋体" w:hAnsi="宋体"/>
          <w:color w:val="auto"/>
          <w:sz w:val="24"/>
        </w:rPr>
        <w:t>汽车工程与交通运输系综合实训大楼搬迁补充设备</w:t>
      </w:r>
    </w:p>
    <w:p>
      <w:pPr>
        <w:spacing w:line="360" w:lineRule="auto"/>
        <w:rPr>
          <w:rFonts w:ascii="宋体" w:hAnsi="宋体"/>
          <w:color w:val="auto"/>
          <w:sz w:val="24"/>
        </w:rPr>
      </w:pPr>
      <w:r>
        <w:rPr>
          <w:rFonts w:hint="eastAsia" w:ascii="宋体" w:hAnsi="宋体"/>
          <w:color w:val="auto"/>
          <w:sz w:val="24"/>
        </w:rPr>
        <w:t>三、采购方式：询价采购</w:t>
      </w:r>
    </w:p>
    <w:p>
      <w:pPr>
        <w:spacing w:line="360" w:lineRule="auto"/>
        <w:rPr>
          <w:rFonts w:ascii="宋体" w:hAnsi="宋体"/>
          <w:color w:val="auto"/>
          <w:sz w:val="24"/>
        </w:rPr>
      </w:pPr>
      <w:r>
        <w:rPr>
          <w:rFonts w:hint="eastAsia" w:ascii="宋体" w:hAnsi="宋体"/>
          <w:color w:val="auto"/>
          <w:sz w:val="24"/>
        </w:rPr>
        <w:t>四、采购内容及预算金额：</w:t>
      </w:r>
    </w:p>
    <w:p>
      <w:pPr>
        <w:spacing w:line="360" w:lineRule="auto"/>
        <w:rPr>
          <w:rFonts w:hint="eastAsia" w:ascii="宋体" w:hAnsi="宋体"/>
          <w:color w:val="auto"/>
          <w:sz w:val="24"/>
        </w:rPr>
      </w:pPr>
      <w:r>
        <w:rPr>
          <w:rFonts w:hint="eastAsia" w:ascii="宋体" w:hAnsi="宋体"/>
          <w:color w:val="auto"/>
          <w:sz w:val="24"/>
        </w:rPr>
        <w:t xml:space="preserve">   1.综合实训大楼搬迁补充设备</w:t>
      </w:r>
    </w:p>
    <w:p>
      <w:pPr>
        <w:spacing w:line="360" w:lineRule="auto"/>
        <w:rPr>
          <w:rFonts w:ascii="宋体" w:hAnsi="宋体"/>
          <w:color w:val="auto"/>
          <w:sz w:val="24"/>
        </w:rPr>
      </w:pPr>
      <w:r>
        <w:rPr>
          <w:rFonts w:hint="eastAsia" w:ascii="宋体" w:hAnsi="宋体"/>
          <w:color w:val="auto"/>
          <w:sz w:val="24"/>
        </w:rPr>
        <w:t xml:space="preserve">   2.预算金额：</w:t>
      </w:r>
      <w:r>
        <w:rPr>
          <w:rFonts w:hint="eastAsia" w:ascii="宋体" w:hAnsi="宋体"/>
          <w:color w:val="auto"/>
          <w:sz w:val="24"/>
          <w:lang w:val="en-US" w:eastAsia="zh-CN"/>
        </w:rPr>
        <w:t>199777</w:t>
      </w:r>
      <w:r>
        <w:rPr>
          <w:rFonts w:hint="eastAsia" w:ascii="宋体" w:hAnsi="宋体"/>
          <w:color w:val="auto"/>
          <w:sz w:val="24"/>
        </w:rPr>
        <w:t>元</w:t>
      </w:r>
    </w:p>
    <w:p>
      <w:pPr>
        <w:spacing w:line="360" w:lineRule="auto"/>
        <w:rPr>
          <w:rFonts w:ascii="宋体" w:hAnsi="宋体"/>
          <w:color w:val="auto"/>
          <w:sz w:val="24"/>
        </w:rPr>
      </w:pPr>
      <w:r>
        <w:rPr>
          <w:rFonts w:hint="eastAsia" w:ascii="宋体" w:hAnsi="宋体"/>
          <w:color w:val="auto"/>
          <w:sz w:val="24"/>
        </w:rPr>
        <w:t>五、资质要求（商务部分）：</w:t>
      </w:r>
    </w:p>
    <w:p>
      <w:pPr>
        <w:spacing w:line="360" w:lineRule="auto"/>
        <w:ind w:firstLine="472" w:firstLineChars="197"/>
        <w:rPr>
          <w:rFonts w:ascii="宋体" w:hAnsi="宋体"/>
          <w:color w:val="auto"/>
          <w:sz w:val="24"/>
        </w:rPr>
      </w:pPr>
      <w:r>
        <w:rPr>
          <w:rFonts w:hint="eastAsia" w:ascii="宋体" w:hAnsi="宋体"/>
          <w:color w:val="auto"/>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color w:val="auto"/>
          <w:sz w:val="24"/>
        </w:rPr>
        <w:t>2. 供应商应是在中华人民共和国境内注册取得营业执照</w:t>
      </w:r>
      <w:r>
        <w:rPr>
          <w:rFonts w:hint="eastAsia" w:ascii="宋体" w:hAnsi="宋体"/>
          <w:sz w:val="24"/>
        </w:rPr>
        <w:t>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11</w:t>
      </w:r>
      <w:r>
        <w:rPr>
          <w:rFonts w:hint="eastAsia" w:ascii="宋体" w:hAnsi="宋体"/>
          <w:color w:val="auto"/>
          <w:sz w:val="24"/>
        </w:rPr>
        <w:t>月</w:t>
      </w:r>
      <w:r>
        <w:rPr>
          <w:rFonts w:hint="eastAsia" w:ascii="宋体" w:hAnsi="宋体"/>
          <w:color w:val="auto"/>
          <w:sz w:val="24"/>
          <w:lang w:val="en-US" w:eastAsia="zh-CN"/>
        </w:rPr>
        <w:t>18</w:t>
      </w:r>
      <w:r>
        <w:rPr>
          <w:rFonts w:hint="eastAsia" w:ascii="宋体" w:hAnsi="宋体"/>
          <w:color w:val="auto"/>
          <w:sz w:val="24"/>
        </w:rPr>
        <w:t>日上午</w:t>
      </w:r>
      <w:r>
        <w:rPr>
          <w:rFonts w:hint="eastAsia" w:ascii="宋体" w:hAnsi="宋体"/>
          <w:color w:val="auto"/>
          <w:sz w:val="24"/>
          <w:lang w:val="en-US" w:eastAsia="zh-CN"/>
        </w:rPr>
        <w:t>10</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20</w:t>
      </w:r>
      <w:r>
        <w:rPr>
          <w:rFonts w:ascii="宋体" w:hAnsi="宋体"/>
          <w:color w:val="auto"/>
          <w:sz w:val="24"/>
        </w:rPr>
        <w:t>年</w:t>
      </w:r>
      <w:r>
        <w:rPr>
          <w:rFonts w:hint="eastAsia" w:ascii="宋体" w:hAnsi="宋体"/>
          <w:color w:val="auto"/>
          <w:sz w:val="24"/>
          <w:lang w:val="en-US" w:eastAsia="zh-CN"/>
        </w:rPr>
        <w:t>11</w:t>
      </w:r>
      <w:r>
        <w:rPr>
          <w:rFonts w:ascii="宋体" w:hAnsi="宋体"/>
          <w:color w:val="auto"/>
          <w:sz w:val="24"/>
        </w:rPr>
        <w:t>月</w:t>
      </w:r>
      <w:r>
        <w:rPr>
          <w:rFonts w:hint="eastAsia" w:ascii="宋体" w:hAnsi="宋体"/>
          <w:color w:val="auto"/>
          <w:sz w:val="24"/>
          <w:lang w:val="en-US" w:eastAsia="zh-CN"/>
        </w:rPr>
        <w:t>13</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p/>
    <w:tbl>
      <w:tblPr>
        <w:tblStyle w:val="20"/>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887"/>
        <w:gridCol w:w="5706"/>
        <w:gridCol w:w="960"/>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jc w:val="center"/>
              <w:rPr>
                <w:rFonts w:hint="eastAsia" w:eastAsiaTheme="minorEastAsia"/>
                <w:b/>
                <w:bCs/>
                <w:color w:val="auto"/>
                <w:sz w:val="28"/>
                <w:szCs w:val="28"/>
                <w:highlight w:val="none"/>
                <w:vertAlign w:val="baseline"/>
                <w:lang w:val="en-US" w:eastAsia="zh-CN"/>
              </w:rPr>
            </w:pPr>
            <w:r>
              <w:rPr>
                <w:rFonts w:hint="eastAsia"/>
                <w:b/>
                <w:bCs/>
                <w:color w:val="auto"/>
                <w:sz w:val="28"/>
                <w:szCs w:val="28"/>
                <w:highlight w:val="none"/>
                <w:vertAlign w:val="baseline"/>
                <w:lang w:val="en-US" w:eastAsia="zh-CN"/>
              </w:rPr>
              <w:t>序号</w:t>
            </w:r>
          </w:p>
        </w:tc>
        <w:tc>
          <w:tcPr>
            <w:tcW w:w="887" w:type="dxa"/>
          </w:tcPr>
          <w:p>
            <w:pPr>
              <w:widowControl w:val="0"/>
              <w:jc w:val="center"/>
              <w:rPr>
                <w:rFonts w:hint="eastAsia" w:eastAsiaTheme="minorEastAsia"/>
                <w:b/>
                <w:bCs/>
                <w:color w:val="auto"/>
                <w:sz w:val="28"/>
                <w:szCs w:val="28"/>
                <w:highlight w:val="none"/>
                <w:vertAlign w:val="baseline"/>
                <w:lang w:eastAsia="zh-CN"/>
              </w:rPr>
            </w:pPr>
            <w:r>
              <w:rPr>
                <w:rFonts w:hint="eastAsia"/>
                <w:b/>
                <w:bCs/>
                <w:color w:val="auto"/>
                <w:sz w:val="28"/>
                <w:szCs w:val="28"/>
                <w:highlight w:val="none"/>
                <w:vertAlign w:val="baseline"/>
                <w:lang w:eastAsia="zh-CN"/>
              </w:rPr>
              <w:t>设备名称</w:t>
            </w:r>
          </w:p>
        </w:tc>
        <w:tc>
          <w:tcPr>
            <w:tcW w:w="5706" w:type="dxa"/>
          </w:tcPr>
          <w:p>
            <w:pPr>
              <w:widowControl w:val="0"/>
              <w:jc w:val="center"/>
              <w:rPr>
                <w:rFonts w:hint="eastAsia" w:eastAsiaTheme="minorEastAsia"/>
                <w:b/>
                <w:bCs/>
                <w:color w:val="auto"/>
                <w:sz w:val="28"/>
                <w:szCs w:val="28"/>
                <w:highlight w:val="none"/>
                <w:vertAlign w:val="baseline"/>
                <w:lang w:eastAsia="zh-CN"/>
              </w:rPr>
            </w:pPr>
            <w:r>
              <w:rPr>
                <w:rFonts w:hint="eastAsia"/>
                <w:b/>
                <w:bCs/>
                <w:color w:val="auto"/>
                <w:sz w:val="28"/>
                <w:szCs w:val="28"/>
                <w:highlight w:val="none"/>
                <w:vertAlign w:val="baseline"/>
                <w:lang w:eastAsia="zh-CN"/>
              </w:rPr>
              <w:t>产品技术参数</w:t>
            </w:r>
          </w:p>
        </w:tc>
        <w:tc>
          <w:tcPr>
            <w:tcW w:w="960" w:type="dxa"/>
            <w:vAlign w:val="top"/>
          </w:tcPr>
          <w:p>
            <w:pPr>
              <w:widowControl w:val="0"/>
              <w:jc w:val="center"/>
              <w:rPr>
                <w:rFonts w:hint="eastAsia" w:eastAsiaTheme="minorEastAsia"/>
                <w:b/>
                <w:bCs/>
                <w:color w:val="auto"/>
                <w:sz w:val="28"/>
                <w:szCs w:val="28"/>
                <w:highlight w:val="none"/>
                <w:vertAlign w:val="baseline"/>
                <w:lang w:eastAsia="zh-CN"/>
              </w:rPr>
            </w:pPr>
            <w:r>
              <w:rPr>
                <w:rFonts w:hint="eastAsia"/>
                <w:b/>
                <w:bCs/>
                <w:color w:val="auto"/>
                <w:sz w:val="28"/>
                <w:szCs w:val="28"/>
                <w:highlight w:val="none"/>
                <w:vertAlign w:val="baseline"/>
                <w:lang w:eastAsia="zh-CN"/>
              </w:rPr>
              <w:t>数量</w:t>
            </w:r>
          </w:p>
        </w:tc>
        <w:tc>
          <w:tcPr>
            <w:tcW w:w="915" w:type="dxa"/>
            <w:vAlign w:val="top"/>
          </w:tcPr>
          <w:p>
            <w:pPr>
              <w:widowControl w:val="0"/>
              <w:jc w:val="center"/>
              <w:rPr>
                <w:rFonts w:hint="eastAsia" w:ascii="Times New Roman" w:hAnsi="Times New Roman" w:cs="Times New Roman" w:eastAsiaTheme="minorEastAsia"/>
                <w:b/>
                <w:bCs/>
                <w:color w:val="auto"/>
                <w:kern w:val="2"/>
                <w:sz w:val="28"/>
                <w:szCs w:val="28"/>
                <w:highlight w:val="none"/>
                <w:vertAlign w:val="baseline"/>
                <w:lang w:val="en-US" w:eastAsia="zh-CN" w:bidi="ar-SA"/>
              </w:rPr>
            </w:pPr>
            <w:r>
              <w:rPr>
                <w:rFonts w:hint="eastAsia"/>
                <w:b/>
                <w:bCs/>
                <w:color w:val="auto"/>
                <w:sz w:val="28"/>
                <w:szCs w:val="28"/>
                <w:highlight w:val="none"/>
                <w:vertAlign w:val="baseline"/>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eastAsia" w:eastAsiaTheme="minorEastAsia"/>
                <w:vertAlign w:val="baseline"/>
                <w:lang w:val="en-US" w:eastAsia="zh-CN"/>
              </w:rPr>
            </w:pPr>
            <w:r>
              <w:rPr>
                <w:rFonts w:hint="eastAsia"/>
                <w:vertAlign w:val="baseline"/>
                <w:lang w:val="en-US" w:eastAsia="zh-CN"/>
              </w:rPr>
              <w:t>1</w:t>
            </w:r>
          </w:p>
        </w:tc>
        <w:tc>
          <w:tcPr>
            <w:tcW w:w="88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发动机翻转架</w:t>
            </w:r>
          </w:p>
        </w:tc>
        <w:tc>
          <w:tcPr>
            <w:tcW w:w="5706"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通用于各种车型，支架带万向轮4个，可做360°翻转</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方便教学。</w:t>
            </w:r>
          </w:p>
        </w:tc>
        <w:tc>
          <w:tcPr>
            <w:tcW w:w="960"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color w:val="000000"/>
                <w:kern w:val="0"/>
                <w:sz w:val="22"/>
                <w:szCs w:val="22"/>
                <w:u w:val="none"/>
                <w:lang w:val="en-US" w:eastAsia="zh-CN" w:bidi="ar"/>
              </w:rPr>
              <w:t>9</w:t>
            </w:r>
          </w:p>
        </w:tc>
        <w:tc>
          <w:tcPr>
            <w:tcW w:w="915" w:type="dxa"/>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color w:val="000000"/>
                <w:kern w:val="0"/>
                <w:sz w:val="22"/>
                <w:szCs w:val="22"/>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eastAsia" w:eastAsiaTheme="minorEastAsia"/>
                <w:vertAlign w:val="baseline"/>
                <w:lang w:val="en-US" w:eastAsia="zh-CN"/>
              </w:rPr>
            </w:pPr>
            <w:r>
              <w:rPr>
                <w:rFonts w:hint="eastAsia"/>
                <w:vertAlign w:val="baseline"/>
                <w:lang w:val="en-US" w:eastAsia="zh-CN"/>
              </w:rPr>
              <w:t>2</w:t>
            </w:r>
          </w:p>
        </w:tc>
        <w:tc>
          <w:tcPr>
            <w:tcW w:w="88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工具车及工具</w:t>
            </w:r>
          </w:p>
        </w:tc>
        <w:tc>
          <w:tcPr>
            <w:tcW w:w="5706"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六抽屉工具车包含工具368件套：</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通用类机修组套,可以满足修理厂和快修店大部分的日常维修保养工作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第一层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20件 12.5MM系列6角套筒(8,9,10,11,12,13,14,15,16,17,18,19,20,21,22,23,24,27,30,32MM)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14件 12.5MM系列6角长套筒(10,11,12,13,14,15,16,17,18,19,20,21,22,24MM)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20件 12.5MM系列12角套筒(8,9,10,11,12,13,14,15,16,17,18,19,20,21,22,23,24,27,30,32MM)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4件 12.5MM系列12角长套筒(10,12,13,14MM)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4件 1/2"系列六角风动套筒(17,19,21,23MM)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12.5MM系列专业快速脱落棘轮扳手10"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12.5MM系列L形扳手10"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12.5MM系列滑行杆10"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12.5MM系列万向接头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12.5MM系列转接头(1/2"方孔x3/8"方头)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12.5MM系列三用接头(1/2"方孔x3/8"方头)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2件 12.5MM系列转向接杆(5",10")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12.5MM系列旋具头接头5/16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第二层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23件 全抛光两用扳手(6,7,8,9,10,11,12,13,14,15,16,17,18,19,20,21,22,23,24,25,27,30,32MM)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13件 全抛光双开口扳手(6x7,8x10,10x12,12x14,13x15,13x16,14x17,16x18,17x19,19x21,22x24,24x27,30x32MM)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第三层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德式轴用直口卡簧钳7"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德式轴用曲口卡簧钳7"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德式穴用直口卡簧钳7"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德式穴用曲口卡簧钳7"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尖嘴钳6"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斜嘴钳6"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钢丝钳8"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鲤鱼钳8"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圆口带刃大力钳10"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A系列一字穿心螺丝批6x150MM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A系列十字穿心螺丝批#2x150MM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4件 A系列一字形螺丝批(3.2x75,5x100,6x38,6x100MM)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4件 A系列十字形螺丝批(#0x75,#1x75,#2x38,#2x100MM)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凯锐系列钢卷尺5Mx19MM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第四层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7件 8MM系列70MM长六角旋具头(4,5,6,7,8,10,12MM)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5件 8MM系列70MM长12角旋具头(M5,M6,M8,M10,M12)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8件 8MM系列70MM长花形旋具头(T20,T25,T27,T30,T40,T45,T50,T55)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7件 8MM系列30MM长六角旋具头(4,5,6,7,8,10,12MM)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5件 8MM系列30MM长12角旋具头(M5,M6,M8,M10,M12)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6件 8MM系列30MM长中孔花形旋具头(TT20,TT25,TT30,TT40,TT45,TT50)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10MM系列旋具头接头5/16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12件 10MM系列6角套筒(8,9,10,11,12,13,14,15,16,17,18,19MM)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10件 10MM系列6角长套筒(8,9,10,11,12,13,14,15,17,19MM)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8件 10MM系列6角花形套筒(E8,E10,E11,E12,E14,E16,E18,E20)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9件 10MM系列花形旋具套筒(T10,T15,T20,T25,T27,T30,T40,T45,T50)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7件 10MM系列六角旋具套筒(3,4,5,6,7,8,10MM)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3件 10MM系列十字形旋具套筒(#1,#2,#3)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2件 10MM系列一字形旋具套筒(5.5,6.5MM)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13件 6.3MM系列6角套筒(4,4.5,5,5.5,6,7,8,9,10,11,12,13,14MM)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10件 6.3MM系列6角长套筒(4,5,6,7,8,9,10,11,12,13MM)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6件 6.3MM系列六角旋具套筒(3,4,5,6,7,8MM)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3件 6.3MM系列十字形旋具套筒(#1,#2,#3)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3件 6.3MM系列米字形旋具套筒(#1,#2,#3)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3件 6.3MM系列一字形旋具套筒(4,5.5,6.5MM)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7件 6.3MM系列花形旋具套筒(T8,T10,T15,T20,T25,T30,T40)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10MM系列专业快速脱落棘轮扳手8"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3件 10MM系列转向接杆(3",6",10")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10MM系列滑行杆8"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10MM系列万向接头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10MM系列转接头(3/8"方孔x1/4"方头)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10MM系列转接头(3/8"方孔x1/2"方头)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2件 10MM系列火花塞套筒(16,21MM)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10MM系列12角薄壁火花塞套筒14MM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10MM系列三用接头(3/8"方孔x1/2"方头)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6.3MM系列专业快速脱落棘轮扳手5"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2件 6.3MM系列转向接杆(2",4")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6.3MM系列滑行杆4"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6.3MM系列旋柄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6.3MM系列万向接头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6.3MM系列转接头(1/4"方孔x3/8"方头)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6.3MM系列可弯式接头6"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M16油底壳放油旋具套筒(带孔)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H17油底壳旋具套筒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T52发动机缸盖螺丝专用旋具套筒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第五层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11件 全抛光双梅花扳手(10x12,12x14,13x15,13x16,14x17,16x18,17x19,19x21,19x22,22x24,24x27MM)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2件 T系列一字形穿心螺丝批(8x150,8x200MM)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2件 T系列十字形穿心螺丝批(#3x150,#3x200MM)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12件 全抛光烟斗扳手(6,7,8,9,10,11,12,13,14,15,16,17MM)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活动扳手10"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第六层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柔性磁性捡拾器400MMx1KG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撬卡起子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5件 内饰件拆卸工具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9件 特长球头内六角扳手组套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9件 加长中孔花形扳手组套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5件套样冲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5件细牙断丝取出器组套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汽车测电笔6V/12V/24V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吹尘枪100MM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塑柄推钮美工刀13节9x80MM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玻璃纤维柄圆头锤1.5磅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软性防震橡皮锤55MM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14件套塞尺0.05-1.00MM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1件 两用滤清器扳手63-102MM     </w:t>
            </w:r>
          </w:p>
        </w:tc>
        <w:tc>
          <w:tcPr>
            <w:tcW w:w="960"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color w:val="000000"/>
                <w:kern w:val="0"/>
                <w:sz w:val="22"/>
                <w:szCs w:val="22"/>
                <w:u w:val="none"/>
                <w:lang w:val="en-US" w:eastAsia="zh-CN" w:bidi="ar"/>
              </w:rPr>
              <w:t>10</w:t>
            </w:r>
          </w:p>
        </w:tc>
        <w:tc>
          <w:tcPr>
            <w:tcW w:w="915" w:type="dxa"/>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color w:val="000000"/>
                <w:kern w:val="0"/>
                <w:sz w:val="22"/>
                <w:szCs w:val="22"/>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eastAsia" w:eastAsiaTheme="minorEastAsia"/>
                <w:vertAlign w:val="baseline"/>
                <w:lang w:val="en-US" w:eastAsia="zh-CN"/>
              </w:rPr>
            </w:pPr>
            <w:r>
              <w:rPr>
                <w:rFonts w:hint="eastAsia"/>
                <w:vertAlign w:val="baseline"/>
                <w:lang w:val="en-US" w:eastAsia="zh-CN"/>
              </w:rPr>
              <w:t>3</w:t>
            </w:r>
          </w:p>
        </w:tc>
        <w:tc>
          <w:tcPr>
            <w:tcW w:w="88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举升机安装（改造）</w:t>
            </w:r>
          </w:p>
        </w:tc>
        <w:tc>
          <w:tcPr>
            <w:tcW w:w="5706"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1、钢板：2.8m*3.5m*14mm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2、角铁5*5cm/6m。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3.施工安装及配套辅料</w:t>
            </w:r>
          </w:p>
        </w:tc>
        <w:tc>
          <w:tcPr>
            <w:tcW w:w="960"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color w:val="000000"/>
                <w:kern w:val="0"/>
                <w:sz w:val="22"/>
                <w:szCs w:val="22"/>
                <w:u w:val="none"/>
                <w:lang w:val="en-US" w:eastAsia="zh-CN" w:bidi="ar"/>
              </w:rPr>
              <w:t>6</w:t>
            </w:r>
          </w:p>
        </w:tc>
        <w:tc>
          <w:tcPr>
            <w:tcW w:w="915" w:type="dxa"/>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color w:val="000000"/>
                <w:kern w:val="0"/>
                <w:sz w:val="22"/>
                <w:szCs w:val="22"/>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eastAsia" w:eastAsiaTheme="minorEastAsia"/>
                <w:vertAlign w:val="baseline"/>
                <w:lang w:val="en-US" w:eastAsia="zh-CN"/>
              </w:rPr>
            </w:pPr>
            <w:r>
              <w:rPr>
                <w:rFonts w:hint="eastAsia"/>
                <w:vertAlign w:val="baseline"/>
                <w:lang w:val="en-US" w:eastAsia="zh-CN"/>
              </w:rPr>
              <w:t>4</w:t>
            </w:r>
          </w:p>
        </w:tc>
        <w:tc>
          <w:tcPr>
            <w:tcW w:w="88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移动式尾排</w:t>
            </w:r>
          </w:p>
        </w:tc>
        <w:tc>
          <w:tcPr>
            <w:tcW w:w="5706"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名称：地面移动小车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适用范围：大、中、小型汽车修理厂、维修车间、汽车4S站等领域。</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主要配置：移动小车、橡胶软管、橡胶吸嘴、风机、过滤器。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主要特点：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1、结构简单、使用方便，适用于固定车辆废气抽排。</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2、底座可以360度旋转，带有两只刹车轮，可在任意一个角度上定位。</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3、可做360度旋转。</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4、风机0.55KW，采用220V电源、零线接地。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w:t>
            </w:r>
          </w:p>
        </w:tc>
        <w:tc>
          <w:tcPr>
            <w:tcW w:w="960"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color w:val="000000"/>
                <w:kern w:val="0"/>
                <w:sz w:val="22"/>
                <w:szCs w:val="22"/>
                <w:u w:val="none"/>
                <w:lang w:val="en-US" w:eastAsia="zh-CN" w:bidi="ar"/>
              </w:rPr>
              <w:t>3</w:t>
            </w:r>
          </w:p>
        </w:tc>
        <w:tc>
          <w:tcPr>
            <w:tcW w:w="915" w:type="dxa"/>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color w:val="000000"/>
                <w:kern w:val="0"/>
                <w:sz w:val="22"/>
                <w:szCs w:val="22"/>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eastAsia" w:eastAsiaTheme="minorEastAsia"/>
                <w:vertAlign w:val="baseline"/>
                <w:lang w:val="en-US" w:eastAsia="zh-CN"/>
              </w:rPr>
            </w:pPr>
            <w:r>
              <w:rPr>
                <w:rFonts w:hint="eastAsia"/>
                <w:vertAlign w:val="baseline"/>
                <w:lang w:val="en-US" w:eastAsia="zh-CN"/>
              </w:rPr>
              <w:t>5</w:t>
            </w:r>
          </w:p>
        </w:tc>
        <w:tc>
          <w:tcPr>
            <w:tcW w:w="88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举升机电机</w:t>
            </w:r>
          </w:p>
        </w:tc>
        <w:tc>
          <w:tcPr>
            <w:tcW w:w="5706" w:type="dxa"/>
            <w:vAlign w:val="center"/>
          </w:tcPr>
          <w:p>
            <w:pPr>
              <w:keepNext w:val="0"/>
              <w:keepLines w:val="0"/>
              <w:widowControl/>
              <w:suppressLineNumbers w:val="0"/>
              <w:jc w:val="left"/>
              <w:textAlignment w:val="center"/>
              <w:rPr>
                <w:rFonts w:hint="default"/>
                <w:vertAlign w:val="baseline"/>
                <w:lang w:val="en-US"/>
              </w:rPr>
            </w:pPr>
            <w:r>
              <w:rPr>
                <w:rFonts w:hint="eastAsia" w:ascii="宋体" w:hAnsi="宋体" w:eastAsia="宋体" w:cs="宋体"/>
                <w:i w:val="0"/>
                <w:color w:val="000000"/>
                <w:kern w:val="0"/>
                <w:sz w:val="22"/>
                <w:szCs w:val="22"/>
                <w:u w:val="none"/>
                <w:lang w:val="en-US" w:eastAsia="zh-CN" w:bidi="ar"/>
              </w:rPr>
              <w:t>龙门举升机电机：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1、配套电机：液压泵额定流量≥4.5（L/min），电压：380V，工作压力：16mpa。</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2、电机保险1个</w:t>
            </w:r>
          </w:p>
        </w:tc>
        <w:tc>
          <w:tcPr>
            <w:tcW w:w="960"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color w:val="000000"/>
                <w:kern w:val="0"/>
                <w:sz w:val="22"/>
                <w:szCs w:val="22"/>
                <w:u w:val="none"/>
                <w:lang w:val="en-US" w:eastAsia="zh-CN" w:bidi="ar"/>
              </w:rPr>
              <w:t>1</w:t>
            </w:r>
          </w:p>
        </w:tc>
        <w:tc>
          <w:tcPr>
            <w:tcW w:w="915" w:type="dxa"/>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color w:val="000000"/>
                <w:kern w:val="0"/>
                <w:sz w:val="22"/>
                <w:szCs w:val="22"/>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eastAsia" w:eastAsiaTheme="minorEastAsia"/>
                <w:vertAlign w:val="baseline"/>
                <w:lang w:val="en-US" w:eastAsia="zh-CN"/>
              </w:rPr>
            </w:pPr>
            <w:r>
              <w:rPr>
                <w:rFonts w:hint="eastAsia"/>
                <w:vertAlign w:val="baseline"/>
                <w:lang w:val="en-US" w:eastAsia="zh-CN"/>
              </w:rPr>
              <w:t>6</w:t>
            </w:r>
          </w:p>
        </w:tc>
        <w:tc>
          <w:tcPr>
            <w:tcW w:w="887" w:type="dxa"/>
            <w:vAlign w:val="center"/>
          </w:tcPr>
          <w:p>
            <w:pPr>
              <w:keepNext w:val="0"/>
              <w:keepLines w:val="0"/>
              <w:widowControl/>
              <w:suppressLineNumbers w:val="0"/>
              <w:jc w:val="left"/>
              <w:textAlignment w:val="center"/>
              <w:rPr>
                <w:vertAlign w:val="baseline"/>
              </w:rPr>
            </w:pPr>
            <w:r>
              <w:rPr>
                <w:rFonts w:hint="eastAsia" w:ascii="宋体" w:hAnsi="宋体" w:eastAsia="宋体" w:cs="宋体"/>
                <w:i w:val="0"/>
                <w:color w:val="000000"/>
                <w:kern w:val="0"/>
                <w:sz w:val="22"/>
                <w:szCs w:val="22"/>
                <w:u w:val="none"/>
                <w:lang w:val="en-US" w:eastAsia="zh-CN" w:bidi="ar"/>
              </w:rPr>
              <w:t>四合一检测线控制板</w:t>
            </w:r>
          </w:p>
        </w:tc>
        <w:tc>
          <w:tcPr>
            <w:tcW w:w="5706" w:type="dxa"/>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博世SL640四合一检测线控制电路板：0 Sec 18v,36VA,  最高额定温度40°，频率50--60Hz。</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960" w:type="dxa"/>
            <w:vAlign w:val="center"/>
          </w:tcPr>
          <w:p>
            <w:pPr>
              <w:keepNext w:val="0"/>
              <w:keepLines w:val="0"/>
              <w:widowControl/>
              <w:suppressLineNumbers w:val="0"/>
              <w:jc w:val="center"/>
              <w:textAlignment w:val="center"/>
              <w:rPr>
                <w:vertAlign w:val="baseline"/>
              </w:rPr>
            </w:pPr>
            <w:r>
              <w:rPr>
                <w:rFonts w:hint="eastAsia" w:ascii="宋体" w:hAnsi="宋体" w:eastAsia="宋体" w:cs="宋体"/>
                <w:i w:val="0"/>
                <w:color w:val="000000"/>
                <w:kern w:val="0"/>
                <w:sz w:val="22"/>
                <w:szCs w:val="22"/>
                <w:u w:val="none"/>
                <w:lang w:val="en-US" w:eastAsia="zh-CN" w:bidi="ar"/>
              </w:rPr>
              <w:t>1</w:t>
            </w:r>
          </w:p>
        </w:tc>
        <w:tc>
          <w:tcPr>
            <w:tcW w:w="915" w:type="dxa"/>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color w:val="000000"/>
                <w:kern w:val="0"/>
                <w:sz w:val="22"/>
                <w:szCs w:val="22"/>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7</w:t>
            </w:r>
          </w:p>
        </w:tc>
        <w:tc>
          <w:tcPr>
            <w:tcW w:w="887" w:type="dxa"/>
            <w:vAlign w:val="top"/>
          </w:tcPr>
          <w:p>
            <w:pPr>
              <w:widowControl w:val="0"/>
              <w:rPr>
                <w:rFonts w:hint="eastAsia" w:ascii="Times New Roman" w:hAnsi="Times New Roman" w:cs="Times New Roman" w:eastAsiaTheme="minorEastAsia"/>
                <w:kern w:val="2"/>
                <w:sz w:val="21"/>
                <w:szCs w:val="24"/>
                <w:vertAlign w:val="baseline"/>
                <w:lang w:val="en-US" w:eastAsia="zh-CN" w:bidi="ar-SA"/>
              </w:rPr>
            </w:pPr>
            <w:r>
              <w:rPr>
                <w:rFonts w:hint="eastAsia"/>
                <w:vertAlign w:val="baseline"/>
                <w:lang w:eastAsia="zh-CN"/>
              </w:rPr>
              <w:t>氩弧焊机</w:t>
            </w:r>
          </w:p>
        </w:tc>
        <w:tc>
          <w:tcPr>
            <w:tcW w:w="5706" w:type="dxa"/>
            <w:vAlign w:val="top"/>
          </w:tcPr>
          <w:p>
            <w:pPr>
              <w:widowControl w:val="0"/>
              <w:numPr>
                <w:ilvl w:val="0"/>
                <w:numId w:val="3"/>
              </w:numPr>
              <w:rPr>
                <w:rFonts w:hint="eastAsia"/>
                <w:vertAlign w:val="baseline"/>
                <w:lang w:val="en-US" w:eastAsia="zh-CN"/>
              </w:rPr>
            </w:pPr>
            <w:r>
              <w:rPr>
                <w:rFonts w:hint="eastAsia"/>
                <w:vertAlign w:val="baseline"/>
                <w:lang w:val="en-US" w:eastAsia="zh-CN"/>
              </w:rPr>
              <w:t>瑞凌铝焊机315P、AC\DC工业级交直流方波脉冲氩弧焊机</w:t>
            </w:r>
          </w:p>
          <w:p>
            <w:pPr>
              <w:widowControl w:val="0"/>
              <w:numPr>
                <w:ilvl w:val="0"/>
                <w:numId w:val="3"/>
              </w:numPr>
              <w:rPr>
                <w:rFonts w:hint="default" w:eastAsiaTheme="minorEastAsia"/>
                <w:vertAlign w:val="baseline"/>
                <w:lang w:val="en-US" w:eastAsia="zh-CN"/>
              </w:rPr>
            </w:pPr>
            <w:r>
              <w:rPr>
                <w:rFonts w:hint="eastAsia"/>
                <w:vertAlign w:val="baseline"/>
                <w:lang w:val="en-US" w:eastAsia="zh-CN"/>
              </w:rPr>
              <w:t>额定输入电压三相380V+15%</w:t>
            </w:r>
          </w:p>
          <w:p>
            <w:pPr>
              <w:widowControl w:val="0"/>
              <w:numPr>
                <w:ilvl w:val="0"/>
                <w:numId w:val="3"/>
              </w:numPr>
              <w:rPr>
                <w:rFonts w:hint="eastAsia" w:ascii="Times New Roman" w:hAnsi="Times New Roman" w:cs="Times New Roman" w:eastAsiaTheme="minorEastAsia"/>
                <w:kern w:val="2"/>
                <w:sz w:val="21"/>
                <w:szCs w:val="24"/>
                <w:vertAlign w:val="baseline"/>
                <w:lang w:val="en-US" w:eastAsia="zh-CN" w:bidi="ar-SA"/>
              </w:rPr>
            </w:pPr>
            <w:r>
              <w:rPr>
                <w:rFonts w:hint="eastAsia"/>
                <w:vertAlign w:val="baseline"/>
                <w:lang w:val="en-US" w:eastAsia="zh-CN"/>
              </w:rPr>
              <w:t>外形尺寸616*325*638</w:t>
            </w:r>
          </w:p>
        </w:tc>
        <w:tc>
          <w:tcPr>
            <w:tcW w:w="960" w:type="dxa"/>
            <w:vAlign w:val="center"/>
          </w:tcPr>
          <w:p>
            <w:pPr>
              <w:keepNext w:val="0"/>
              <w:keepLines w:val="0"/>
              <w:widowControl/>
              <w:suppressLineNumbers w:val="0"/>
              <w:jc w:val="center"/>
              <w:textAlignment w:val="center"/>
              <w:rPr>
                <w:rFonts w:hint="eastAsia" w:ascii="Times New Roman" w:hAnsi="Times New Roman" w:cs="Times New Roman" w:eastAsiaTheme="minorEastAsia"/>
                <w:b w:val="0"/>
                <w:bCs w:val="0"/>
                <w:kern w:val="2"/>
                <w:sz w:val="21"/>
                <w:szCs w:val="24"/>
                <w:vertAlign w:val="baseline"/>
                <w:lang w:val="en-US" w:eastAsia="zh-CN" w:bidi="ar-SA"/>
              </w:rPr>
            </w:pPr>
            <w:r>
              <w:rPr>
                <w:rFonts w:hint="eastAsia" w:ascii="宋体" w:hAnsi="宋体" w:eastAsia="宋体" w:cs="宋体"/>
                <w:b w:val="0"/>
                <w:bCs w:val="0"/>
                <w:i w:val="0"/>
                <w:color w:val="000000"/>
                <w:kern w:val="2"/>
                <w:sz w:val="22"/>
                <w:szCs w:val="22"/>
                <w:u w:val="none"/>
                <w:lang w:val="en-US" w:eastAsia="zh-CN" w:bidi="ar-SA"/>
              </w:rPr>
              <w:t>1</w:t>
            </w:r>
          </w:p>
        </w:tc>
        <w:tc>
          <w:tcPr>
            <w:tcW w:w="915" w:type="dxa"/>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2"/>
                <w:sz w:val="22"/>
                <w:szCs w:val="22"/>
                <w:u w:val="none"/>
                <w:lang w:val="en-US" w:eastAsia="zh-CN" w:bidi="ar-SA"/>
              </w:rPr>
            </w:pPr>
            <w:r>
              <w:rPr>
                <w:rFonts w:hint="eastAsia"/>
                <w:b w:val="0"/>
                <w:bCs w:val="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8</w:t>
            </w:r>
          </w:p>
        </w:tc>
        <w:tc>
          <w:tcPr>
            <w:tcW w:w="887" w:type="dxa"/>
            <w:vAlign w:val="top"/>
          </w:tcPr>
          <w:p>
            <w:pPr>
              <w:widowControl w:val="0"/>
              <w:rPr>
                <w:rFonts w:hint="eastAsia" w:ascii="Times New Roman" w:hAnsi="Times New Roman" w:eastAsia="宋体" w:cs="Times New Roman"/>
                <w:kern w:val="2"/>
                <w:sz w:val="21"/>
                <w:szCs w:val="24"/>
                <w:vertAlign w:val="baseline"/>
                <w:lang w:val="en-US" w:eastAsia="zh-CN" w:bidi="ar-SA"/>
              </w:rPr>
            </w:pPr>
            <w:r>
              <w:rPr>
                <w:rFonts w:hint="eastAsia"/>
                <w:vertAlign w:val="baseline"/>
                <w:lang w:eastAsia="zh-CN"/>
              </w:rPr>
              <w:t>切割机</w:t>
            </w:r>
          </w:p>
        </w:tc>
        <w:tc>
          <w:tcPr>
            <w:tcW w:w="5706" w:type="dxa"/>
            <w:vAlign w:val="top"/>
          </w:tcPr>
          <w:p>
            <w:pPr>
              <w:widowControl w:val="0"/>
              <w:numPr>
                <w:ilvl w:val="0"/>
                <w:numId w:val="4"/>
              </w:numPr>
              <w:rPr>
                <w:rFonts w:hint="eastAsia"/>
                <w:vertAlign w:val="baseline"/>
                <w:lang w:val="en-US" w:eastAsia="zh-CN"/>
              </w:rPr>
            </w:pPr>
            <w:r>
              <w:rPr>
                <w:rFonts w:hint="eastAsia"/>
                <w:vertAlign w:val="baseline"/>
                <w:lang w:val="en-US" w:eastAsia="zh-CN"/>
              </w:rPr>
              <w:t>博士多功能型材砂轮切割机GCO14-24</w:t>
            </w:r>
          </w:p>
          <w:p>
            <w:pPr>
              <w:widowControl w:val="0"/>
              <w:numPr>
                <w:ilvl w:val="0"/>
                <w:numId w:val="4"/>
              </w:numPr>
              <w:rPr>
                <w:rFonts w:hint="default"/>
                <w:vertAlign w:val="baseline"/>
                <w:lang w:val="en-US" w:eastAsia="zh-CN"/>
              </w:rPr>
            </w:pPr>
            <w:r>
              <w:rPr>
                <w:rFonts w:hint="eastAsia"/>
                <w:vertAlign w:val="baseline"/>
                <w:lang w:val="en-US" w:eastAsia="zh-CN"/>
              </w:rPr>
              <w:t>输入功率2400w、切片直径355毫米</w:t>
            </w:r>
          </w:p>
          <w:p>
            <w:pPr>
              <w:widowControl w:val="0"/>
              <w:numPr>
                <w:ilvl w:val="0"/>
                <w:numId w:val="4"/>
              </w:numPr>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最大切割能力型材100*196mm、管材129mm、角钢130*130mm</w:t>
            </w:r>
          </w:p>
        </w:tc>
        <w:tc>
          <w:tcPr>
            <w:tcW w:w="960" w:type="dxa"/>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1</w:t>
            </w:r>
          </w:p>
        </w:tc>
        <w:tc>
          <w:tcPr>
            <w:tcW w:w="915" w:type="dxa"/>
            <w:vAlign w:val="center"/>
          </w:tcPr>
          <w:p>
            <w:pPr>
              <w:keepNext w:val="0"/>
              <w:keepLines w:val="0"/>
              <w:widowControl/>
              <w:suppressLineNumbers w:val="0"/>
              <w:jc w:val="center"/>
              <w:textAlignment w:val="center"/>
              <w:rPr>
                <w:rFonts w:hint="eastAsia"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9</w:t>
            </w:r>
          </w:p>
        </w:tc>
        <w:tc>
          <w:tcPr>
            <w:tcW w:w="887" w:type="dxa"/>
            <w:vAlign w:val="top"/>
          </w:tcPr>
          <w:p>
            <w:pPr>
              <w:widowControl w:val="0"/>
              <w:rPr>
                <w:rFonts w:hint="eastAsia" w:ascii="Times New Roman" w:hAnsi="Times New Roman" w:eastAsia="宋体" w:cs="Times New Roman"/>
                <w:kern w:val="2"/>
                <w:sz w:val="21"/>
                <w:szCs w:val="24"/>
                <w:vertAlign w:val="baseline"/>
                <w:lang w:val="en-US" w:eastAsia="zh-CN" w:bidi="ar-SA"/>
              </w:rPr>
            </w:pPr>
            <w:r>
              <w:rPr>
                <w:rFonts w:hint="eastAsia"/>
                <w:vertAlign w:val="baseline"/>
                <w:lang w:eastAsia="zh-CN"/>
              </w:rPr>
              <w:t>钻床</w:t>
            </w:r>
          </w:p>
        </w:tc>
        <w:tc>
          <w:tcPr>
            <w:tcW w:w="5706" w:type="dxa"/>
            <w:vAlign w:val="top"/>
          </w:tcPr>
          <w:p>
            <w:pPr>
              <w:widowControl w:val="0"/>
              <w:numPr>
                <w:ilvl w:val="0"/>
                <w:numId w:val="5"/>
              </w:numPr>
              <w:rPr>
                <w:rFonts w:hint="eastAsia"/>
                <w:vertAlign w:val="baseline"/>
                <w:lang w:val="en-US" w:eastAsia="zh-CN"/>
              </w:rPr>
            </w:pPr>
            <w:r>
              <w:rPr>
                <w:rFonts w:hint="eastAsia"/>
                <w:vertAlign w:val="baseline"/>
                <w:lang w:val="en-US" w:eastAsia="zh-CN"/>
              </w:rPr>
              <w:t>多功能工业级精密小型台钻</w:t>
            </w:r>
          </w:p>
          <w:p>
            <w:pPr>
              <w:widowControl w:val="0"/>
              <w:numPr>
                <w:ilvl w:val="0"/>
                <w:numId w:val="5"/>
              </w:numPr>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1000W（4寸高精密十字台钳）220V</w:t>
            </w:r>
          </w:p>
        </w:tc>
        <w:tc>
          <w:tcPr>
            <w:tcW w:w="960" w:type="dxa"/>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1</w:t>
            </w:r>
          </w:p>
        </w:tc>
        <w:tc>
          <w:tcPr>
            <w:tcW w:w="915" w:type="dxa"/>
            <w:vAlign w:val="center"/>
          </w:tcPr>
          <w:p>
            <w:pPr>
              <w:keepNext w:val="0"/>
              <w:keepLines w:val="0"/>
              <w:widowControl/>
              <w:suppressLineNumbers w:val="0"/>
              <w:jc w:val="center"/>
              <w:textAlignment w:val="center"/>
              <w:rPr>
                <w:rFonts w:hint="eastAsia"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10</w:t>
            </w:r>
          </w:p>
        </w:tc>
        <w:tc>
          <w:tcPr>
            <w:tcW w:w="887" w:type="dxa"/>
            <w:vAlign w:val="top"/>
          </w:tcPr>
          <w:p>
            <w:pPr>
              <w:widowControl w:val="0"/>
              <w:rPr>
                <w:rFonts w:hint="eastAsia" w:ascii="Times New Roman" w:hAnsi="Times New Roman" w:eastAsia="宋体" w:cs="Times New Roman"/>
                <w:kern w:val="2"/>
                <w:sz w:val="21"/>
                <w:szCs w:val="24"/>
                <w:vertAlign w:val="baseline"/>
                <w:lang w:val="en-US" w:eastAsia="zh-CN" w:bidi="ar-SA"/>
              </w:rPr>
            </w:pPr>
            <w:r>
              <w:rPr>
                <w:rFonts w:hint="eastAsia"/>
                <w:vertAlign w:val="baseline"/>
                <w:lang w:eastAsia="zh-CN"/>
              </w:rPr>
              <w:t>氩气瓶</w:t>
            </w:r>
          </w:p>
        </w:tc>
        <w:tc>
          <w:tcPr>
            <w:tcW w:w="5706" w:type="dxa"/>
            <w:vAlign w:val="top"/>
          </w:tcPr>
          <w:p>
            <w:pPr>
              <w:widowControl w:val="0"/>
              <w:numPr>
                <w:ilvl w:val="0"/>
                <w:numId w:val="6"/>
              </w:numPr>
              <w:rPr>
                <w:rFonts w:hint="eastAsia"/>
                <w:vertAlign w:val="baseline"/>
                <w:lang w:val="en-US" w:eastAsia="zh-CN"/>
              </w:rPr>
            </w:pPr>
            <w:r>
              <w:rPr>
                <w:rFonts w:hint="eastAsia"/>
                <w:vertAlign w:val="baseline"/>
                <w:lang w:val="en-US" w:eastAsia="zh-CN"/>
              </w:rPr>
              <w:t>氩气瓶国标15L带瓶帽；钢制无缝气瓶; 执行标准GB5099</w:t>
            </w:r>
          </w:p>
          <w:p>
            <w:pPr>
              <w:widowControl w:val="0"/>
              <w:numPr>
                <w:ilvl w:val="0"/>
                <w:numId w:val="6"/>
              </w:numPr>
              <w:rPr>
                <w:rFonts w:hint="default"/>
                <w:vertAlign w:val="baseline"/>
                <w:lang w:val="en-US" w:eastAsia="zh-CN"/>
              </w:rPr>
            </w:pPr>
            <w:r>
              <w:rPr>
                <w:rFonts w:hint="eastAsia"/>
                <w:vertAlign w:val="baseline"/>
                <w:lang w:val="en-US" w:eastAsia="zh-CN"/>
              </w:rPr>
              <w:t xml:space="preserve">外径159mm、高度（含阀门）1050mm；重量18KG </w:t>
            </w:r>
          </w:p>
          <w:p>
            <w:pPr>
              <w:widowControl w:val="0"/>
              <w:numPr>
                <w:ilvl w:val="0"/>
                <w:numId w:val="6"/>
              </w:numPr>
              <w:rPr>
                <w:rFonts w:hint="default"/>
                <w:vertAlign w:val="baseline"/>
                <w:lang w:val="en-US" w:eastAsia="zh-CN"/>
              </w:rPr>
            </w:pPr>
            <w:r>
              <w:rPr>
                <w:rFonts w:hint="eastAsia"/>
                <w:vertAlign w:val="baseline"/>
                <w:lang w:val="en-US" w:eastAsia="zh-CN"/>
              </w:rPr>
              <w:t>使用环境温度：-20至60℃；公称工作压力：15Mpa；气密试验压力：15Mpa；</w:t>
            </w:r>
          </w:p>
          <w:p>
            <w:pPr>
              <w:widowControl w:val="0"/>
              <w:numPr>
                <w:ilvl w:val="0"/>
                <w:numId w:val="0"/>
              </w:numPr>
              <w:rPr>
                <w:rFonts w:hint="default"/>
                <w:vertAlign w:val="baseline"/>
                <w:lang w:val="en-US" w:eastAsia="zh-CN"/>
              </w:rPr>
            </w:pPr>
            <w:r>
              <w:rPr>
                <w:rFonts w:hint="eastAsia"/>
                <w:vertAlign w:val="baseline"/>
                <w:lang w:val="en-US" w:eastAsia="zh-CN"/>
              </w:rPr>
              <w:t>水压试验：22.5Mpa</w:t>
            </w:r>
          </w:p>
          <w:p>
            <w:pPr>
              <w:widowControl w:val="0"/>
              <w:numPr>
                <w:ilvl w:val="0"/>
                <w:numId w:val="6"/>
              </w:numPr>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设计使用年限：30年；设计壁厚≥3.6mm；主体材料：37Mn（锰钢）</w:t>
            </w:r>
          </w:p>
        </w:tc>
        <w:tc>
          <w:tcPr>
            <w:tcW w:w="960" w:type="dxa"/>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2</w:t>
            </w:r>
          </w:p>
        </w:tc>
        <w:tc>
          <w:tcPr>
            <w:tcW w:w="915" w:type="dxa"/>
            <w:vAlign w:val="center"/>
          </w:tcPr>
          <w:p>
            <w:pPr>
              <w:keepNext w:val="0"/>
              <w:keepLines w:val="0"/>
              <w:widowControl/>
              <w:suppressLineNumbers w:val="0"/>
              <w:jc w:val="center"/>
              <w:textAlignment w:val="center"/>
              <w:rPr>
                <w:rFonts w:hint="eastAsia"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11</w:t>
            </w:r>
          </w:p>
        </w:tc>
        <w:tc>
          <w:tcPr>
            <w:tcW w:w="887" w:type="dxa"/>
            <w:vAlign w:val="top"/>
          </w:tcPr>
          <w:p>
            <w:pPr>
              <w:widowControl w:val="0"/>
              <w:rPr>
                <w:rFonts w:hint="eastAsia" w:ascii="Times New Roman" w:hAnsi="Times New Roman" w:eastAsia="宋体" w:cs="Times New Roman"/>
                <w:kern w:val="2"/>
                <w:sz w:val="21"/>
                <w:szCs w:val="24"/>
                <w:vertAlign w:val="baseline"/>
                <w:lang w:val="en-US" w:eastAsia="zh-CN" w:bidi="ar-SA"/>
              </w:rPr>
            </w:pPr>
            <w:r>
              <w:rPr>
                <w:rFonts w:hint="eastAsia"/>
                <w:vertAlign w:val="baseline"/>
                <w:lang w:eastAsia="zh-CN"/>
              </w:rPr>
              <w:t>液压弯管机</w:t>
            </w:r>
          </w:p>
        </w:tc>
        <w:tc>
          <w:tcPr>
            <w:tcW w:w="5706" w:type="dxa"/>
            <w:vAlign w:val="top"/>
          </w:tcPr>
          <w:p>
            <w:pPr>
              <w:widowControl w:val="0"/>
              <w:numPr>
                <w:ilvl w:val="0"/>
                <w:numId w:val="7"/>
              </w:numPr>
              <w:rPr>
                <w:rFonts w:hint="eastAsia"/>
                <w:vertAlign w:val="baseline"/>
                <w:lang w:val="en-US" w:eastAsia="zh-CN"/>
              </w:rPr>
            </w:pPr>
            <w:r>
              <w:rPr>
                <w:rFonts w:hint="eastAsia"/>
                <w:vertAlign w:val="baseline"/>
                <w:lang w:val="en-US" w:eastAsia="zh-CN"/>
              </w:rPr>
              <w:t>液压手动弯管机SWG-1（使用外径尺寸</w:t>
            </w:r>
            <w:r>
              <w:rPr>
                <w:rFonts w:hint="eastAsia" w:ascii="微软雅黑" w:hAnsi="微软雅黑" w:eastAsia="微软雅黑" w:cs="微软雅黑"/>
                <w:vertAlign w:val="baseline"/>
                <w:lang w:val="en-US" w:eastAsia="zh-CN"/>
              </w:rPr>
              <w:t>∅</w:t>
            </w:r>
            <w:r>
              <w:rPr>
                <w:rFonts w:hint="eastAsia"/>
                <w:vertAlign w:val="baseline"/>
                <w:lang w:val="en-US" w:eastAsia="zh-CN"/>
              </w:rPr>
              <w:t>13-</w:t>
            </w:r>
            <w:r>
              <w:rPr>
                <w:rFonts w:hint="eastAsia" w:ascii="微软雅黑" w:hAnsi="微软雅黑" w:eastAsia="微软雅黑" w:cs="微软雅黑"/>
                <w:vertAlign w:val="baseline"/>
                <w:lang w:val="en-US" w:eastAsia="zh-CN"/>
              </w:rPr>
              <w:t>34</w:t>
            </w:r>
            <w:r>
              <w:rPr>
                <w:rFonts w:hint="eastAsia"/>
                <w:vertAlign w:val="baseline"/>
                <w:lang w:val="en-US" w:eastAsia="zh-CN"/>
              </w:rPr>
              <w:t>）；出力10T、行程：170mm</w:t>
            </w:r>
          </w:p>
          <w:p>
            <w:pPr>
              <w:widowControl w:val="0"/>
              <w:numPr>
                <w:ilvl w:val="0"/>
                <w:numId w:val="7"/>
              </w:numPr>
              <w:rPr>
                <w:rFonts w:hint="default"/>
                <w:vertAlign w:val="baseline"/>
                <w:lang w:val="en-US" w:eastAsia="zh-CN"/>
              </w:rPr>
            </w:pPr>
            <w:r>
              <w:rPr>
                <w:rFonts w:hint="eastAsia"/>
                <w:vertAlign w:val="baseline"/>
                <w:lang w:val="en-US" w:eastAsia="zh-CN"/>
              </w:rPr>
              <w:t>压接范围1/4至-1；外径</w:t>
            </w:r>
            <w:r>
              <w:rPr>
                <w:rFonts w:hint="eastAsia" w:ascii="微软雅黑" w:hAnsi="微软雅黑" w:eastAsia="微软雅黑" w:cs="微软雅黑"/>
                <w:vertAlign w:val="baseline"/>
                <w:lang w:val="en-US" w:eastAsia="zh-CN"/>
              </w:rPr>
              <w:t>∅</w:t>
            </w:r>
            <w:r>
              <w:rPr>
                <w:rFonts w:hint="eastAsia"/>
                <w:vertAlign w:val="baseline"/>
                <w:lang w:val="en-US" w:eastAsia="zh-CN"/>
              </w:rPr>
              <w:t>13-</w:t>
            </w:r>
            <w:r>
              <w:rPr>
                <w:rFonts w:hint="eastAsia" w:ascii="微软雅黑" w:hAnsi="微软雅黑" w:eastAsia="微软雅黑" w:cs="微软雅黑"/>
                <w:vertAlign w:val="baseline"/>
                <w:lang w:val="en-US" w:eastAsia="zh-CN"/>
              </w:rPr>
              <w:t>34mm</w:t>
            </w:r>
          </w:p>
          <w:p>
            <w:pPr>
              <w:widowControl w:val="0"/>
              <w:numPr>
                <w:ilvl w:val="0"/>
                <w:numId w:val="7"/>
              </w:numPr>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模具配备1/4  5/16  3/8  1/2  3/4  1</w:t>
            </w:r>
          </w:p>
        </w:tc>
        <w:tc>
          <w:tcPr>
            <w:tcW w:w="960" w:type="dxa"/>
            <w:vAlign w:val="center"/>
          </w:tcPr>
          <w:p>
            <w:pPr>
              <w:keepNext w:val="0"/>
              <w:keepLines w:val="0"/>
              <w:widowControl/>
              <w:suppressLineNumbers w:val="0"/>
              <w:jc w:val="center"/>
              <w:textAlignment w:val="center"/>
              <w:rPr>
                <w:rFonts w:hint="default" w:ascii="宋体" w:hAnsi="宋体" w:eastAsia="宋体" w:cs="宋体"/>
                <w:b w:val="0"/>
                <w:bCs w:val="0"/>
                <w:i w:val="0"/>
                <w:color w:val="000000"/>
                <w:kern w:val="2"/>
                <w:sz w:val="22"/>
                <w:szCs w:val="22"/>
                <w:u w:val="none"/>
                <w:lang w:val="en-US" w:eastAsia="zh-CN" w:bidi="ar-SA"/>
              </w:rPr>
            </w:pPr>
            <w:r>
              <w:rPr>
                <w:rFonts w:hint="eastAsia" w:ascii="宋体" w:hAnsi="宋体" w:cs="宋体"/>
                <w:b w:val="0"/>
                <w:bCs w:val="0"/>
                <w:i w:val="0"/>
                <w:color w:val="000000"/>
                <w:kern w:val="2"/>
                <w:sz w:val="22"/>
                <w:szCs w:val="22"/>
                <w:u w:val="none"/>
                <w:lang w:val="en-US" w:eastAsia="zh-CN" w:bidi="ar-SA"/>
              </w:rPr>
              <w:t>1</w:t>
            </w:r>
          </w:p>
        </w:tc>
        <w:tc>
          <w:tcPr>
            <w:tcW w:w="915" w:type="dxa"/>
            <w:vAlign w:val="center"/>
          </w:tcPr>
          <w:p>
            <w:pPr>
              <w:keepNext w:val="0"/>
              <w:keepLines w:val="0"/>
              <w:widowControl/>
              <w:suppressLineNumbers w:val="0"/>
              <w:jc w:val="center"/>
              <w:textAlignment w:val="center"/>
              <w:rPr>
                <w:rFonts w:hint="eastAsia" w:ascii="宋体" w:hAnsi="宋体" w:eastAsia="宋体" w:cs="宋体"/>
                <w:b w:val="0"/>
                <w:bCs w:val="0"/>
                <w:i w:val="0"/>
                <w:color w:val="000000"/>
                <w:kern w:val="2"/>
                <w:sz w:val="22"/>
                <w:szCs w:val="22"/>
                <w:u w:val="none"/>
                <w:lang w:val="en-US" w:eastAsia="zh-CN" w:bidi="ar-SA"/>
              </w:rPr>
            </w:pPr>
            <w:r>
              <w:rPr>
                <w:rFonts w:hint="eastAsia" w:ascii="宋体" w:hAnsi="宋体" w:eastAsia="宋体" w:cs="宋体"/>
                <w:b w:val="0"/>
                <w:bCs w:val="0"/>
                <w:i w:val="0"/>
                <w:color w:val="000000"/>
                <w:kern w:val="2"/>
                <w:sz w:val="22"/>
                <w:szCs w:val="22"/>
                <w:u w:val="none"/>
                <w:lang w:val="en-US" w:eastAsia="zh-CN" w:bidi="ar-SA"/>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12</w:t>
            </w:r>
          </w:p>
        </w:tc>
        <w:tc>
          <w:tcPr>
            <w:tcW w:w="887" w:type="dxa"/>
            <w:vAlign w:val="top"/>
          </w:tcPr>
          <w:p>
            <w:pPr>
              <w:widowControl w:val="0"/>
              <w:rPr>
                <w:rFonts w:hint="eastAsia" w:ascii="Times New Roman" w:hAnsi="Times New Roman" w:eastAsia="宋体" w:cs="Times New Roman"/>
                <w:kern w:val="2"/>
                <w:sz w:val="21"/>
                <w:szCs w:val="24"/>
                <w:vertAlign w:val="baseline"/>
                <w:lang w:val="en-US" w:eastAsia="zh-CN" w:bidi="ar-SA"/>
              </w:rPr>
            </w:pPr>
            <w:r>
              <w:rPr>
                <w:rFonts w:hint="eastAsia"/>
                <w:vertAlign w:val="baseline"/>
                <w:lang w:eastAsia="zh-CN"/>
              </w:rPr>
              <w:t>电烙铁</w:t>
            </w:r>
          </w:p>
        </w:tc>
        <w:tc>
          <w:tcPr>
            <w:tcW w:w="5706" w:type="dxa"/>
            <w:vAlign w:val="top"/>
          </w:tcPr>
          <w:p>
            <w:pPr>
              <w:widowControl w:val="0"/>
              <w:numPr>
                <w:ilvl w:val="0"/>
                <w:numId w:val="8"/>
              </w:numPr>
              <w:rPr>
                <w:rFonts w:hint="eastAsia"/>
                <w:vertAlign w:val="baseline"/>
                <w:lang w:val="en-US" w:eastAsia="zh-CN"/>
              </w:rPr>
            </w:pPr>
            <w:r>
              <w:rPr>
                <w:rFonts w:hint="eastAsia"/>
                <w:vertAlign w:val="baseline"/>
                <w:lang w:eastAsia="zh-CN"/>
              </w:rPr>
              <w:t>泰克</w:t>
            </w:r>
            <w:r>
              <w:rPr>
                <w:rFonts w:hint="eastAsia"/>
                <w:vertAlign w:val="baseline"/>
                <w:lang w:val="en-US" w:eastAsia="zh-CN"/>
              </w:rPr>
              <w:t>852D++防静电二合一拆焊台</w:t>
            </w:r>
          </w:p>
          <w:p>
            <w:pPr>
              <w:widowControl w:val="0"/>
              <w:numPr>
                <w:ilvl w:val="0"/>
                <w:numId w:val="8"/>
              </w:numPr>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功耗550w；尺寸190*130*160</w:t>
            </w:r>
          </w:p>
        </w:tc>
        <w:tc>
          <w:tcPr>
            <w:tcW w:w="960" w:type="dxa"/>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15</w:t>
            </w:r>
          </w:p>
        </w:tc>
        <w:tc>
          <w:tcPr>
            <w:tcW w:w="915" w:type="dxa"/>
            <w:vAlign w:val="center"/>
          </w:tcPr>
          <w:p>
            <w:pPr>
              <w:keepNext w:val="0"/>
              <w:keepLines w:val="0"/>
              <w:widowControl/>
              <w:suppressLineNumbers w:val="0"/>
              <w:jc w:val="center"/>
              <w:textAlignment w:val="center"/>
              <w:rPr>
                <w:rFonts w:hint="eastAsia"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pPr>
              <w:widowControl w:val="0"/>
              <w:rPr>
                <w:rFonts w:hint="default"/>
                <w:vertAlign w:val="baseline"/>
                <w:lang w:val="en-US" w:eastAsia="zh-CN"/>
              </w:rPr>
            </w:pPr>
            <w:r>
              <w:rPr>
                <w:rFonts w:hint="eastAsia"/>
                <w:vertAlign w:val="baseline"/>
                <w:lang w:val="en-US" w:eastAsia="zh-CN"/>
              </w:rPr>
              <w:t>13</w:t>
            </w:r>
          </w:p>
        </w:tc>
        <w:tc>
          <w:tcPr>
            <w:tcW w:w="887" w:type="dxa"/>
            <w:vAlign w:val="top"/>
          </w:tcPr>
          <w:p>
            <w:pPr>
              <w:widowControl w:val="0"/>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学习套件</w:t>
            </w:r>
          </w:p>
        </w:tc>
        <w:tc>
          <w:tcPr>
            <w:tcW w:w="5706" w:type="dxa"/>
            <w:vAlign w:val="top"/>
          </w:tcPr>
          <w:p>
            <w:pPr>
              <w:widowControl w:val="0"/>
              <w:numPr>
                <w:ilvl w:val="0"/>
                <w:numId w:val="0"/>
              </w:numPr>
              <w:rPr>
                <w:rFonts w:hint="eastAsia"/>
                <w:vertAlign w:val="baseline"/>
                <w:lang w:val="en-US" w:eastAsia="zh-CN"/>
              </w:rPr>
            </w:pPr>
            <w:r>
              <w:rPr>
                <w:rFonts w:hint="eastAsia"/>
                <w:vertAlign w:val="baseline"/>
                <w:lang w:val="en-US" w:eastAsia="zh-CN"/>
              </w:rPr>
              <w:t>1、兼容Arudino uno物联网学习套件scratch创客实验开发板</w:t>
            </w:r>
          </w:p>
          <w:p>
            <w:pPr>
              <w:widowControl w:val="0"/>
              <w:numPr>
                <w:ilvl w:val="0"/>
                <w:numId w:val="0"/>
              </w:numPr>
              <w:ind w:left="0" w:leftChars="0" w:firstLine="0" w:firstLineChars="0"/>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2、高配豪华版+小车套件</w:t>
            </w:r>
          </w:p>
        </w:tc>
        <w:tc>
          <w:tcPr>
            <w:tcW w:w="960" w:type="dxa"/>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4</w:t>
            </w:r>
          </w:p>
        </w:tc>
        <w:tc>
          <w:tcPr>
            <w:tcW w:w="915" w:type="dxa"/>
            <w:vAlign w:val="center"/>
          </w:tcPr>
          <w:p>
            <w:pPr>
              <w:keepNext w:val="0"/>
              <w:keepLines w:val="0"/>
              <w:widowControl/>
              <w:suppressLineNumbers w:val="0"/>
              <w:jc w:val="center"/>
              <w:textAlignment w:val="center"/>
              <w:rPr>
                <w:rFonts w:hint="eastAsia" w:ascii="Times New Roman" w:hAnsi="Times New Roman" w:eastAsia="宋体" w:cs="Times New Roman"/>
                <w:b w:val="0"/>
                <w:bCs w:val="0"/>
                <w:kern w:val="2"/>
                <w:sz w:val="21"/>
                <w:szCs w:val="24"/>
                <w:vertAlign w:val="baseline"/>
                <w:lang w:val="en-US" w:eastAsia="zh-CN" w:bidi="ar-SA"/>
              </w:rPr>
            </w:pPr>
            <w:r>
              <w:rPr>
                <w:rFonts w:hint="eastAsia"/>
                <w:b w:val="0"/>
                <w:bCs w:val="0"/>
                <w:vertAlign w:val="baseline"/>
                <w:lang w:val="en-US" w:eastAsia="zh-CN"/>
              </w:rPr>
              <w:t>套</w:t>
            </w:r>
          </w:p>
        </w:tc>
      </w:tr>
    </w:tbl>
    <w:p/>
    <w:p>
      <w:pPr>
        <w:numPr>
          <w:ilvl w:val="0"/>
          <w:numId w:val="9"/>
        </w:numPr>
        <w:autoSpaceDE w:val="0"/>
        <w:autoSpaceDN w:val="0"/>
        <w:adjustRightInd w:val="0"/>
        <w:snapToGrid w:val="0"/>
        <w:spacing w:line="400" w:lineRule="exact"/>
        <w:ind w:left="-181" w:leftChars="-86" w:right="-178" w:rightChars="-85" w:firstLine="482" w:firstLineChars="200"/>
        <w:textAlignment w:val="bottom"/>
        <w:rPr>
          <w:rFonts w:ascii="宋体" w:hAnsi="宋体"/>
          <w:b/>
          <w:color w:val="auto"/>
          <w:sz w:val="24"/>
        </w:rPr>
      </w:pPr>
      <w:r>
        <w:rPr>
          <w:rFonts w:hint="eastAsia" w:ascii="宋体" w:hAnsi="宋体"/>
          <w:b/>
          <w:color w:val="auto"/>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color w:val="auto"/>
          <w:sz w:val="24"/>
        </w:rPr>
      </w:pPr>
      <w:r>
        <w:rPr>
          <w:rFonts w:hint="eastAsia" w:ascii="宋体" w:hAnsi="宋体"/>
          <w:color w:val="auto"/>
          <w:sz w:val="24"/>
        </w:rPr>
        <w:t>本项目所涉及产品等质量问题，（人为因素除外），供应商须在3日内无条件进行产品更换。产品质量保质期为</w:t>
      </w:r>
      <w:r>
        <w:rPr>
          <w:rFonts w:hint="eastAsia" w:ascii="宋体" w:hAnsi="宋体"/>
          <w:color w:val="auto"/>
          <w:sz w:val="24"/>
          <w:lang w:eastAsia="zh-CN"/>
        </w:rPr>
        <w:t>在</w:t>
      </w:r>
      <w:r>
        <w:rPr>
          <w:rFonts w:hint="eastAsia" w:ascii="宋体" w:hAnsi="宋体"/>
          <w:color w:val="auto"/>
          <w:sz w:val="24"/>
        </w:rPr>
        <w:t>产品验收合格</w:t>
      </w:r>
      <w:r>
        <w:rPr>
          <w:rFonts w:hint="eastAsia" w:ascii="宋体" w:hAnsi="宋体"/>
          <w:color w:val="auto"/>
          <w:sz w:val="24"/>
          <w:lang w:eastAsia="zh-CN"/>
        </w:rPr>
        <w:t>且</w:t>
      </w:r>
      <w:r>
        <w:rPr>
          <w:rFonts w:hint="eastAsia" w:ascii="宋体" w:hAnsi="宋体"/>
          <w:color w:val="auto"/>
          <w:sz w:val="24"/>
        </w:rPr>
        <w:t>双方签字并交付使用之日起半年。</w:t>
      </w:r>
    </w:p>
    <w:p>
      <w:pPr>
        <w:autoSpaceDE w:val="0"/>
        <w:autoSpaceDN w:val="0"/>
        <w:adjustRightInd w:val="0"/>
        <w:snapToGrid w:val="0"/>
        <w:spacing w:line="400" w:lineRule="exact"/>
        <w:ind w:right="-178" w:rightChars="-85"/>
        <w:textAlignment w:val="bottom"/>
        <w:rPr>
          <w:rFonts w:ascii="宋体" w:hAnsi="宋体"/>
          <w:b/>
          <w:color w:val="auto"/>
          <w:sz w:val="24"/>
        </w:rPr>
      </w:pPr>
    </w:p>
    <w:p>
      <w:pPr>
        <w:numPr>
          <w:ilvl w:val="0"/>
          <w:numId w:val="9"/>
        </w:numPr>
        <w:spacing w:line="360" w:lineRule="auto"/>
        <w:ind w:left="-181" w:leftChars="-86" w:firstLine="482" w:firstLineChars="200"/>
        <w:contextualSpacing/>
        <w:rPr>
          <w:rFonts w:ascii="宋体" w:hAnsi="宋体"/>
          <w:b/>
          <w:color w:val="auto"/>
          <w:sz w:val="24"/>
        </w:rPr>
      </w:pPr>
      <w:bookmarkStart w:id="2" w:name="_Toc416681035"/>
      <w:bookmarkEnd w:id="2"/>
      <w:r>
        <w:rPr>
          <w:rFonts w:hint="eastAsia" w:ascii="宋体" w:hAnsi="宋体"/>
          <w:b/>
          <w:color w:val="auto"/>
          <w:sz w:val="24"/>
        </w:rPr>
        <w:t>其他要求：</w:t>
      </w:r>
    </w:p>
    <w:p>
      <w:pPr>
        <w:spacing w:line="400" w:lineRule="exact"/>
        <w:ind w:firstLine="480" w:firstLineChars="200"/>
        <w:rPr>
          <w:rFonts w:ascii="宋体" w:hAnsi="宋体"/>
          <w:b/>
          <w:color w:val="auto"/>
          <w:sz w:val="24"/>
        </w:rPr>
      </w:pPr>
      <w:r>
        <w:rPr>
          <w:color w:val="auto"/>
          <w:sz w:val="24"/>
        </w:rPr>
        <w:t>技术资料</w:t>
      </w:r>
      <w:r>
        <w:rPr>
          <w:rFonts w:hint="eastAsia"/>
          <w:color w:val="auto"/>
          <w:sz w:val="24"/>
        </w:rPr>
        <w:t>：供应商</w:t>
      </w:r>
      <w:r>
        <w:rPr>
          <w:color w:val="auto"/>
          <w:sz w:val="24"/>
        </w:rPr>
        <w:t>必须保证</w:t>
      </w:r>
      <w:r>
        <w:rPr>
          <w:rFonts w:hint="eastAsia"/>
          <w:color w:val="auto"/>
          <w:sz w:val="24"/>
        </w:rPr>
        <w:t>响应</w:t>
      </w:r>
      <w:r>
        <w:rPr>
          <w:color w:val="auto"/>
          <w:sz w:val="24"/>
        </w:rPr>
        <w:t>文件所提供的全部技术资料（包括：投标货物原厂原版彩印技术样本、使用保养说明书、图纸、各种试验报告和鉴定证书、货物获奖证书等）真实可靠，不得</w:t>
      </w:r>
      <w:r>
        <w:rPr>
          <w:rFonts w:hint="eastAsia"/>
          <w:color w:val="auto"/>
          <w:sz w:val="24"/>
        </w:rPr>
        <w:t>用虚假材料进行响应</w:t>
      </w:r>
      <w:r>
        <w:rPr>
          <w:color w:val="auto"/>
          <w:sz w:val="24"/>
        </w:rPr>
        <w:t>，并接受</w:t>
      </w:r>
      <w:r>
        <w:rPr>
          <w:rFonts w:hint="eastAsia"/>
          <w:color w:val="auto"/>
          <w:sz w:val="24"/>
        </w:rPr>
        <w:t>评标委员会</w:t>
      </w:r>
      <w:r>
        <w:rPr>
          <w:color w:val="auto"/>
          <w:sz w:val="24"/>
        </w:rPr>
        <w:t>对其中任何资料进一步审查和采购人认可的第3方测试</w:t>
      </w:r>
      <w:r>
        <w:rPr>
          <w:rFonts w:hint="eastAsia"/>
          <w:color w:val="auto"/>
          <w:sz w:val="24"/>
        </w:rPr>
        <w:t>机构</w:t>
      </w:r>
      <w:r>
        <w:rPr>
          <w:color w:val="auto"/>
          <w:sz w:val="24"/>
        </w:rPr>
        <w:t>对货物进行测试的要求。</w:t>
      </w:r>
      <w:r>
        <w:rPr>
          <w:rFonts w:hint="eastAsia"/>
          <w:color w:val="auto"/>
          <w:sz w:val="24"/>
        </w:rPr>
        <w:t>如有虚假应标，将视为无效投标，并追究相关法律责任。</w:t>
      </w:r>
    </w:p>
    <w:p>
      <w:pPr>
        <w:spacing w:line="360" w:lineRule="auto"/>
        <w:rPr>
          <w:rFonts w:ascii="宋体" w:hAnsi="宋体"/>
          <w:b/>
          <w:color w:val="auto"/>
          <w:sz w:val="24"/>
        </w:rPr>
      </w:pPr>
      <w:r>
        <w:rPr>
          <w:rFonts w:hint="eastAsia" w:ascii="宋体" w:hAnsi="宋体"/>
          <w:b/>
          <w:color w:val="auto"/>
          <w:sz w:val="24"/>
        </w:rPr>
        <w:t>二、完成时间及付款方式</w:t>
      </w:r>
    </w:p>
    <w:p>
      <w:pPr>
        <w:spacing w:line="360" w:lineRule="auto"/>
        <w:ind w:firstLine="480" w:firstLineChars="200"/>
        <w:rPr>
          <w:rFonts w:ascii="宋体" w:hAnsi="宋体"/>
          <w:color w:val="auto"/>
          <w:sz w:val="24"/>
        </w:rPr>
      </w:pPr>
      <w:r>
        <w:rPr>
          <w:rFonts w:hint="eastAsia" w:ascii="宋体" w:hAnsi="宋体"/>
          <w:color w:val="auto"/>
          <w:sz w:val="24"/>
        </w:rPr>
        <w:t>1．合同签订后，供应商应在接到采购人通知10</w:t>
      </w:r>
      <w:r>
        <w:rPr>
          <w:rFonts w:hint="eastAsia" w:ascii="宋体" w:hAnsi="宋体"/>
          <w:color w:val="auto"/>
          <w:sz w:val="24"/>
          <w:u w:val="single"/>
        </w:rPr>
        <w:t>天内</w:t>
      </w:r>
      <w:r>
        <w:rPr>
          <w:rFonts w:hint="eastAsia" w:ascii="宋体" w:hAnsi="宋体"/>
          <w:color w:val="auto"/>
          <w:sz w:val="24"/>
        </w:rPr>
        <w:t>完成项目的所需货物的供货、发放、调配，如不能按期按投标要求供货，供应商按中标报价的3倍进行赔偿。</w:t>
      </w:r>
    </w:p>
    <w:p>
      <w:pPr>
        <w:spacing w:line="360" w:lineRule="auto"/>
        <w:ind w:firstLine="480" w:firstLineChars="200"/>
        <w:rPr>
          <w:rFonts w:ascii="宋体" w:hAnsi="宋体"/>
          <w:color w:val="auto"/>
          <w:sz w:val="24"/>
        </w:rPr>
      </w:pPr>
      <w:r>
        <w:rPr>
          <w:rFonts w:hint="eastAsia" w:ascii="宋体" w:hAnsi="宋体"/>
          <w:color w:val="auto"/>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color w:val="auto"/>
          <w:sz w:val="24"/>
        </w:rPr>
      </w:pPr>
      <w:r>
        <w:rPr>
          <w:rFonts w:hint="eastAsia" w:ascii="宋体" w:hAnsi="宋体"/>
          <w:b/>
          <w:bCs/>
          <w:color w:val="auto"/>
          <w:sz w:val="24"/>
          <w:lang w:eastAsia="zh-CN"/>
        </w:rPr>
        <w:t>三</w:t>
      </w:r>
      <w:r>
        <w:rPr>
          <w:rFonts w:hint="eastAsia" w:ascii="宋体" w:hAnsi="宋体"/>
          <w:b/>
          <w:bCs/>
          <w:color w:val="auto"/>
          <w:sz w:val="24"/>
        </w:rPr>
        <w:t>、对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eastAsia="zh-CN"/>
        </w:rPr>
      </w:pPr>
      <w:r>
        <w:rPr>
          <w:rFonts w:hint="eastAsia" w:ascii="宋体" w:hAnsi="宋体"/>
          <w:sz w:val="24"/>
          <w:lang w:val="en-US" w:eastAsia="zh-CN"/>
        </w:rPr>
        <w:t>8.响应文件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10"/>
        </w:numPr>
        <w:rPr>
          <w:rFonts w:ascii="宋体" w:hAnsi="宋体"/>
          <w:sz w:val="24"/>
          <w:szCs w:val="24"/>
        </w:rPr>
      </w:pPr>
      <w:r>
        <w:rPr>
          <w:rFonts w:hint="eastAsia" w:ascii="宋体" w:hAnsi="宋体"/>
          <w:sz w:val="24"/>
          <w:szCs w:val="24"/>
        </w:rPr>
        <w:t>所有价格均用人民币表示，单位为元。</w:t>
      </w:r>
    </w:p>
    <w:p>
      <w:pPr>
        <w:pStyle w:val="5"/>
        <w:numPr>
          <w:ilvl w:val="0"/>
          <w:numId w:val="10"/>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10"/>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624C1F"/>
    <w:multiLevelType w:val="singleLevel"/>
    <w:tmpl w:val="86624C1F"/>
    <w:lvl w:ilvl="0" w:tentative="0">
      <w:start w:val="1"/>
      <w:numFmt w:val="decimal"/>
      <w:suff w:val="nothing"/>
      <w:lvlText w:val="%1、"/>
      <w:lvlJc w:val="left"/>
    </w:lvl>
  </w:abstractNum>
  <w:abstractNum w:abstractNumId="1">
    <w:nsid w:val="A0CA944B"/>
    <w:multiLevelType w:val="singleLevel"/>
    <w:tmpl w:val="A0CA944B"/>
    <w:lvl w:ilvl="0" w:tentative="0">
      <w:start w:val="2"/>
      <w:numFmt w:val="decimal"/>
      <w:lvlText w:val="%1."/>
      <w:lvlJc w:val="left"/>
      <w:pPr>
        <w:tabs>
          <w:tab w:val="left" w:pos="312"/>
        </w:tabs>
      </w:pPr>
    </w:lvl>
  </w:abstractNum>
  <w:abstractNum w:abstractNumId="2">
    <w:nsid w:val="FC3DB970"/>
    <w:multiLevelType w:val="singleLevel"/>
    <w:tmpl w:val="FC3DB970"/>
    <w:lvl w:ilvl="0" w:tentative="0">
      <w:start w:val="1"/>
      <w:numFmt w:val="decimal"/>
      <w:suff w:val="nothing"/>
      <w:lvlText w:val="%1、"/>
      <w:lvlJc w:val="left"/>
    </w:lvl>
  </w:abstractNum>
  <w:abstractNum w:abstractNumId="3">
    <w:nsid w:val="01097AEB"/>
    <w:multiLevelType w:val="singleLevel"/>
    <w:tmpl w:val="01097AEB"/>
    <w:lvl w:ilvl="0" w:tentative="0">
      <w:start w:val="8"/>
      <w:numFmt w:val="decimal"/>
      <w:suff w:val="space"/>
      <w:lvlText w:val="%1."/>
      <w:lvlJc w:val="left"/>
    </w:lvl>
  </w:abstractNum>
  <w:abstractNum w:abstractNumId="4">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3EC1561"/>
    <w:multiLevelType w:val="singleLevel"/>
    <w:tmpl w:val="33EC1561"/>
    <w:lvl w:ilvl="0" w:tentative="0">
      <w:start w:val="1"/>
      <w:numFmt w:val="decimal"/>
      <w:suff w:val="nothing"/>
      <w:lvlText w:val="%1、"/>
      <w:lvlJc w:val="left"/>
    </w:lvl>
  </w:abstractNum>
  <w:abstractNum w:abstractNumId="6">
    <w:nsid w:val="3FA94194"/>
    <w:multiLevelType w:val="singleLevel"/>
    <w:tmpl w:val="3FA94194"/>
    <w:lvl w:ilvl="0" w:tentative="0">
      <w:start w:val="1"/>
      <w:numFmt w:val="decimal"/>
      <w:suff w:val="nothing"/>
      <w:lvlText w:val="%1、"/>
      <w:lvlJc w:val="left"/>
    </w:lvl>
  </w:abstractNum>
  <w:abstractNum w:abstractNumId="7">
    <w:nsid w:val="49467830"/>
    <w:multiLevelType w:val="singleLevel"/>
    <w:tmpl w:val="49467830"/>
    <w:lvl w:ilvl="0" w:tentative="0">
      <w:start w:val="1"/>
      <w:numFmt w:val="decimal"/>
      <w:suff w:val="nothing"/>
      <w:lvlText w:val="%1、"/>
      <w:lvlJc w:val="left"/>
    </w:lvl>
  </w:abstractNum>
  <w:abstractNum w:abstractNumId="8">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792EDD5"/>
    <w:multiLevelType w:val="singleLevel"/>
    <w:tmpl w:val="7792EDD5"/>
    <w:lvl w:ilvl="0" w:tentative="0">
      <w:start w:val="1"/>
      <w:numFmt w:val="decimal"/>
      <w:suff w:val="nothing"/>
      <w:lvlText w:val="%1、"/>
      <w:lvlJc w:val="left"/>
    </w:lvl>
  </w:abstractNum>
  <w:num w:numId="1">
    <w:abstractNumId w:val="3"/>
  </w:num>
  <w:num w:numId="2">
    <w:abstractNumId w:val="8"/>
  </w:num>
  <w:num w:numId="3">
    <w:abstractNumId w:val="7"/>
  </w:num>
  <w:num w:numId="4">
    <w:abstractNumId w:val="6"/>
  </w:num>
  <w:num w:numId="5">
    <w:abstractNumId w:val="0"/>
  </w:num>
  <w:num w:numId="6">
    <w:abstractNumId w:val="2"/>
  </w:num>
  <w:num w:numId="7">
    <w:abstractNumId w:val="5"/>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5BB495B"/>
    <w:rsid w:val="098C501E"/>
    <w:rsid w:val="0A412F0D"/>
    <w:rsid w:val="0B1B470A"/>
    <w:rsid w:val="0C8D0B1C"/>
    <w:rsid w:val="0D5E3C59"/>
    <w:rsid w:val="0DB2633E"/>
    <w:rsid w:val="0E170F1D"/>
    <w:rsid w:val="1096558D"/>
    <w:rsid w:val="167C7678"/>
    <w:rsid w:val="16CE0DE2"/>
    <w:rsid w:val="180C163C"/>
    <w:rsid w:val="22E13702"/>
    <w:rsid w:val="29175E93"/>
    <w:rsid w:val="29C651C2"/>
    <w:rsid w:val="2BD831ED"/>
    <w:rsid w:val="30ED3773"/>
    <w:rsid w:val="30F454E0"/>
    <w:rsid w:val="32082D80"/>
    <w:rsid w:val="37CA7C84"/>
    <w:rsid w:val="3A7D7082"/>
    <w:rsid w:val="3B0418F4"/>
    <w:rsid w:val="3C800FC9"/>
    <w:rsid w:val="3E842D9E"/>
    <w:rsid w:val="41E83D03"/>
    <w:rsid w:val="42497455"/>
    <w:rsid w:val="469902C4"/>
    <w:rsid w:val="4BF27BEA"/>
    <w:rsid w:val="528A2C18"/>
    <w:rsid w:val="531410DD"/>
    <w:rsid w:val="5398783B"/>
    <w:rsid w:val="553E2EC3"/>
    <w:rsid w:val="56666A83"/>
    <w:rsid w:val="59575F32"/>
    <w:rsid w:val="59A565CA"/>
    <w:rsid w:val="59F903C5"/>
    <w:rsid w:val="5B0A7487"/>
    <w:rsid w:val="5CA2370E"/>
    <w:rsid w:val="62472877"/>
    <w:rsid w:val="650B258F"/>
    <w:rsid w:val="65B03214"/>
    <w:rsid w:val="6959727F"/>
    <w:rsid w:val="6FA636AF"/>
    <w:rsid w:val="77B708B5"/>
    <w:rsid w:val="79C62E83"/>
    <w:rsid w:val="7B106F2E"/>
    <w:rsid w:val="7CEB4A44"/>
    <w:rsid w:val="7DA119A0"/>
    <w:rsid w:val="7DA72BF9"/>
    <w:rsid w:val="7DF42715"/>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1178</Words>
  <Characters>6719</Characters>
  <Lines>55</Lines>
  <Paragraphs>15</Paragraphs>
  <TotalTime>11</TotalTime>
  <ScaleCrop>false</ScaleCrop>
  <LinksUpToDate>false</LinksUpToDate>
  <CharactersWithSpaces>7882</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2020-11-13T04:02:43Z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