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B968" w14:textId="2C95C7B5" w:rsidR="00C45723" w:rsidRPr="00DB7209" w:rsidRDefault="00DB7209" w:rsidP="00DB7209">
      <w:pPr>
        <w:ind w:firstLineChars="300" w:firstLine="1080"/>
        <w:jc w:val="center"/>
        <w:rPr>
          <w:rFonts w:ascii="黑体" w:eastAsia="黑体" w:hAnsi="黑体" w:hint="eastAsia"/>
          <w:color w:val="000000" w:themeColor="text1"/>
          <w:sz w:val="36"/>
          <w:szCs w:val="36"/>
        </w:rPr>
      </w:pPr>
      <w:r w:rsidRPr="00DB7209">
        <w:rPr>
          <w:rFonts w:ascii="黑体" w:eastAsia="黑体" w:hAnsi="黑体"/>
          <w:color w:val="000000" w:themeColor="text1"/>
          <w:sz w:val="36"/>
          <w:szCs w:val="36"/>
        </w:rPr>
        <w:t>2026年兰州职业技术学院模块化机房UPS用铅酸蓄电池更换</w:t>
      </w:r>
      <w:r w:rsidR="00333E41" w:rsidRPr="00DB7209">
        <w:rPr>
          <w:rFonts w:ascii="黑体" w:eastAsia="黑体" w:hAnsi="黑体" w:hint="eastAsia"/>
          <w:color w:val="000000" w:themeColor="text1"/>
          <w:sz w:val="36"/>
          <w:szCs w:val="36"/>
        </w:rPr>
        <w:t>项目招标参数</w:t>
      </w:r>
    </w:p>
    <w:tbl>
      <w:tblPr>
        <w:tblStyle w:val="a7"/>
        <w:tblW w:w="0" w:type="auto"/>
        <w:tblLook w:val="04A0" w:firstRow="1" w:lastRow="0" w:firstColumn="1" w:lastColumn="0" w:noHBand="0" w:noVBand="1"/>
      </w:tblPr>
      <w:tblGrid>
        <w:gridCol w:w="1553"/>
        <w:gridCol w:w="12192"/>
        <w:gridCol w:w="851"/>
        <w:gridCol w:w="850"/>
      </w:tblGrid>
      <w:tr w:rsidR="00DB7209" w14:paraId="4B3DCA72" w14:textId="77777777" w:rsidTr="00DB7209">
        <w:trPr>
          <w:trHeight w:val="501"/>
        </w:trPr>
        <w:tc>
          <w:tcPr>
            <w:tcW w:w="1553" w:type="dxa"/>
            <w:vAlign w:val="center"/>
          </w:tcPr>
          <w:p w14:paraId="7112A648" w14:textId="10CE5A8F" w:rsidR="00DB7209" w:rsidRPr="00BD0A50" w:rsidRDefault="00DB7209" w:rsidP="00BD0A50">
            <w:pPr>
              <w:jc w:val="center"/>
              <w:rPr>
                <w:rFonts w:ascii="黑体" w:eastAsia="黑体" w:hAnsi="黑体" w:hint="eastAsia"/>
                <w:color w:val="000000" w:themeColor="text1"/>
                <w:szCs w:val="21"/>
              </w:rPr>
            </w:pPr>
            <w:r w:rsidRPr="00BD0A50">
              <w:rPr>
                <w:rFonts w:ascii="黑体" w:eastAsia="黑体" w:hAnsi="黑体" w:hint="eastAsia"/>
                <w:color w:val="000000" w:themeColor="text1"/>
                <w:szCs w:val="21"/>
              </w:rPr>
              <w:t>设备名称</w:t>
            </w:r>
          </w:p>
        </w:tc>
        <w:tc>
          <w:tcPr>
            <w:tcW w:w="12192" w:type="dxa"/>
            <w:vAlign w:val="center"/>
          </w:tcPr>
          <w:p w14:paraId="73821BE1" w14:textId="3894E61F" w:rsidR="00DB7209" w:rsidRPr="00BD0A50" w:rsidRDefault="00DB7209" w:rsidP="00BD0A50">
            <w:pPr>
              <w:jc w:val="center"/>
              <w:rPr>
                <w:rFonts w:ascii="黑体" w:eastAsia="黑体" w:hAnsi="黑体" w:hint="eastAsia"/>
                <w:color w:val="000000" w:themeColor="text1"/>
                <w:szCs w:val="21"/>
              </w:rPr>
            </w:pPr>
            <w:r w:rsidRPr="00BD0A50">
              <w:rPr>
                <w:rFonts w:ascii="黑体" w:eastAsia="黑体" w:hAnsi="黑体" w:hint="eastAsia"/>
                <w:color w:val="000000" w:themeColor="text1"/>
                <w:szCs w:val="21"/>
              </w:rPr>
              <w:t>主要技术参数及要求</w:t>
            </w:r>
          </w:p>
        </w:tc>
        <w:tc>
          <w:tcPr>
            <w:tcW w:w="851" w:type="dxa"/>
            <w:vAlign w:val="center"/>
          </w:tcPr>
          <w:p w14:paraId="61746D2A" w14:textId="669F9BFF" w:rsidR="00DB7209" w:rsidRPr="00BD0A50" w:rsidRDefault="00DB7209" w:rsidP="00BD0A50">
            <w:pPr>
              <w:jc w:val="center"/>
              <w:rPr>
                <w:rFonts w:ascii="黑体" w:eastAsia="黑体" w:hAnsi="黑体" w:hint="eastAsia"/>
                <w:color w:val="000000" w:themeColor="text1"/>
                <w:szCs w:val="21"/>
              </w:rPr>
            </w:pPr>
            <w:r>
              <w:rPr>
                <w:rFonts w:ascii="黑体" w:eastAsia="黑体" w:hAnsi="黑体" w:hint="eastAsia"/>
                <w:color w:val="000000" w:themeColor="text1"/>
                <w:szCs w:val="21"/>
              </w:rPr>
              <w:t>数量</w:t>
            </w:r>
          </w:p>
        </w:tc>
        <w:tc>
          <w:tcPr>
            <w:tcW w:w="850" w:type="dxa"/>
            <w:vAlign w:val="center"/>
          </w:tcPr>
          <w:p w14:paraId="4A8CC9C9" w14:textId="5B891C5F" w:rsidR="00DB7209" w:rsidRPr="00BD0A50" w:rsidRDefault="00DB7209" w:rsidP="00BD0A50">
            <w:pPr>
              <w:jc w:val="center"/>
              <w:rPr>
                <w:rFonts w:ascii="黑体" w:eastAsia="黑体" w:hAnsi="黑体" w:hint="eastAsia"/>
                <w:color w:val="000000" w:themeColor="text1"/>
                <w:szCs w:val="21"/>
              </w:rPr>
            </w:pPr>
            <w:r>
              <w:rPr>
                <w:rFonts w:ascii="黑体" w:eastAsia="黑体" w:hAnsi="黑体" w:hint="eastAsia"/>
                <w:color w:val="000000" w:themeColor="text1"/>
                <w:szCs w:val="21"/>
              </w:rPr>
              <w:t>单位</w:t>
            </w:r>
          </w:p>
        </w:tc>
      </w:tr>
      <w:tr w:rsidR="00DB7209" w14:paraId="0740729D" w14:textId="77777777" w:rsidTr="00DB7209">
        <w:tc>
          <w:tcPr>
            <w:tcW w:w="1553" w:type="dxa"/>
            <w:vAlign w:val="center"/>
          </w:tcPr>
          <w:p w14:paraId="1C8C59B9" w14:textId="77777777" w:rsidR="00DB7209" w:rsidRDefault="00DB7209">
            <w:pPr>
              <w:jc w:val="center"/>
              <w:rPr>
                <w:rFonts w:asciiTheme="minorEastAsia" w:hAnsiTheme="minorEastAsia" w:hint="eastAsia"/>
                <w:color w:val="000000" w:themeColor="text1"/>
                <w:szCs w:val="21"/>
              </w:rPr>
            </w:pPr>
            <w:r w:rsidRPr="00DB7209">
              <w:rPr>
                <w:rFonts w:ascii="黑体" w:eastAsia="黑体" w:hAnsi="黑体" w:hint="eastAsia"/>
                <w:color w:val="000000" w:themeColor="text1"/>
                <w:szCs w:val="21"/>
              </w:rPr>
              <w:t>阀控密封式铅酸蓄电池</w:t>
            </w:r>
          </w:p>
        </w:tc>
        <w:tc>
          <w:tcPr>
            <w:tcW w:w="12192" w:type="dxa"/>
          </w:tcPr>
          <w:p w14:paraId="75F7BC38" w14:textId="213C5827" w:rsidR="00DB7209" w:rsidRPr="00AB01CB" w:rsidRDefault="00DB7209" w:rsidP="00AB01CB">
            <w:pPr>
              <w:numPr>
                <w:ilvl w:val="0"/>
                <w:numId w:val="1"/>
              </w:numPr>
              <w:spacing w:line="340" w:lineRule="exact"/>
              <w:rPr>
                <w:rFonts w:asciiTheme="minorEastAsia" w:hAnsiTheme="minorEastAsia" w:cs="宋体" w:hint="eastAsia"/>
                <w:color w:val="000000" w:themeColor="text1"/>
                <w:szCs w:val="21"/>
              </w:rPr>
            </w:pPr>
            <w:r w:rsidRPr="00AB01CB">
              <w:rPr>
                <w:rFonts w:asciiTheme="minorEastAsia" w:hAnsiTheme="minorEastAsia" w:cs="宋体" w:hint="eastAsia"/>
                <w:color w:val="000000" w:themeColor="text1"/>
                <w:szCs w:val="21"/>
              </w:rPr>
              <w:t>基本规格型号：UPS系统用阀控密封式铅酸蓄电池，12V 100Ah（C10）。</w:t>
            </w:r>
            <w:bookmarkStart w:id="0" w:name="OLE_LINK1"/>
            <w:r w:rsidRPr="00AB01CB">
              <w:rPr>
                <w:rFonts w:asciiTheme="minorEastAsia" w:hAnsiTheme="minorEastAsia" w:cs="宋体" w:hint="eastAsia"/>
                <w:color w:val="000000" w:themeColor="text1"/>
                <w:szCs w:val="21"/>
              </w:rPr>
              <w:t>（提供说明书、产品彩页、官网截图等进行佐证）</w:t>
            </w:r>
          </w:p>
          <w:p w14:paraId="1AF9749D" w14:textId="5715AF6D" w:rsidR="00DB7209" w:rsidRDefault="00DB7209">
            <w:pPr>
              <w:numPr>
                <w:ilvl w:val="0"/>
                <w:numId w:val="1"/>
              </w:numPr>
              <w:spacing w:line="340" w:lineRule="exact"/>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浮充电压13.5V-13.8V，最大充电电流20A。</w:t>
            </w:r>
            <w:bookmarkStart w:id="1" w:name="OLE_LINK2"/>
            <w:r>
              <w:rPr>
                <w:rFonts w:asciiTheme="minorEastAsia" w:hAnsiTheme="minorEastAsia" w:cs="宋体" w:hint="eastAsia"/>
                <w:color w:val="000000" w:themeColor="text1"/>
                <w:szCs w:val="21"/>
              </w:rPr>
              <w:t>（提供说明书、产品彩页、官网截图等进行佐证）</w:t>
            </w:r>
            <w:bookmarkEnd w:id="0"/>
          </w:p>
          <w:bookmarkEnd w:id="1"/>
          <w:p w14:paraId="58407BBE" w14:textId="77777777" w:rsidR="00DB7209" w:rsidRDefault="00DB7209">
            <w:pPr>
              <w:numPr>
                <w:ilvl w:val="0"/>
                <w:numId w:val="1"/>
              </w:numPr>
              <w:spacing w:line="340" w:lineRule="exact"/>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每块电池的长≤410mm，宽≤175mm，高≤230mm。（提供说明书、产品彩页、官网截图等进行佐证）</w:t>
            </w:r>
          </w:p>
          <w:p w14:paraId="417AD9BE" w14:textId="77777777" w:rsidR="00DB7209" w:rsidRDefault="00DB7209">
            <w:pPr>
              <w:pStyle w:val="Default"/>
              <w:numPr>
                <w:ilvl w:val="0"/>
                <w:numId w:val="1"/>
              </w:numPr>
              <w:rPr>
                <w:rFonts w:asciiTheme="minorEastAsia" w:eastAsiaTheme="minorEastAsia" w:hAnsiTheme="minorEastAsia" w:hint="eastAsia"/>
                <w:color w:val="000000" w:themeColor="text1"/>
                <w:sz w:val="21"/>
                <w:szCs w:val="21"/>
              </w:rPr>
            </w:pPr>
            <w:r>
              <w:rPr>
                <w:rFonts w:asciiTheme="minorEastAsia" w:eastAsiaTheme="minorEastAsia" w:hAnsiTheme="minorEastAsia" w:hint="eastAsia"/>
                <w:color w:val="000000" w:themeColor="text1"/>
                <w:sz w:val="21"/>
                <w:szCs w:val="21"/>
              </w:rPr>
              <w:t>★电池需要配置防漏液保护托盘，防止电池在使用过程中出现异常，导致电解液外泄，出现短路，爆炸，着火等现象（提供厂家盖章说明文件及第三方证明文件，</w:t>
            </w:r>
            <w:r w:rsidRPr="00BD0A50">
              <w:rPr>
                <w:rFonts w:asciiTheme="minorEastAsia" w:eastAsiaTheme="minorEastAsia" w:hAnsiTheme="minorEastAsia" w:hint="eastAsia"/>
                <w:color w:val="FF0000"/>
                <w:sz w:val="21"/>
                <w:szCs w:val="21"/>
              </w:rPr>
              <w:t>电池不接受OEM 贴牌产品</w:t>
            </w:r>
            <w:r>
              <w:rPr>
                <w:rFonts w:asciiTheme="minorEastAsia" w:eastAsiaTheme="minorEastAsia" w:hAnsiTheme="minorEastAsia" w:hint="eastAsia"/>
                <w:color w:val="000000" w:themeColor="text1"/>
                <w:sz w:val="21"/>
                <w:szCs w:val="21"/>
              </w:rPr>
              <w:t>）</w:t>
            </w:r>
          </w:p>
          <w:p w14:paraId="6A859483" w14:textId="77777777" w:rsidR="00DB7209" w:rsidRDefault="00DB7209">
            <w:pPr>
              <w:numPr>
                <w:ilvl w:val="0"/>
                <w:numId w:val="1"/>
              </w:numPr>
              <w:spacing w:line="340" w:lineRule="exact"/>
              <w:rPr>
                <w:rFonts w:asciiTheme="minorEastAsia" w:hAnsiTheme="minorEastAsia" w:cs="宋体" w:hint="eastAsia"/>
                <w:color w:val="000000" w:themeColor="text1"/>
                <w:szCs w:val="21"/>
              </w:rPr>
            </w:pPr>
            <w:r>
              <w:rPr>
                <w:rFonts w:asciiTheme="minorEastAsia" w:hAnsiTheme="minorEastAsia" w:hint="eastAsia"/>
                <w:color w:val="000000" w:themeColor="text1"/>
                <w:szCs w:val="21"/>
              </w:rPr>
              <w:t>★采用先进的铅酸蓄电池板栅设计，能有效降低极板短路的风险，提高电池的安全性（提供第三方技术证明文件）</w:t>
            </w:r>
          </w:p>
          <w:p w14:paraId="5DF3C0D1" w14:textId="77777777" w:rsidR="00DB7209" w:rsidRDefault="00DB7209">
            <w:pPr>
              <w:numPr>
                <w:ilvl w:val="0"/>
                <w:numId w:val="1"/>
              </w:numPr>
              <w:spacing w:line="340" w:lineRule="exact"/>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结构要求:正负极端子有明显标志，便于链接。</w:t>
            </w:r>
          </w:p>
          <w:p w14:paraId="6B3900E4" w14:textId="77777777" w:rsidR="00DB7209" w:rsidRDefault="00DB7209">
            <w:pPr>
              <w:numPr>
                <w:ilvl w:val="0"/>
                <w:numId w:val="1"/>
              </w:numPr>
              <w:spacing w:line="340" w:lineRule="exact"/>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阻燃性能：蓄电池壳，盖，安全阀，连接条保护罩等应符合GB/T2408-2021中的8.4.2条HB（水平级）和第9.4条V-0（垂直级）的要求。</w:t>
            </w:r>
          </w:p>
          <w:p w14:paraId="04E42B69"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气密性:能承受不小于50KPa正压或负压而不破裂、不开胶，压力释放后壳体无残余变形。</w:t>
            </w:r>
          </w:p>
          <w:p w14:paraId="406202EF"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bookmarkStart w:id="2" w:name="_Hlk236331138"/>
            <w:r>
              <w:rPr>
                <w:rFonts w:asciiTheme="minorEastAsia" w:hAnsiTheme="minorEastAsia" w:cs="宋体" w:hint="eastAsia"/>
                <w:color w:val="000000" w:themeColor="text1"/>
                <w:szCs w:val="21"/>
              </w:rPr>
              <w:t>大电流放电:以30I10放电3min，极柱不熔断，内部汇流排不熔断，外观不出现异常。</w:t>
            </w:r>
          </w:p>
          <w:p w14:paraId="0B174F9D"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防酸雾性能:正常浮充过程中应无酸雾逸出。</w:t>
            </w:r>
          </w:p>
          <w:bookmarkEnd w:id="2"/>
          <w:p w14:paraId="320FDD13"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端电压均衡性:开路状态下，最高与最低电压差值≤90mV。浮充状态:进入浮充24小时后，端电压差值≤350mV。放电状态:端电压差值≤250mV。</w:t>
            </w:r>
          </w:p>
          <w:p w14:paraId="25A0F9F2"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防爆性能:充电过程中，遇到明火，内部不引爆，不引燃。</w:t>
            </w:r>
          </w:p>
          <w:p w14:paraId="2BA17CCD"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封口剂性能:环境温度在-30℃~65℃之间，封口剂无裂纹与溢流现象。</w:t>
            </w:r>
          </w:p>
          <w:p w14:paraId="47C3813C"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充电效率：</w:t>
            </w:r>
            <w:r>
              <w:rPr>
                <w:rFonts w:asciiTheme="minorEastAsia" w:hAnsiTheme="minorEastAsia"/>
                <w:color w:val="000000" w:themeColor="text1"/>
                <w:szCs w:val="21"/>
              </w:rPr>
              <w:t>蓄电池充电效率应不低于90%。</w:t>
            </w:r>
          </w:p>
          <w:p w14:paraId="3FB24036"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olor w:val="000000" w:themeColor="text1"/>
                <w:szCs w:val="21"/>
              </w:rPr>
              <w:t>再充电性能</w:t>
            </w:r>
            <w:r>
              <w:rPr>
                <w:rFonts w:asciiTheme="minorEastAsia" w:hAnsiTheme="minorEastAsia" w:hint="eastAsia"/>
                <w:color w:val="000000" w:themeColor="text1"/>
                <w:szCs w:val="21"/>
              </w:rPr>
              <w:t>：</w:t>
            </w:r>
            <w:r>
              <w:rPr>
                <w:rFonts w:asciiTheme="minorEastAsia" w:hAnsiTheme="minorEastAsia"/>
                <w:color w:val="000000" w:themeColor="text1"/>
                <w:szCs w:val="21"/>
              </w:rPr>
              <w:t>恒压充电24h的再充电能力因素应不低于90%C</w:t>
            </w:r>
            <w:r>
              <w:rPr>
                <w:rFonts w:ascii="Times New Roman" w:hAnsi="Times New Roman" w:cs="Times New Roman"/>
                <w:color w:val="000000" w:themeColor="text1"/>
                <w:szCs w:val="21"/>
              </w:rPr>
              <w:t>ₑ</w:t>
            </w:r>
            <w:r>
              <w:rPr>
                <w:rFonts w:asciiTheme="minorEastAsia" w:hAnsiTheme="minorEastAsia"/>
                <w:color w:val="000000" w:themeColor="text1"/>
                <w:szCs w:val="21"/>
              </w:rPr>
              <w:t>。</w:t>
            </w:r>
          </w:p>
          <w:p w14:paraId="052A98F7" w14:textId="77777777" w:rsidR="00DB7209" w:rsidRDefault="00DB7209">
            <w:pPr>
              <w:pStyle w:val="a8"/>
              <w:numPr>
                <w:ilvl w:val="0"/>
                <w:numId w:val="1"/>
              </w:numPr>
              <w:spacing w:line="340" w:lineRule="exact"/>
              <w:ind w:firstLineChars="0"/>
              <w:rPr>
                <w:rFonts w:asciiTheme="minorEastAsia" w:hAnsiTheme="minorEastAsia" w:cs="宋体" w:hint="eastAsia"/>
                <w:b/>
                <w:bCs/>
                <w:color w:val="000000" w:themeColor="text1"/>
                <w:kern w:val="0"/>
                <w:szCs w:val="21"/>
              </w:rPr>
            </w:pPr>
            <w:r>
              <w:rPr>
                <w:rFonts w:asciiTheme="minorEastAsia" w:hAnsiTheme="minorEastAsia" w:cs="宋体" w:hint="eastAsia"/>
                <w:color w:val="000000" w:themeColor="text1"/>
                <w:szCs w:val="21"/>
              </w:rPr>
              <w:t>耐过充电能力:完全充电后电池以</w:t>
            </w:r>
            <w:r>
              <w:rPr>
                <w:rFonts w:asciiTheme="minorEastAsia" w:hAnsiTheme="minorEastAsia" w:cs="宋体"/>
                <w:color w:val="000000" w:themeColor="text1"/>
                <w:szCs w:val="21"/>
              </w:rPr>
              <w:t>0.03C10</w:t>
            </w:r>
            <w:r>
              <w:rPr>
                <w:rFonts w:asciiTheme="minorEastAsia" w:hAnsiTheme="minorEastAsia" w:cs="宋体" w:hint="eastAsia"/>
                <w:color w:val="000000" w:themeColor="text1"/>
                <w:szCs w:val="21"/>
              </w:rPr>
              <w:t>连续充电160小时，无变形，无漏液。</w:t>
            </w:r>
          </w:p>
          <w:p w14:paraId="6D3D8DAD" w14:textId="77777777" w:rsidR="00DB7209" w:rsidRDefault="00DB7209">
            <w:pPr>
              <w:pStyle w:val="a8"/>
              <w:numPr>
                <w:ilvl w:val="0"/>
                <w:numId w:val="1"/>
              </w:numPr>
              <w:spacing w:line="340" w:lineRule="exact"/>
              <w:ind w:firstLineChars="0"/>
              <w:rPr>
                <w:rFonts w:asciiTheme="minorEastAsia" w:hAnsiTheme="minorEastAsia" w:cs="宋体" w:hint="eastAsia"/>
                <w:b/>
                <w:bCs/>
                <w:color w:val="000000" w:themeColor="text1"/>
                <w:kern w:val="0"/>
                <w:szCs w:val="21"/>
              </w:rPr>
            </w:pPr>
            <w:r>
              <w:rPr>
                <w:rFonts w:asciiTheme="minorEastAsia" w:hAnsiTheme="minorEastAsia" w:cs="宋体" w:hint="eastAsia"/>
                <w:color w:val="000000" w:themeColor="text1"/>
                <w:szCs w:val="21"/>
              </w:rPr>
              <w:t>过度放电恢复能力:过度放电后容量恢复值≥9</w:t>
            </w:r>
            <w:r>
              <w:rPr>
                <w:rFonts w:asciiTheme="minorEastAsia" w:hAnsiTheme="minorEastAsia" w:cs="宋体"/>
                <w:color w:val="000000" w:themeColor="text1"/>
                <w:szCs w:val="21"/>
              </w:rPr>
              <w:t>8</w:t>
            </w:r>
            <w:r>
              <w:rPr>
                <w:rFonts w:asciiTheme="minorEastAsia" w:hAnsiTheme="minorEastAsia" w:cs="宋体" w:hint="eastAsia"/>
                <w:color w:val="000000" w:themeColor="text1"/>
                <w:szCs w:val="21"/>
              </w:rPr>
              <w:t>%。</w:t>
            </w:r>
          </w:p>
          <w:p w14:paraId="6D711171"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再充电性能:恒压充电24小时的再充电能力因素≥93.5%。</w:t>
            </w:r>
          </w:p>
          <w:p w14:paraId="25B715F6" w14:textId="77777777" w:rsidR="00DB7209" w:rsidRDefault="00DB7209">
            <w:pPr>
              <w:pStyle w:val="a8"/>
              <w:numPr>
                <w:ilvl w:val="0"/>
                <w:numId w:val="1"/>
              </w:numPr>
              <w:spacing w:line="340" w:lineRule="exact"/>
              <w:ind w:firstLineChars="0"/>
              <w:rPr>
                <w:rFonts w:asciiTheme="minorEastAsia" w:hAnsiTheme="minorEastAsia" w:cs="宋体" w:hint="eastAsia"/>
                <w:color w:val="000000" w:themeColor="text1"/>
                <w:szCs w:val="21"/>
              </w:rPr>
            </w:pPr>
            <w:r>
              <w:rPr>
                <w:rFonts w:asciiTheme="minorEastAsia" w:hAnsiTheme="minorEastAsia" w:cs="宋体" w:hint="eastAsia"/>
                <w:color w:val="000000" w:themeColor="text1"/>
                <w:szCs w:val="21"/>
              </w:rPr>
              <w:t>容量一致性:同组蓄电池10小时率容量试验时，最大实际容量与最小实际容量差值≤2%。</w:t>
            </w:r>
          </w:p>
          <w:p w14:paraId="7BD24638" w14:textId="77777777" w:rsidR="00DB7209" w:rsidRDefault="00DB7209">
            <w:pPr>
              <w:pStyle w:val="a8"/>
              <w:numPr>
                <w:ilvl w:val="0"/>
                <w:numId w:val="1"/>
              </w:numPr>
              <w:spacing w:line="340" w:lineRule="exact"/>
              <w:ind w:firstLineChars="0"/>
              <w:rPr>
                <w:rFonts w:asciiTheme="minorEastAsia" w:hAnsiTheme="minorEastAsia" w:cs="宋体" w:hint="eastAsia"/>
                <w:b/>
                <w:bCs/>
                <w:color w:val="000000" w:themeColor="text1"/>
                <w:kern w:val="0"/>
                <w:szCs w:val="21"/>
              </w:rPr>
            </w:pPr>
            <w:r>
              <w:rPr>
                <w:rFonts w:asciiTheme="minorEastAsia" w:hAnsiTheme="minorEastAsia" w:cs="宋体" w:hint="eastAsia"/>
                <w:color w:val="000000" w:themeColor="text1"/>
                <w:szCs w:val="21"/>
              </w:rPr>
              <w:t>容量保存率:完全充电的蓄电池，在25土2°的环境中，静置28天后，其容量保持率98%以上。</w:t>
            </w:r>
          </w:p>
          <w:p w14:paraId="4CDCD9F7" w14:textId="77777777" w:rsidR="00DB7209" w:rsidRDefault="00DB7209">
            <w:pPr>
              <w:pStyle w:val="a8"/>
              <w:numPr>
                <w:ilvl w:val="0"/>
                <w:numId w:val="1"/>
              </w:numPr>
              <w:spacing w:line="340" w:lineRule="exact"/>
              <w:ind w:firstLineChars="0"/>
              <w:rPr>
                <w:rFonts w:asciiTheme="minorEastAsia" w:hAnsiTheme="minorEastAsia" w:cs="宋体" w:hint="eastAsia"/>
                <w:b/>
                <w:bCs/>
                <w:color w:val="000000" w:themeColor="text1"/>
                <w:kern w:val="0"/>
                <w:szCs w:val="21"/>
              </w:rPr>
            </w:pPr>
            <w:r>
              <w:rPr>
                <w:rFonts w:asciiTheme="minorEastAsia" w:hAnsiTheme="minorEastAsia" w:cs="宋体" w:hint="eastAsia"/>
                <w:color w:val="000000" w:themeColor="text1"/>
                <w:szCs w:val="21"/>
              </w:rPr>
              <w:t>密封反应效率：98%以上。</w:t>
            </w:r>
          </w:p>
          <w:p w14:paraId="4FA2A9E1" w14:textId="77777777" w:rsidR="00DB7209" w:rsidRDefault="00DB7209">
            <w:pPr>
              <w:pStyle w:val="Default"/>
              <w:numPr>
                <w:ilvl w:val="0"/>
                <w:numId w:val="1"/>
              </w:numPr>
              <w:rPr>
                <w:rFonts w:asciiTheme="minorEastAsia" w:eastAsiaTheme="minorEastAsia" w:hAnsiTheme="minorEastAsia" w:hint="eastAsia"/>
                <w:color w:val="000000" w:themeColor="text1"/>
                <w:sz w:val="21"/>
                <w:szCs w:val="21"/>
              </w:rPr>
            </w:pPr>
            <w:r>
              <w:rPr>
                <w:rFonts w:asciiTheme="minorEastAsia" w:eastAsiaTheme="minorEastAsia" w:hAnsiTheme="minorEastAsia" w:hint="eastAsia"/>
                <w:color w:val="000000" w:themeColor="text1"/>
                <w:sz w:val="21"/>
                <w:szCs w:val="21"/>
              </w:rPr>
              <w:t>蓄电池的安全阀有自动开启和关闭的功能，开阀压10~30kPa，闭阀压3~20kPa。</w:t>
            </w:r>
          </w:p>
          <w:p w14:paraId="4F5ACDAC" w14:textId="77777777" w:rsidR="00DB7209" w:rsidRDefault="00DB7209">
            <w:pPr>
              <w:pStyle w:val="Default"/>
              <w:rPr>
                <w:rFonts w:asciiTheme="minorEastAsia" w:eastAsiaTheme="minorEastAsia" w:hAnsiTheme="minorEastAsia" w:hint="eastAsia"/>
                <w:b/>
                <w:bCs/>
                <w:color w:val="000000" w:themeColor="text1"/>
                <w:sz w:val="21"/>
                <w:szCs w:val="21"/>
              </w:rPr>
            </w:pPr>
            <w:r>
              <w:rPr>
                <w:rFonts w:asciiTheme="minorEastAsia" w:eastAsiaTheme="minorEastAsia" w:hAnsiTheme="minorEastAsia" w:hint="eastAsia"/>
                <w:b/>
                <w:bCs/>
                <w:color w:val="000000" w:themeColor="text1"/>
                <w:sz w:val="21"/>
                <w:szCs w:val="21"/>
              </w:rPr>
              <w:t>以上第5项-第21项（共17项）技术指标均须提供具有</w:t>
            </w:r>
            <w:r>
              <w:rPr>
                <w:rFonts w:asciiTheme="minorEastAsia" w:eastAsiaTheme="minorEastAsia" w:hAnsiTheme="minorEastAsia"/>
                <w:b/>
                <w:bCs/>
                <w:color w:val="000000" w:themeColor="text1"/>
                <w:sz w:val="21"/>
                <w:szCs w:val="21"/>
                <w:shd w:val="clear" w:color="auto" w:fill="FFFFFF"/>
              </w:rPr>
              <w:t>CMA</w:t>
            </w:r>
            <w:r>
              <w:rPr>
                <w:rFonts w:asciiTheme="minorEastAsia" w:eastAsiaTheme="minorEastAsia" w:hAnsiTheme="minorEastAsia" w:hint="eastAsia"/>
                <w:b/>
                <w:bCs/>
                <w:color w:val="000000" w:themeColor="text1"/>
                <w:sz w:val="21"/>
                <w:szCs w:val="21"/>
                <w:shd w:val="clear" w:color="auto" w:fill="FFFFFF"/>
              </w:rPr>
              <w:t>、</w:t>
            </w:r>
            <w:r>
              <w:rPr>
                <w:rFonts w:asciiTheme="minorEastAsia" w:eastAsiaTheme="minorEastAsia" w:hAnsiTheme="minorEastAsia"/>
                <w:b/>
                <w:bCs/>
                <w:color w:val="000000" w:themeColor="text1"/>
                <w:sz w:val="21"/>
                <w:szCs w:val="21"/>
                <w:shd w:val="clear" w:color="auto" w:fill="FFFFFF"/>
              </w:rPr>
              <w:t>CNAS</w:t>
            </w:r>
            <w:r>
              <w:rPr>
                <w:rFonts w:asciiTheme="minorEastAsia" w:eastAsiaTheme="minorEastAsia" w:hAnsiTheme="minorEastAsia" w:hint="eastAsia"/>
                <w:b/>
                <w:bCs/>
                <w:color w:val="000000" w:themeColor="text1"/>
                <w:sz w:val="21"/>
                <w:szCs w:val="21"/>
                <w:shd w:val="clear" w:color="auto" w:fill="FFFFFF"/>
              </w:rPr>
              <w:t>、</w:t>
            </w:r>
            <w:r>
              <w:rPr>
                <w:rFonts w:asciiTheme="minorEastAsia" w:eastAsiaTheme="minorEastAsia" w:hAnsiTheme="minorEastAsia"/>
                <w:b/>
                <w:bCs/>
                <w:color w:val="000000" w:themeColor="text1"/>
                <w:sz w:val="21"/>
                <w:szCs w:val="21"/>
                <w:shd w:val="clear" w:color="auto" w:fill="FFFFFF"/>
              </w:rPr>
              <w:t>ILAC MRA认证</w:t>
            </w:r>
            <w:r>
              <w:rPr>
                <w:rFonts w:asciiTheme="minorEastAsia" w:eastAsiaTheme="minorEastAsia" w:hAnsiTheme="minorEastAsia" w:hint="eastAsia"/>
                <w:b/>
                <w:bCs/>
                <w:color w:val="000000" w:themeColor="text1"/>
                <w:sz w:val="21"/>
                <w:szCs w:val="21"/>
                <w:shd w:val="clear" w:color="auto" w:fill="FFFFFF"/>
              </w:rPr>
              <w:t>的</w:t>
            </w:r>
            <w:r>
              <w:rPr>
                <w:rFonts w:asciiTheme="minorEastAsia" w:eastAsiaTheme="minorEastAsia" w:hAnsiTheme="minorEastAsia" w:hint="eastAsia"/>
                <w:b/>
                <w:bCs/>
                <w:color w:val="000000" w:themeColor="text1"/>
                <w:sz w:val="21"/>
                <w:szCs w:val="21"/>
              </w:rPr>
              <w:t>第三方检测机构出具的本次投标系列产品蓄电池的检测报告复印件进行佐证。</w:t>
            </w:r>
          </w:p>
        </w:tc>
        <w:tc>
          <w:tcPr>
            <w:tcW w:w="851" w:type="dxa"/>
            <w:vAlign w:val="center"/>
          </w:tcPr>
          <w:p w14:paraId="6991138D" w14:textId="689A16CE" w:rsidR="00DB7209" w:rsidRDefault="00DB7209" w:rsidP="0065500C">
            <w:pPr>
              <w:jc w:val="center"/>
              <w:rPr>
                <w:rFonts w:asciiTheme="minorEastAsia" w:hAnsiTheme="minorEastAsia" w:hint="eastAsia"/>
                <w:color w:val="000000" w:themeColor="text1"/>
                <w:szCs w:val="21"/>
              </w:rPr>
            </w:pPr>
            <w:r>
              <w:rPr>
                <w:rFonts w:asciiTheme="minorEastAsia" w:hAnsiTheme="minorEastAsia" w:hint="eastAsia"/>
                <w:color w:val="000000" w:themeColor="text1"/>
                <w:szCs w:val="21"/>
              </w:rPr>
              <w:t>40</w:t>
            </w:r>
          </w:p>
        </w:tc>
        <w:tc>
          <w:tcPr>
            <w:tcW w:w="850" w:type="dxa"/>
            <w:vAlign w:val="center"/>
          </w:tcPr>
          <w:p w14:paraId="7DA800C7" w14:textId="1DD475C7" w:rsidR="00DB7209" w:rsidRDefault="00DB7209" w:rsidP="0065500C">
            <w:pPr>
              <w:jc w:val="center"/>
              <w:rPr>
                <w:rFonts w:asciiTheme="minorEastAsia" w:hAnsiTheme="minorEastAsia" w:hint="eastAsia"/>
                <w:color w:val="000000" w:themeColor="text1"/>
                <w:szCs w:val="21"/>
              </w:rPr>
            </w:pPr>
            <w:r>
              <w:rPr>
                <w:rFonts w:asciiTheme="minorEastAsia" w:hAnsiTheme="minorEastAsia" w:hint="eastAsia"/>
                <w:color w:val="000000" w:themeColor="text1"/>
                <w:szCs w:val="21"/>
              </w:rPr>
              <w:t>快</w:t>
            </w:r>
          </w:p>
        </w:tc>
      </w:tr>
    </w:tbl>
    <w:p w14:paraId="625CFCF7" w14:textId="77777777" w:rsidR="00C45723" w:rsidRDefault="00C45723">
      <w:pPr>
        <w:rPr>
          <w:rFonts w:asciiTheme="minorEastAsia" w:hAnsiTheme="minorEastAsia" w:hint="eastAsia"/>
          <w:color w:val="000000" w:themeColor="text1"/>
          <w:szCs w:val="21"/>
        </w:rPr>
      </w:pPr>
    </w:p>
    <w:sectPr w:rsidR="00C45723" w:rsidSect="00DB7209">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B0D95" w14:textId="77777777" w:rsidR="003543C2" w:rsidRDefault="003543C2" w:rsidP="00AB01CB">
      <w:r>
        <w:separator/>
      </w:r>
    </w:p>
  </w:endnote>
  <w:endnote w:type="continuationSeparator" w:id="0">
    <w:p w14:paraId="2E275E33" w14:textId="77777777" w:rsidR="003543C2" w:rsidRDefault="003543C2" w:rsidP="00AB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3B80A" w14:textId="77777777" w:rsidR="003543C2" w:rsidRDefault="003543C2" w:rsidP="00AB01CB">
      <w:r>
        <w:separator/>
      </w:r>
    </w:p>
  </w:footnote>
  <w:footnote w:type="continuationSeparator" w:id="0">
    <w:p w14:paraId="0AA1092B" w14:textId="77777777" w:rsidR="003543C2" w:rsidRDefault="003543C2" w:rsidP="00AB0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7413F"/>
    <w:multiLevelType w:val="multilevel"/>
    <w:tmpl w:val="73E7413F"/>
    <w:lvl w:ilvl="0">
      <w:start w:val="1"/>
      <w:numFmt w:val="decimal"/>
      <w:lvlText w:val="%1."/>
      <w:lvlJc w:val="left"/>
      <w:pPr>
        <w:ind w:left="420" w:hanging="420"/>
      </w:pPr>
      <w:rPr>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84301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EBD"/>
    <w:rsid w:val="00084B5D"/>
    <w:rsid w:val="00196A41"/>
    <w:rsid w:val="003122BB"/>
    <w:rsid w:val="00333E41"/>
    <w:rsid w:val="00346243"/>
    <w:rsid w:val="003543C2"/>
    <w:rsid w:val="003B0951"/>
    <w:rsid w:val="00400F68"/>
    <w:rsid w:val="00497DA3"/>
    <w:rsid w:val="004C5189"/>
    <w:rsid w:val="00514EE5"/>
    <w:rsid w:val="005B7EC2"/>
    <w:rsid w:val="005D1ECD"/>
    <w:rsid w:val="005F7983"/>
    <w:rsid w:val="0065500C"/>
    <w:rsid w:val="006C2D14"/>
    <w:rsid w:val="006E3D2E"/>
    <w:rsid w:val="006F5150"/>
    <w:rsid w:val="00745256"/>
    <w:rsid w:val="007510C3"/>
    <w:rsid w:val="00896879"/>
    <w:rsid w:val="008E1F51"/>
    <w:rsid w:val="009C6372"/>
    <w:rsid w:val="00A3541E"/>
    <w:rsid w:val="00A50F39"/>
    <w:rsid w:val="00A837F1"/>
    <w:rsid w:val="00A945CC"/>
    <w:rsid w:val="00AB01CB"/>
    <w:rsid w:val="00AE6CDD"/>
    <w:rsid w:val="00B87189"/>
    <w:rsid w:val="00BD0A50"/>
    <w:rsid w:val="00BD55DD"/>
    <w:rsid w:val="00BF5DE8"/>
    <w:rsid w:val="00C45723"/>
    <w:rsid w:val="00CA27DE"/>
    <w:rsid w:val="00CD3A10"/>
    <w:rsid w:val="00CD676A"/>
    <w:rsid w:val="00CF2A61"/>
    <w:rsid w:val="00DA344E"/>
    <w:rsid w:val="00DB7209"/>
    <w:rsid w:val="00DD32CD"/>
    <w:rsid w:val="00E15986"/>
    <w:rsid w:val="00E17EDF"/>
    <w:rsid w:val="00ED6EBD"/>
    <w:rsid w:val="00F3483B"/>
    <w:rsid w:val="00F472D6"/>
    <w:rsid w:val="00F5255A"/>
    <w:rsid w:val="10140817"/>
    <w:rsid w:val="11D4119F"/>
    <w:rsid w:val="17E331AB"/>
    <w:rsid w:val="1C5C1172"/>
    <w:rsid w:val="1F3A6B63"/>
    <w:rsid w:val="22727F8C"/>
    <w:rsid w:val="23A40308"/>
    <w:rsid w:val="352E5290"/>
    <w:rsid w:val="4EE92DF0"/>
    <w:rsid w:val="558420CD"/>
    <w:rsid w:val="563D42F5"/>
    <w:rsid w:val="572148B7"/>
    <w:rsid w:val="5A894305"/>
    <w:rsid w:val="6A100F3D"/>
    <w:rsid w:val="743916D1"/>
    <w:rsid w:val="772035D3"/>
    <w:rsid w:val="77B3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41831"/>
  <w15:docId w15:val="{862651AD-1EAB-4740-9DD4-4A6EF6D6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01C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character" w:customStyle="1" w:styleId="a6">
    <w:name w:val="页眉 字符"/>
    <w:basedOn w:val="a0"/>
    <w:link w:val="a5"/>
    <w:rPr>
      <w:kern w:val="2"/>
      <w:sz w:val="18"/>
      <w:szCs w:val="18"/>
    </w:rPr>
  </w:style>
  <w:style w:type="character" w:customStyle="1" w:styleId="a4">
    <w:name w:val="页脚 字符"/>
    <w:basedOn w:val="a0"/>
    <w:link w:val="a3"/>
    <w:qFormat/>
    <w:rPr>
      <w:kern w:val="2"/>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dz</cp:lastModifiedBy>
  <cp:revision>24</cp:revision>
  <dcterms:created xsi:type="dcterms:W3CDTF">2026-07-30T09:40:00Z</dcterms:created>
  <dcterms:modified xsi:type="dcterms:W3CDTF">2026-08-06T07:11:00Z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eyJoZGlkIjoiNGYyZWJiZGJkMzBlOTU4OGRhOTdkZjEyZjM2NTk4OWQiLCJ1c2VySWQiOiIxNjkzODk3NTI5In0=</vt:lpwstr>
  </property>
  <property fmtid="{D5CDD505-2E9C-101B-9397-08002B2CF9AE}" pid="4" name="ICV">
    <vt:lpwstr>F63856AE3DEC466E8F22F2E94A808B2E_12</vt:lpwstr>
  </property>
</Properties>
</file>